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1F021E">
      <w:pPr>
        <w:spacing w:line="560" w:lineRule="exact"/>
        <w:jc w:val="center"/>
        <w:rPr>
          <w:rFonts w:ascii="Times New Roman" w:hAnsi="Times New Roman" w:eastAsia="仿宋" w:cs="Times New Roman"/>
          <w:spacing w:val="-4"/>
        </w:rPr>
      </w:pPr>
    </w:p>
    <w:p w14:paraId="562D99A7">
      <w:pPr>
        <w:spacing w:line="560" w:lineRule="exact"/>
        <w:jc w:val="center"/>
        <w:rPr>
          <w:rFonts w:ascii="Times New Roman" w:hAnsi="Times New Roman" w:eastAsia="仿宋" w:cs="Times New Roman"/>
          <w:spacing w:val="-4"/>
        </w:rPr>
      </w:pPr>
    </w:p>
    <w:p w14:paraId="3AC8BDA9">
      <w:pPr>
        <w:spacing w:line="560" w:lineRule="exact"/>
        <w:jc w:val="center"/>
        <w:rPr>
          <w:rFonts w:ascii="Times New Roman" w:hAnsi="Times New Roman" w:eastAsia="仿宋" w:cs="Times New Roman"/>
          <w:spacing w:val="-4"/>
        </w:rPr>
      </w:pPr>
    </w:p>
    <w:p w14:paraId="670A9374">
      <w:pPr>
        <w:spacing w:line="560" w:lineRule="exact"/>
        <w:jc w:val="center"/>
        <w:rPr>
          <w:rFonts w:ascii="Times New Roman" w:hAnsi="Times New Roman" w:eastAsia="仿宋" w:cs="Times New Roman"/>
          <w:spacing w:val="-4"/>
        </w:rPr>
      </w:pPr>
    </w:p>
    <w:p w14:paraId="3000A8FA">
      <w:pPr>
        <w:pStyle w:val="11"/>
        <w:ind w:left="0" w:leftChars="0" w:firstLine="0" w:firstLineChars="0"/>
      </w:pPr>
    </w:p>
    <w:p w14:paraId="3F6AC019">
      <w:pPr>
        <w:spacing w:line="560" w:lineRule="exact"/>
        <w:jc w:val="center"/>
        <w:rPr>
          <w:rFonts w:hint="eastAsia" w:ascii="方正小标宋_GBK" w:hAnsi="Times New Roman" w:eastAsia="方正小标宋_GBK" w:cs="Times New Roman"/>
          <w:bCs/>
          <w:sz w:val="44"/>
          <w:szCs w:val="44"/>
          <w:lang w:val="en-US" w:eastAsia="zh-CN"/>
        </w:rPr>
      </w:pPr>
      <w:r>
        <w:rPr>
          <w:rFonts w:hint="eastAsia" w:ascii="方正小标宋_GBK" w:hAnsi="Times New Roman" w:eastAsia="方正小标宋_GBK" w:cs="Times New Roman"/>
          <w:bCs/>
          <w:sz w:val="44"/>
          <w:szCs w:val="44"/>
          <w:lang w:val="en-US" w:eastAsia="zh-CN"/>
        </w:rPr>
        <w:t>2026年度</w:t>
      </w:r>
      <w:r>
        <w:rPr>
          <w:rFonts w:hint="eastAsia" w:ascii="方正小标宋_GBK" w:hAnsi="Times New Roman" w:eastAsia="方正小标宋_GBK" w:cs="Times New Roman"/>
          <w:bCs/>
          <w:sz w:val="44"/>
          <w:szCs w:val="44"/>
        </w:rPr>
        <w:t>石家庄市栾城区</w:t>
      </w:r>
      <w:r>
        <w:rPr>
          <w:rFonts w:hint="eastAsia" w:ascii="方正小标宋_GBK" w:hAnsi="Times New Roman" w:eastAsia="方正小标宋_GBK" w:cs="Times New Roman"/>
          <w:bCs/>
          <w:sz w:val="44"/>
          <w:szCs w:val="44"/>
          <w:lang w:val="en-US" w:eastAsia="zh-CN"/>
        </w:rPr>
        <w:t>南高乡</w:t>
      </w:r>
    </w:p>
    <w:p w14:paraId="606B2CBE">
      <w:pPr>
        <w:spacing w:line="560" w:lineRule="exact"/>
        <w:jc w:val="center"/>
        <w:rPr>
          <w:rFonts w:ascii="宋体" w:hAnsi="宋体" w:eastAsia="宋体" w:cs="宋体"/>
          <w:b/>
          <w:color w:val="222222"/>
          <w:sz w:val="44"/>
        </w:rPr>
      </w:pPr>
      <w:r>
        <w:rPr>
          <w:rFonts w:hint="eastAsia" w:ascii="方正小标宋_GBK" w:hAnsi="Times New Roman" w:eastAsia="方正小标宋_GBK" w:cs="Times New Roman"/>
          <w:bCs/>
          <w:sz w:val="44"/>
          <w:szCs w:val="44"/>
        </w:rPr>
        <w:t>第</w:t>
      </w:r>
      <w:r>
        <w:rPr>
          <w:rFonts w:hint="eastAsia" w:ascii="方正小标宋_GBK" w:hAnsi="Times New Roman" w:eastAsia="方正小标宋_GBK" w:cs="Times New Roman"/>
          <w:bCs/>
          <w:sz w:val="44"/>
          <w:szCs w:val="44"/>
          <w:lang w:val="en-US" w:eastAsia="zh-CN"/>
        </w:rPr>
        <w:t>二十</w:t>
      </w:r>
      <w:r>
        <w:rPr>
          <w:rFonts w:hint="eastAsia" w:ascii="方正小标宋_GBK" w:hAnsi="Times New Roman" w:eastAsia="方正小标宋_GBK" w:cs="Times New Roman"/>
          <w:bCs/>
          <w:sz w:val="44"/>
          <w:szCs w:val="44"/>
        </w:rPr>
        <w:t>次跨部门联合抽查实施方案</w:t>
      </w:r>
    </w:p>
    <w:p w14:paraId="03F5B684">
      <w:pPr>
        <w:pStyle w:val="4"/>
        <w:kinsoku w:val="0"/>
        <w:overflowPunct w:val="0"/>
        <w:spacing w:line="560" w:lineRule="exact"/>
        <w:ind w:right="18"/>
        <w:rPr>
          <w:rFonts w:ascii="仿宋" w:hAnsi="仿宋" w:eastAsia="仿宋" w:cs="Times New Roman"/>
        </w:rPr>
      </w:pPr>
    </w:p>
    <w:p w14:paraId="618294C3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为深入推进“双随机、一公开”监管与企业信用风险分级分类监管有机结合，提高双随机抽查的精准性和靶向性，根据《石家庄市栾城区</w:t>
      </w:r>
      <w:r>
        <w:rPr>
          <w:rFonts w:hint="eastAsia" w:ascii="仿宋" w:hAnsi="仿宋" w:eastAsia="仿宋" w:cs="仿宋"/>
          <w:bCs/>
          <w:szCs w:val="32"/>
          <w:lang w:eastAsia="zh-CN"/>
        </w:rPr>
        <w:t>2026</w:t>
      </w:r>
      <w:r>
        <w:rPr>
          <w:rFonts w:hint="eastAsia" w:ascii="仿宋" w:hAnsi="仿宋" w:eastAsia="仿宋" w:cs="仿宋"/>
          <w:bCs/>
          <w:szCs w:val="32"/>
        </w:rPr>
        <w:t>年度“双随机、一公开”监管工作实施方案》、《石家庄市栾城区</w:t>
      </w:r>
      <w:r>
        <w:rPr>
          <w:rFonts w:hint="eastAsia" w:ascii="仿宋" w:hAnsi="仿宋" w:eastAsia="仿宋" w:cs="仿宋"/>
          <w:bCs/>
          <w:szCs w:val="32"/>
          <w:lang w:eastAsia="zh-CN"/>
        </w:rPr>
        <w:t>2026</w:t>
      </w:r>
      <w:r>
        <w:rPr>
          <w:rFonts w:hint="eastAsia" w:ascii="仿宋" w:hAnsi="仿宋" w:eastAsia="仿宋" w:cs="仿宋"/>
          <w:bCs/>
          <w:szCs w:val="32"/>
        </w:rPr>
        <w:t>年度随机抽查工作计划》，</w:t>
      </w:r>
      <w:r>
        <w:rPr>
          <w:rFonts w:hint="eastAsia" w:ascii="仿宋" w:hAnsi="仿宋" w:eastAsia="仿宋" w:cs="仿宋"/>
          <w:bCs/>
          <w:szCs w:val="32"/>
          <w:lang w:eastAsia="zh-CN"/>
        </w:rPr>
        <w:t>我乡镇</w:t>
      </w:r>
      <w:r>
        <w:rPr>
          <w:rFonts w:hint="eastAsia" w:ascii="仿宋" w:hAnsi="仿宋" w:eastAsia="仿宋" w:cs="仿宋"/>
          <w:bCs/>
          <w:szCs w:val="32"/>
        </w:rPr>
        <w:t>决定组织开展</w:t>
      </w:r>
      <w:r>
        <w:rPr>
          <w:rFonts w:hint="eastAsia" w:ascii="仿宋" w:hAnsi="仿宋" w:eastAsia="仿宋" w:cs="仿宋"/>
          <w:bCs/>
          <w:szCs w:val="32"/>
          <w:lang w:eastAsia="zh-CN"/>
        </w:rPr>
        <w:t>2026</w:t>
      </w:r>
      <w:r>
        <w:rPr>
          <w:rFonts w:hint="eastAsia" w:ascii="仿宋" w:hAnsi="仿宋" w:eastAsia="仿宋" w:cs="仿宋"/>
          <w:bCs/>
          <w:szCs w:val="32"/>
        </w:rPr>
        <w:t>年</w:t>
      </w:r>
      <w:r>
        <w:rPr>
          <w:rFonts w:hint="eastAsia" w:ascii="仿宋" w:hAnsi="仿宋" w:eastAsia="仿宋" w:cs="仿宋"/>
          <w:bCs/>
          <w:szCs w:val="32"/>
          <w:lang w:eastAsia="zh-CN"/>
        </w:rPr>
        <w:t>度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石家庄市栾城区</w:t>
      </w:r>
      <w:r>
        <w:rPr>
          <w:rFonts w:hint="eastAsia" w:ascii="仿宋" w:hAnsi="仿宋" w:eastAsia="仿宋" w:cs="仿宋"/>
          <w:bCs/>
          <w:szCs w:val="32"/>
        </w:rPr>
        <w:t>第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二十</w:t>
      </w:r>
      <w:bookmarkStart w:id="0" w:name="_GoBack"/>
      <w:bookmarkEnd w:id="0"/>
      <w:r>
        <w:rPr>
          <w:rFonts w:hint="eastAsia" w:ascii="仿宋" w:hAnsi="仿宋" w:eastAsia="仿宋" w:cs="仿宋"/>
          <w:bCs/>
          <w:szCs w:val="32"/>
        </w:rPr>
        <w:t>次跨部门联合抽查。特制定本方案。</w:t>
      </w:r>
    </w:p>
    <w:p w14:paraId="17719E8D">
      <w:pPr>
        <w:adjustRightInd w:val="0"/>
        <w:snapToGrid w:val="0"/>
        <w:spacing w:line="540" w:lineRule="exact"/>
        <w:ind w:firstLine="640" w:firstLineChars="200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一、抽查时间</w:t>
      </w:r>
    </w:p>
    <w:p w14:paraId="0BD50B0F">
      <w:pPr>
        <w:adjustRightInd w:val="0"/>
        <w:snapToGrid w:val="0"/>
        <w:spacing w:line="540" w:lineRule="exact"/>
        <w:ind w:firstLine="640" w:firstLineChars="200"/>
        <w:rPr>
          <w:rFonts w:hint="default" w:ascii="仿宋" w:hAnsi="仿宋" w:eastAsia="仿宋" w:cs="仿宋"/>
          <w:bCs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Cs w:val="32"/>
          <w:lang w:eastAsia="zh-CN"/>
        </w:rPr>
        <w:t>2026</w:t>
      </w:r>
      <w:r>
        <w:rPr>
          <w:rFonts w:hint="eastAsia" w:ascii="仿宋" w:hAnsi="仿宋" w:eastAsia="仿宋" w:cs="仿宋"/>
          <w:bCs/>
          <w:szCs w:val="32"/>
        </w:rPr>
        <w:t>年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bCs/>
          <w:szCs w:val="32"/>
        </w:rPr>
        <w:t>月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14日</w:t>
      </w:r>
      <w:r>
        <w:rPr>
          <w:rFonts w:hint="eastAsia" w:ascii="仿宋" w:hAnsi="仿宋" w:eastAsia="仿宋" w:cs="仿宋"/>
          <w:bCs/>
          <w:szCs w:val="32"/>
        </w:rPr>
        <w:t>至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bCs/>
          <w:szCs w:val="32"/>
        </w:rPr>
        <w:t>月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30日</w:t>
      </w:r>
    </w:p>
    <w:p w14:paraId="5E96A503">
      <w:pPr>
        <w:adjustRightInd w:val="0"/>
        <w:snapToGrid w:val="0"/>
        <w:spacing w:line="540" w:lineRule="exact"/>
        <w:ind w:firstLine="640" w:firstLineChars="200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二、抽查事项内容</w:t>
      </w:r>
    </w:p>
    <w:p w14:paraId="6B6A6990">
      <w:pPr>
        <w:adjustRightInd w:val="0"/>
        <w:snapToGrid w:val="0"/>
        <w:spacing w:line="540" w:lineRule="exact"/>
        <w:ind w:firstLine="640" w:firstLineChars="200"/>
        <w:rPr>
          <w:rFonts w:hint="eastAsia" w:ascii="仿宋" w:hAnsi="仿宋" w:eastAsia="仿宋" w:cs="仿宋"/>
          <w:bCs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Cs w:val="32"/>
          <w:lang w:val="en-US" w:eastAsia="zh-CN"/>
        </w:rPr>
        <w:t xml:space="preserve">区南高乡人民政府：对违反《河北省清真食品管理条例》的监督检查；全省卫星电视广播地面接收设施管理工作监督检查；电影“双随机”抽查；设置大型户外广告及城市建筑物、设施上悬挂、张贴宣传品的检查；临时性建筑物搭建、堆放物料、占道施工审批后的监督检查。     </w:t>
      </w:r>
    </w:p>
    <w:p w14:paraId="0AFBF266">
      <w:pPr>
        <w:adjustRightInd w:val="0"/>
        <w:snapToGrid w:val="0"/>
        <w:spacing w:line="540" w:lineRule="exact"/>
        <w:ind w:firstLine="640" w:firstLineChars="200"/>
        <w:rPr>
          <w:rFonts w:hint="eastAsia"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  <w:lang w:val="en-US" w:eastAsia="zh-CN"/>
        </w:rPr>
        <w:t xml:space="preserve">区市场监督管理局：登记事项检查。    </w:t>
      </w:r>
      <w:r>
        <w:rPr>
          <w:rStyle w:val="18"/>
          <w:rFonts w:hint="eastAsia"/>
          <w:sz w:val="20"/>
          <w:szCs w:val="20"/>
          <w:lang w:val="en-US" w:eastAsia="zh-CN"/>
        </w:rPr>
        <w:t xml:space="preserve"> </w:t>
      </w:r>
    </w:p>
    <w:p w14:paraId="44B9E3F3">
      <w:pPr>
        <w:adjustRightInd w:val="0"/>
        <w:snapToGrid w:val="0"/>
        <w:spacing w:line="540" w:lineRule="exact"/>
        <w:ind w:firstLine="640" w:firstLineChars="200"/>
        <w:rPr>
          <w:rFonts w:ascii="黑体" w:hAnsi="黑体" w:eastAsia="黑体" w:cs="黑体"/>
          <w:bCs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三、抽查对象范围及比例</w:t>
      </w:r>
    </w:p>
    <w:p w14:paraId="33471D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ascii="仿宋" w:hAnsi="仿宋" w:eastAsia="仿宋" w:cs="仿宋"/>
          <w:bCs/>
          <w:color w:val="C00000"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抽查对象范围：</w:t>
      </w:r>
      <w:r>
        <w:rPr>
          <w:rFonts w:hint="eastAsia" w:ascii="仿宋" w:hAnsi="仿宋" w:eastAsia="仿宋" w:cs="仿宋"/>
          <w:bCs/>
          <w:color w:val="000000" w:themeColor="text1"/>
          <w:szCs w:val="32"/>
          <w:lang w:eastAsia="zh-CN"/>
          <w14:textFill>
            <w14:solidFill>
              <w14:schemeClr w14:val="tx1"/>
            </w14:solidFill>
          </w14:textFill>
        </w:rPr>
        <w:t>辖区内重点监管行业，按</w:t>
      </w:r>
      <w:r>
        <w:rPr>
          <w:rFonts w:hint="eastAsia" w:ascii="Times New Roman" w:hAnsi="Times New Roman" w:eastAsia="仿宋" w:cs="Times New Roman"/>
          <w:bCs/>
          <w:color w:val="000000" w:themeColor="text1"/>
          <w:szCs w:val="32"/>
          <w14:textFill>
            <w14:solidFill>
              <w14:schemeClr w14:val="tx1"/>
            </w14:solidFill>
          </w14:textFill>
        </w:rPr>
        <w:t>照信用风险分级分类等级抽取涉及行业共计不低于</w:t>
      </w:r>
      <w:r>
        <w:rPr>
          <w:rFonts w:hint="eastAsia" w:ascii="Times New Roman" w:hAnsi="Times New Roman" w:eastAsia="仿宋" w:cs="Times New Roman"/>
          <w:bCs/>
          <w:color w:val="000000" w:themeColor="text1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Times New Roman" w:hAnsi="Times New Roman" w:eastAsia="仿宋" w:cs="Times New Roman"/>
          <w:bCs/>
          <w:color w:val="000000" w:themeColor="text1"/>
          <w:szCs w:val="32"/>
          <w14:textFill>
            <w14:solidFill>
              <w14:schemeClr w14:val="tx1"/>
            </w14:solidFill>
          </w14:textFill>
        </w:rPr>
        <w:t>%</w:t>
      </w:r>
      <w:r>
        <w:rPr>
          <w:rFonts w:hint="eastAsia" w:ascii="仿宋" w:eastAsia="仿宋" w:cs="仿宋"/>
          <w:bCs/>
          <w:color w:val="000000" w:themeColor="text1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。 </w:t>
      </w:r>
    </w:p>
    <w:p w14:paraId="26163D9D">
      <w:pPr>
        <w:spacing w:line="540" w:lineRule="exact"/>
        <w:ind w:firstLine="640" w:firstLineChars="200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四、名单抽取及派发</w:t>
      </w:r>
    </w:p>
    <w:p w14:paraId="36FA8DAF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（一）通过“河北省双随机执法监管平台”从检查对象名录库抽取确定被检查对象，由“河北省双随机执法监管平台”自动派发到各监管单位，由各单位的管理员在两个工作日内完成比对和确认。</w:t>
      </w:r>
    </w:p>
    <w:p w14:paraId="67091A6E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（二）各监管单位通过“河北省双随机执法监管平台”对被检查对象进行认领，从执法人员名录库中随机抽取执法检查人员进行匹配编组。</w:t>
      </w:r>
    </w:p>
    <w:p w14:paraId="22CA3D39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（三）被检查对象和检查人员确定后，由“河北省双随机执法监管平台”随机匹配，自动生成一户企业一份随机抽查联合检查记录表（简称“一企一表”），并自动派发到执法检查人员（可直接在APP端查看），实施检查。</w:t>
      </w:r>
    </w:p>
    <w:p w14:paraId="1336C3F2">
      <w:pPr>
        <w:adjustRightInd w:val="0"/>
        <w:snapToGrid w:val="0"/>
        <w:spacing w:line="540" w:lineRule="exact"/>
        <w:ind w:firstLine="640" w:firstLineChars="200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五、组织实施</w:t>
      </w:r>
    </w:p>
    <w:p w14:paraId="34F76923">
      <w:pPr>
        <w:adjustRightInd w:val="0"/>
        <w:snapToGrid w:val="0"/>
        <w:spacing w:line="540" w:lineRule="exact"/>
        <w:ind w:firstLine="640" w:firstLineChars="200"/>
        <w:rPr>
          <w:rFonts w:ascii="楷体" w:hAnsi="楷体" w:eastAsia="楷体" w:cs="楷体"/>
          <w:bCs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（一）任务分工</w:t>
      </w:r>
    </w:p>
    <w:p w14:paraId="1B57CAA0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1.本次联合抽查由区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南高乡人民政府</w:t>
      </w:r>
      <w:r>
        <w:rPr>
          <w:rFonts w:hint="eastAsia" w:ascii="仿宋" w:hAnsi="仿宋" w:eastAsia="仿宋" w:cs="仿宋"/>
          <w:bCs/>
          <w:szCs w:val="32"/>
        </w:rPr>
        <w:t>牵头，纳入跨部门“双随机、一公开”联合抽查的区有关部门为区</w:t>
      </w:r>
      <w:r>
        <w:rPr>
          <w:rFonts w:hint="eastAsia" w:ascii="仿宋" w:hAnsi="仿宋" w:eastAsia="仿宋" w:cs="仿宋"/>
          <w:bCs/>
          <w:szCs w:val="32"/>
          <w:lang w:eastAsia="zh-CN"/>
        </w:rPr>
        <w:t>市场监督管理局</w:t>
      </w:r>
      <w:r>
        <w:rPr>
          <w:rFonts w:hint="eastAsia" w:ascii="仿宋" w:hAnsi="仿宋" w:eastAsia="仿宋" w:cs="仿宋"/>
          <w:bCs/>
          <w:szCs w:val="32"/>
        </w:rPr>
        <w:t>。各部门负责并具体落实本系统“双随机、一公开”联合抽查工作。</w:t>
      </w:r>
    </w:p>
    <w:p w14:paraId="64531DD3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2.随机抽取的执法人员，无法独立完成专业抽查事项的，由执法检查人员所在部门选派专业人员协助指导完成工作。</w:t>
      </w:r>
    </w:p>
    <w:p w14:paraId="3F61F4CA">
      <w:pPr>
        <w:adjustRightInd w:val="0"/>
        <w:snapToGrid w:val="0"/>
        <w:spacing w:line="540" w:lineRule="exact"/>
        <w:ind w:firstLine="640" w:firstLineChars="200"/>
        <w:rPr>
          <w:rFonts w:ascii="楷体" w:hAnsi="楷体" w:eastAsia="楷体" w:cs="楷体"/>
          <w:b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（二）检查方式</w:t>
      </w:r>
    </w:p>
    <w:p w14:paraId="2AFD9AF2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1.现场检查一般采取信息比对、实地核查等方法；</w:t>
      </w:r>
    </w:p>
    <w:p w14:paraId="46297974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2.通知检查对象，下达检查通知书，告知被检查对象检查内容及需要检查对象配合的事宜。</w:t>
      </w:r>
    </w:p>
    <w:p w14:paraId="71EE27BF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3.对企业进行实地核查时，应当出示相应证件，检查人员应当填写“一企一表”，并由被检查企业法定代表人签字或盖章确认；被检查对象拒绝签字的应当在“一企一表”上如实记录；以上操作可在“河北省双随机执法监管平台”手机APP上完成。</w:t>
      </w:r>
    </w:p>
    <w:p w14:paraId="01067F2B">
      <w:pPr>
        <w:adjustRightInd w:val="0"/>
        <w:snapToGrid w:val="0"/>
        <w:spacing w:line="540" w:lineRule="exact"/>
        <w:ind w:firstLine="640" w:firstLineChars="200"/>
        <w:rPr>
          <w:rFonts w:ascii="楷体" w:hAnsi="楷体" w:eastAsia="楷体" w:cs="楷体"/>
          <w:b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（三）抽查结果公示</w:t>
      </w:r>
    </w:p>
    <w:p w14:paraId="6DC4754D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 xml:space="preserve"> 执法检查人员要自完成“双随机、一公开”联合抽查工作结束之日起20个工作日内，在“河北省双随机执法监管平台”完成录入、审核，抽查结果由系统完成数据交换自动归集到市场主体名下，通过“河北省双随机执法监管平台”自动交换到“国家市场主体信用信息公示系统”（河北）向社会公示。</w:t>
      </w:r>
    </w:p>
    <w:p w14:paraId="44DD0FC1">
      <w:pPr>
        <w:adjustRightInd w:val="0"/>
        <w:snapToGrid w:val="0"/>
        <w:spacing w:line="540" w:lineRule="exact"/>
        <w:ind w:firstLine="640" w:firstLineChars="200"/>
        <w:rPr>
          <w:rFonts w:ascii="楷体" w:hAnsi="楷体" w:eastAsia="楷体" w:cs="楷体"/>
          <w:b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（四）后续结果处置</w:t>
      </w:r>
    </w:p>
    <w:p w14:paraId="027054D8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  <w:lang w:eastAsia="zh-CN"/>
        </w:rPr>
        <w:t>各单位</w:t>
      </w:r>
      <w:r>
        <w:rPr>
          <w:rFonts w:hint="eastAsia" w:ascii="仿宋" w:hAnsi="仿宋" w:eastAsia="仿宋" w:cs="仿宋"/>
          <w:bCs/>
          <w:szCs w:val="32"/>
        </w:rPr>
        <w:t>要根据职责和管辖权限，对检查中发现的违法线索，及时依法处理或移交有关部门，并在20个工作日内将后续处置结果录入“河北省双随机执法监管平台”中“后续处置”模块，确保后续监管到位，形成监管闭环。</w:t>
      </w:r>
    </w:p>
    <w:p w14:paraId="45288486">
      <w:pPr>
        <w:adjustRightInd w:val="0"/>
        <w:snapToGrid w:val="0"/>
        <w:spacing w:line="540" w:lineRule="exact"/>
        <w:ind w:firstLine="640" w:firstLineChars="200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 xml:space="preserve"> 六、工作要求</w:t>
      </w:r>
    </w:p>
    <w:p w14:paraId="25F02D61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（一）明确工作职责，做好组织保障。</w:t>
      </w:r>
      <w:r>
        <w:rPr>
          <w:rFonts w:hint="eastAsia" w:ascii="仿宋" w:hAnsi="仿宋" w:eastAsia="仿宋" w:cs="仿宋"/>
          <w:bCs/>
          <w:szCs w:val="32"/>
          <w:lang w:eastAsia="zh-CN"/>
        </w:rPr>
        <w:t>区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南高乡人民政府</w:t>
      </w:r>
      <w:r>
        <w:rPr>
          <w:rFonts w:hint="eastAsia" w:ascii="仿宋" w:hAnsi="仿宋" w:eastAsia="仿宋" w:cs="仿宋"/>
          <w:bCs/>
          <w:szCs w:val="32"/>
        </w:rPr>
        <w:t>要加强对“双随机、一公开”联合抽查工作的组织领导，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并</w:t>
      </w:r>
      <w:r>
        <w:rPr>
          <w:rFonts w:hint="eastAsia" w:ascii="仿宋" w:hAnsi="仿宋" w:eastAsia="仿宋" w:cs="仿宋"/>
          <w:bCs/>
          <w:szCs w:val="32"/>
        </w:rPr>
        <w:t>做好牵头工作；各有关部门要加强对本系统抽查任务的业务指导。各有关部门协调联动、统筹推进的工作机制，强化组织保障、机制保障、经费保障，确保各项措施有序推进。</w:t>
      </w:r>
    </w:p>
    <w:p w14:paraId="712A5F08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（二）周密制定计划，认真抓好落实。</w:t>
      </w:r>
      <w:r>
        <w:rPr>
          <w:rFonts w:hint="eastAsia" w:ascii="仿宋" w:hAnsi="仿宋" w:eastAsia="仿宋" w:cs="仿宋"/>
          <w:bCs/>
          <w:szCs w:val="32"/>
        </w:rPr>
        <w:t>按照市政府统一部署，积极筹划，精心组织，加强宣传，认真制定具体工作方案，按时完成各项检查工作。</w:t>
      </w:r>
    </w:p>
    <w:p w14:paraId="4D82ABF4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（三）落实“应联尽联”，提高检查效率。</w:t>
      </w:r>
      <w:r>
        <w:rPr>
          <w:rFonts w:hint="eastAsia" w:ascii="仿宋" w:hAnsi="仿宋" w:eastAsia="仿宋" w:cs="仿宋"/>
          <w:bCs/>
          <w:szCs w:val="32"/>
        </w:rPr>
        <w:t>牵头部门的执法检查人员负责组织协调管理，统一安排检查日程、检查方式，组织实施联合检查。其他检查人员应各司其职，配合、服从安排，分工协作完成检查任务，实现“进一次门、查多项事”，避免多头执法、重复检查，减轻企业负担。</w:t>
      </w:r>
    </w:p>
    <w:p w14:paraId="5D5A17C2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(四)寓监管于服务，减轻企业负担。</w:t>
      </w:r>
      <w:r>
        <w:rPr>
          <w:rFonts w:hint="eastAsia" w:ascii="仿宋" w:hAnsi="仿宋" w:eastAsia="仿宋" w:cs="仿宋"/>
          <w:bCs/>
          <w:szCs w:val="32"/>
        </w:rPr>
        <w:t>在联合抽查工作中，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相</w:t>
      </w:r>
      <w:r>
        <w:rPr>
          <w:rFonts w:hint="eastAsia" w:ascii="仿宋" w:hAnsi="仿宋" w:eastAsia="仿宋" w:cs="仿宋"/>
          <w:bCs/>
          <w:szCs w:val="32"/>
        </w:rPr>
        <w:t>关部门要注重服务与监管相结合，检查人员在监督检查工作中要严格遵守廉政纪律，依法行政，切实增强检查活动的集约性、简便性与有效性，避免增加企业负担。同时要增强服务意识，把上门检查与上门服务有机结合起来，主动接受企业咨询，为企业解疑答惑。</w:t>
      </w:r>
    </w:p>
    <w:p w14:paraId="454B518E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(五)按时公示结果，促进信用监管。</w:t>
      </w:r>
      <w:r>
        <w:rPr>
          <w:rFonts w:hint="eastAsia" w:ascii="仿宋" w:hAnsi="仿宋" w:eastAsia="仿宋" w:cs="仿宋"/>
          <w:bCs/>
          <w:szCs w:val="32"/>
        </w:rPr>
        <w:t>联合抽查工作要做好检查结果的公示，严格按照《石家庄市栾城区</w:t>
      </w:r>
      <w:r>
        <w:rPr>
          <w:rFonts w:hint="eastAsia" w:ascii="仿宋" w:hAnsi="仿宋" w:eastAsia="仿宋" w:cs="仿宋"/>
          <w:bCs/>
          <w:szCs w:val="32"/>
          <w:lang w:eastAsia="zh-CN"/>
        </w:rPr>
        <w:t>2026</w:t>
      </w:r>
      <w:r>
        <w:rPr>
          <w:rFonts w:hint="eastAsia" w:ascii="仿宋" w:hAnsi="仿宋" w:eastAsia="仿宋" w:cs="仿宋"/>
          <w:bCs/>
          <w:szCs w:val="32"/>
        </w:rPr>
        <w:t>年度“双随机、一公开”监管工作实施方案》的要求，及时录入并公示检查结果。同时，对抽查中发现的问题依法依规处置，及时回填后续处理结果，形成完整闭环。</w:t>
      </w:r>
    </w:p>
    <w:p w14:paraId="305B5BE0">
      <w:pPr>
        <w:spacing w:line="540" w:lineRule="exact"/>
        <w:ind w:firstLine="640" w:firstLineChars="200"/>
        <w:jc w:val="left"/>
        <w:rPr>
          <w:rFonts w:ascii="Times New Roman" w:hAnsi="Times New Roman" w:eastAsia="仿宋" w:cs="Times New Roman"/>
          <w:bCs/>
          <w:szCs w:val="32"/>
        </w:rPr>
      </w:pPr>
    </w:p>
    <w:p w14:paraId="5412173A">
      <w:pPr>
        <w:spacing w:line="540" w:lineRule="exact"/>
        <w:ind w:firstLine="3520" w:firstLineChars="1100"/>
        <w:rPr>
          <w:rFonts w:ascii="仿宋" w:hAnsi="仿宋" w:eastAsia="仿宋" w:cs="仿宋"/>
        </w:rPr>
      </w:pPr>
    </w:p>
    <w:p w14:paraId="69A773FC">
      <w:pPr>
        <w:pStyle w:val="11"/>
        <w:ind w:left="640" w:firstLine="560"/>
      </w:pPr>
    </w:p>
    <w:p w14:paraId="1483F8CA">
      <w:pPr>
        <w:spacing w:line="540" w:lineRule="exact"/>
        <w:ind w:right="960"/>
        <w:jc w:val="right"/>
        <w:rPr>
          <w:rFonts w:hint="eastAsia" w:ascii="仿宋" w:hAnsi="仿宋" w:eastAsia="仿宋" w:cs="仿宋"/>
          <w:lang w:eastAsia="zh-CN"/>
        </w:rPr>
      </w:pPr>
      <w:r>
        <w:rPr>
          <w:rFonts w:hint="eastAsia" w:ascii="仿宋" w:hAnsi="仿宋" w:eastAsia="仿宋" w:cs="仿宋"/>
        </w:rPr>
        <w:t>石家庄市栾城区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南高乡人民政府</w:t>
      </w:r>
    </w:p>
    <w:p w14:paraId="21DED8D1">
      <w:pPr>
        <w:spacing w:line="540" w:lineRule="exact"/>
        <w:ind w:right="1280"/>
        <w:jc w:val="center"/>
      </w:pPr>
      <w:r>
        <w:rPr>
          <w:rFonts w:hint="eastAsia" w:ascii="仿宋" w:hAnsi="仿宋" w:eastAsia="仿宋" w:cs="仿宋"/>
        </w:rPr>
        <w:t xml:space="preserve">                              </w:t>
      </w:r>
      <w:r>
        <w:rPr>
          <w:rFonts w:hint="eastAsia" w:ascii="仿宋" w:hAnsi="仿宋" w:eastAsia="仿宋" w:cs="仿宋"/>
          <w:lang w:eastAsia="zh-CN"/>
        </w:rPr>
        <w:t>2026</w:t>
      </w:r>
      <w:r>
        <w:rPr>
          <w:rFonts w:hint="eastAsia" w:ascii="仿宋" w:hAnsi="仿宋" w:eastAsia="仿宋" w:cs="仿宋"/>
        </w:rPr>
        <w:t>年</w:t>
      </w:r>
      <w:r>
        <w:rPr>
          <w:rFonts w:hint="eastAsia" w:ascii="仿宋" w:hAnsi="仿宋" w:eastAsia="仿宋" w:cs="仿宋"/>
          <w:lang w:val="en-US" w:eastAsia="zh-CN"/>
        </w:rPr>
        <w:t>5</w:t>
      </w:r>
      <w:r>
        <w:rPr>
          <w:rFonts w:hint="eastAsia" w:ascii="仿宋" w:hAnsi="仿宋" w:eastAsia="仿宋" w:cs="仿宋"/>
        </w:rPr>
        <w:t>月</w:t>
      </w:r>
      <w:r>
        <w:rPr>
          <w:rFonts w:hint="eastAsia" w:ascii="仿宋" w:hAnsi="仿宋" w:eastAsia="仿宋" w:cs="仿宋"/>
          <w:lang w:val="en-US" w:eastAsia="zh-CN"/>
        </w:rPr>
        <w:t>13</w:t>
      </w:r>
      <w:r>
        <w:rPr>
          <w:rFonts w:hint="eastAsia" w:ascii="仿宋" w:hAnsi="仿宋" w:eastAsia="仿宋" w:cs="仿宋"/>
        </w:rPr>
        <w:t>日</w:t>
      </w:r>
    </w:p>
    <w:sectPr>
      <w:headerReference r:id="rId3" w:type="default"/>
      <w:footerReference r:id="rId4" w:type="default"/>
      <w:pgSz w:w="11906" w:h="16838"/>
      <w:pgMar w:top="1440" w:right="1588" w:bottom="1440" w:left="1588" w:header="851" w:footer="992" w:gutter="0"/>
      <w:cols w:space="425" w:num="1"/>
      <w:docGrid w:type="linesAndChar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KSOF8080F95D">
    <w:panose1 w:val="020B0503020204020204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31A778"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0344EF">
    <w:pPr>
      <w:pStyle w:val="7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embedSystemFonts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U3MjAzOGI1ZWM1NjI3YTE0MjIzZDIwNTMwM2NhZjEifQ=="/>
    <w:docVar w:name="KSO_WPS_MARK_KEY" w:val="8e83d5bd-74bd-4576-b3f2-96314056b1a5"/>
  </w:docVars>
  <w:rsids>
    <w:rsidRoot w:val="3562261D"/>
    <w:rsid w:val="000436E6"/>
    <w:rsid w:val="000A4E9C"/>
    <w:rsid w:val="000B0FB8"/>
    <w:rsid w:val="000C4D1A"/>
    <w:rsid w:val="000D7C6E"/>
    <w:rsid w:val="001E0A5F"/>
    <w:rsid w:val="00214010"/>
    <w:rsid w:val="002F7D1A"/>
    <w:rsid w:val="003632A6"/>
    <w:rsid w:val="00384293"/>
    <w:rsid w:val="003900A4"/>
    <w:rsid w:val="003A5224"/>
    <w:rsid w:val="003F0310"/>
    <w:rsid w:val="005C0735"/>
    <w:rsid w:val="005C30C2"/>
    <w:rsid w:val="005F06D6"/>
    <w:rsid w:val="00636E9C"/>
    <w:rsid w:val="006C6050"/>
    <w:rsid w:val="006F515A"/>
    <w:rsid w:val="007E4B77"/>
    <w:rsid w:val="00843898"/>
    <w:rsid w:val="008A6A27"/>
    <w:rsid w:val="008C3566"/>
    <w:rsid w:val="008D2502"/>
    <w:rsid w:val="00990099"/>
    <w:rsid w:val="00991856"/>
    <w:rsid w:val="009E0322"/>
    <w:rsid w:val="009F7D76"/>
    <w:rsid w:val="00A34FEA"/>
    <w:rsid w:val="00A52CFF"/>
    <w:rsid w:val="00A64A33"/>
    <w:rsid w:val="00A77799"/>
    <w:rsid w:val="00AD32E1"/>
    <w:rsid w:val="00B24F65"/>
    <w:rsid w:val="00C62D67"/>
    <w:rsid w:val="00D7699A"/>
    <w:rsid w:val="00D9467E"/>
    <w:rsid w:val="00E707DD"/>
    <w:rsid w:val="00EA55D4"/>
    <w:rsid w:val="00F46840"/>
    <w:rsid w:val="00F85806"/>
    <w:rsid w:val="00FC68CC"/>
    <w:rsid w:val="00FD6232"/>
    <w:rsid w:val="00FE10FD"/>
    <w:rsid w:val="01AA1AC9"/>
    <w:rsid w:val="01BD17FD"/>
    <w:rsid w:val="024D4ED8"/>
    <w:rsid w:val="02C31095"/>
    <w:rsid w:val="03890F13"/>
    <w:rsid w:val="03C554CB"/>
    <w:rsid w:val="06AD5B88"/>
    <w:rsid w:val="07053EF1"/>
    <w:rsid w:val="0B2367D5"/>
    <w:rsid w:val="0C0C2C9E"/>
    <w:rsid w:val="0C807FF6"/>
    <w:rsid w:val="0CF72FD5"/>
    <w:rsid w:val="0D0E115E"/>
    <w:rsid w:val="0D180436"/>
    <w:rsid w:val="0ED0658A"/>
    <w:rsid w:val="10940C69"/>
    <w:rsid w:val="10D75D0B"/>
    <w:rsid w:val="10FC10A2"/>
    <w:rsid w:val="11334B88"/>
    <w:rsid w:val="11421D1E"/>
    <w:rsid w:val="14681A9C"/>
    <w:rsid w:val="15A93411"/>
    <w:rsid w:val="171C3D7D"/>
    <w:rsid w:val="179130B8"/>
    <w:rsid w:val="18090EA0"/>
    <w:rsid w:val="18C82056"/>
    <w:rsid w:val="196F12BF"/>
    <w:rsid w:val="19A52933"/>
    <w:rsid w:val="19A60971"/>
    <w:rsid w:val="1B282AD5"/>
    <w:rsid w:val="1CAB504A"/>
    <w:rsid w:val="1D6E79F7"/>
    <w:rsid w:val="1DE81558"/>
    <w:rsid w:val="1E311151"/>
    <w:rsid w:val="1EBF2F7A"/>
    <w:rsid w:val="1F3233D2"/>
    <w:rsid w:val="1F470500"/>
    <w:rsid w:val="20472F5B"/>
    <w:rsid w:val="219A525F"/>
    <w:rsid w:val="219C2D85"/>
    <w:rsid w:val="221B014E"/>
    <w:rsid w:val="22927B6E"/>
    <w:rsid w:val="24A73F1B"/>
    <w:rsid w:val="251D41DD"/>
    <w:rsid w:val="251E3FE2"/>
    <w:rsid w:val="253E786B"/>
    <w:rsid w:val="25C15FB7"/>
    <w:rsid w:val="26B8166C"/>
    <w:rsid w:val="27992E61"/>
    <w:rsid w:val="279B4250"/>
    <w:rsid w:val="281545F4"/>
    <w:rsid w:val="284303FE"/>
    <w:rsid w:val="28CC6ACF"/>
    <w:rsid w:val="296822B1"/>
    <w:rsid w:val="2A80307C"/>
    <w:rsid w:val="2B391645"/>
    <w:rsid w:val="2B98088A"/>
    <w:rsid w:val="2CB4010B"/>
    <w:rsid w:val="2EED69CE"/>
    <w:rsid w:val="2F0348CD"/>
    <w:rsid w:val="2F650C5A"/>
    <w:rsid w:val="30907242"/>
    <w:rsid w:val="30BF0025"/>
    <w:rsid w:val="31175F84"/>
    <w:rsid w:val="31205E28"/>
    <w:rsid w:val="31C9576F"/>
    <w:rsid w:val="334315CA"/>
    <w:rsid w:val="338B6E5C"/>
    <w:rsid w:val="3562261D"/>
    <w:rsid w:val="35D97CAC"/>
    <w:rsid w:val="368648AF"/>
    <w:rsid w:val="373A349D"/>
    <w:rsid w:val="38185651"/>
    <w:rsid w:val="38C43A45"/>
    <w:rsid w:val="39333259"/>
    <w:rsid w:val="3B1A3241"/>
    <w:rsid w:val="3BF75330"/>
    <w:rsid w:val="3C6A6A91"/>
    <w:rsid w:val="3C9A5CBB"/>
    <w:rsid w:val="40BF3443"/>
    <w:rsid w:val="412A5249"/>
    <w:rsid w:val="431542ED"/>
    <w:rsid w:val="4374370A"/>
    <w:rsid w:val="44891D34"/>
    <w:rsid w:val="46F208F5"/>
    <w:rsid w:val="4A1A5CA0"/>
    <w:rsid w:val="4E993408"/>
    <w:rsid w:val="4F876573"/>
    <w:rsid w:val="51D51818"/>
    <w:rsid w:val="51E67134"/>
    <w:rsid w:val="53B11FDB"/>
    <w:rsid w:val="54320CF5"/>
    <w:rsid w:val="54893F5F"/>
    <w:rsid w:val="54B11459"/>
    <w:rsid w:val="55450A62"/>
    <w:rsid w:val="55945546"/>
    <w:rsid w:val="564F5DC0"/>
    <w:rsid w:val="56E55ACA"/>
    <w:rsid w:val="570205BA"/>
    <w:rsid w:val="578A6C00"/>
    <w:rsid w:val="578F2469"/>
    <w:rsid w:val="580E18B3"/>
    <w:rsid w:val="581F1A3E"/>
    <w:rsid w:val="58827A74"/>
    <w:rsid w:val="58AB1524"/>
    <w:rsid w:val="5B3C3AA7"/>
    <w:rsid w:val="5B71501D"/>
    <w:rsid w:val="5C7A5E65"/>
    <w:rsid w:val="5E820631"/>
    <w:rsid w:val="5EA83DC0"/>
    <w:rsid w:val="5FB84911"/>
    <w:rsid w:val="617877D6"/>
    <w:rsid w:val="626C5880"/>
    <w:rsid w:val="62816E52"/>
    <w:rsid w:val="62FA2AA0"/>
    <w:rsid w:val="633437F6"/>
    <w:rsid w:val="64A92E62"/>
    <w:rsid w:val="664D59C9"/>
    <w:rsid w:val="66E77C5A"/>
    <w:rsid w:val="66EA372B"/>
    <w:rsid w:val="678A2AB4"/>
    <w:rsid w:val="6855023B"/>
    <w:rsid w:val="688D2C1C"/>
    <w:rsid w:val="69AD2FAA"/>
    <w:rsid w:val="69FB529A"/>
    <w:rsid w:val="6A552BDC"/>
    <w:rsid w:val="6C9B0FEC"/>
    <w:rsid w:val="6CD56718"/>
    <w:rsid w:val="6CF80057"/>
    <w:rsid w:val="6E584698"/>
    <w:rsid w:val="6FD1766A"/>
    <w:rsid w:val="726522EC"/>
    <w:rsid w:val="74031DBD"/>
    <w:rsid w:val="76692BDC"/>
    <w:rsid w:val="76AA1C74"/>
    <w:rsid w:val="77563564"/>
    <w:rsid w:val="77FFEBB4"/>
    <w:rsid w:val="79935991"/>
    <w:rsid w:val="7A094344"/>
    <w:rsid w:val="7A3D5F80"/>
    <w:rsid w:val="7A7D197B"/>
    <w:rsid w:val="7C402716"/>
    <w:rsid w:val="7C4B2553"/>
    <w:rsid w:val="7EF0118F"/>
    <w:rsid w:val="7F393BAC"/>
    <w:rsid w:val="7F6540E6"/>
    <w:rsid w:val="7F920DE5"/>
    <w:rsid w:val="FA7ED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32"/>
      <w:szCs w:val="22"/>
      <w:lang w:val="en-US" w:eastAsia="zh-CN" w:bidi="ar-SA"/>
    </w:rPr>
  </w:style>
  <w:style w:type="character" w:default="1" w:styleId="10">
    <w:name w:val="Default Paragraph Font"/>
    <w:autoRedefine/>
    <w:semiHidden/>
    <w:unhideWhenUsed/>
    <w:qFormat/>
    <w:uiPriority w:val="1"/>
  </w:style>
  <w:style w:type="table" w:default="1" w:styleId="8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autoRedefine/>
    <w:qFormat/>
    <w:uiPriority w:val="0"/>
    <w:pPr>
      <w:ind w:firstLine="200" w:firstLineChars="200"/>
    </w:pPr>
  </w:style>
  <w:style w:type="paragraph" w:styleId="3">
    <w:name w:val="Body Text Indent"/>
    <w:basedOn w:val="1"/>
    <w:autoRedefine/>
    <w:qFormat/>
    <w:uiPriority w:val="0"/>
    <w:pPr>
      <w:spacing w:after="120"/>
      <w:ind w:left="200" w:leftChars="200"/>
    </w:pPr>
  </w:style>
  <w:style w:type="paragraph" w:styleId="4">
    <w:name w:val="Body Text"/>
    <w:basedOn w:val="1"/>
    <w:next w:val="5"/>
    <w:autoRedefine/>
    <w:qFormat/>
    <w:uiPriority w:val="1"/>
    <w:pPr>
      <w:ind w:left="108"/>
    </w:pPr>
    <w:rPr>
      <w:rFonts w:ascii="宋体" w:eastAsia="宋体" w:cs="宋体"/>
      <w:szCs w:val="32"/>
    </w:rPr>
  </w:style>
  <w:style w:type="paragraph" w:styleId="5">
    <w:name w:val="Title"/>
    <w:basedOn w:val="1"/>
    <w:next w:val="1"/>
    <w:autoRedefine/>
    <w:qFormat/>
    <w:uiPriority w:val="0"/>
    <w:pPr>
      <w:spacing w:before="3"/>
      <w:ind w:left="65" w:right="164"/>
      <w:jc w:val="center"/>
    </w:pPr>
    <w:rPr>
      <w:rFonts w:ascii="宋体" w:hAnsi="宋体" w:eastAsia="宋体" w:cs="宋体"/>
      <w:sz w:val="100"/>
      <w:szCs w:val="100"/>
    </w:rPr>
  </w:style>
  <w:style w:type="paragraph" w:styleId="6">
    <w:name w:val="footer"/>
    <w:basedOn w:val="1"/>
    <w:link w:val="16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5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9">
    <w:name w:val="Table Grid"/>
    <w:basedOn w:val="8"/>
    <w:autoRedefine/>
    <w:qFormat/>
    <w:uiPriority w:val="59"/>
    <w:rPr>
      <w:rFonts w:eastAsia="微软雅黑"/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1">
    <w:name w:val="正文首行缩进 21"/>
    <w:basedOn w:val="12"/>
    <w:next w:val="13"/>
    <w:autoRedefine/>
    <w:qFormat/>
    <w:uiPriority w:val="0"/>
    <w:pPr>
      <w:ind w:firstLine="420" w:firstLineChars="200"/>
    </w:pPr>
    <w:rPr>
      <w:rFonts w:eastAsia="宋体"/>
      <w:w w:val="88"/>
      <w:szCs w:val="21"/>
    </w:rPr>
  </w:style>
  <w:style w:type="paragraph" w:customStyle="1" w:styleId="12">
    <w:name w:val="正文文本缩进1"/>
    <w:basedOn w:val="1"/>
    <w:autoRedefine/>
    <w:qFormat/>
    <w:uiPriority w:val="0"/>
    <w:pPr>
      <w:spacing w:after="120"/>
      <w:ind w:left="420" w:leftChars="200"/>
    </w:pPr>
  </w:style>
  <w:style w:type="paragraph" w:customStyle="1" w:styleId="13">
    <w:name w:val="正文首行缩进1"/>
    <w:basedOn w:val="4"/>
    <w:next w:val="1"/>
    <w:autoRedefine/>
    <w:qFormat/>
    <w:uiPriority w:val="0"/>
    <w:pPr>
      <w:spacing w:line="500" w:lineRule="exact"/>
      <w:ind w:firstLine="420"/>
    </w:pPr>
    <w:rPr>
      <w:sz w:val="28"/>
    </w:rPr>
  </w:style>
  <w:style w:type="paragraph" w:styleId="14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15">
    <w:name w:val="页眉 Char"/>
    <w:basedOn w:val="10"/>
    <w:link w:val="7"/>
    <w:autoRedefine/>
    <w:qFormat/>
    <w:uiPriority w:val="0"/>
    <w:rPr>
      <w:kern w:val="2"/>
      <w:sz w:val="18"/>
      <w:szCs w:val="18"/>
    </w:rPr>
  </w:style>
  <w:style w:type="character" w:customStyle="1" w:styleId="16">
    <w:name w:val="页脚 Char"/>
    <w:basedOn w:val="10"/>
    <w:link w:val="6"/>
    <w:autoRedefine/>
    <w:qFormat/>
    <w:uiPriority w:val="0"/>
    <w:rPr>
      <w:kern w:val="2"/>
      <w:sz w:val="18"/>
      <w:szCs w:val="18"/>
    </w:rPr>
  </w:style>
  <w:style w:type="character" w:customStyle="1" w:styleId="17">
    <w:name w:val="font01"/>
    <w:basedOn w:val="10"/>
    <w:autoRedefine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18">
    <w:name w:val="font51"/>
    <w:basedOn w:val="10"/>
    <w:autoRedefine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64c4f710-63e6-48be-9e9f-f712e0e41df5</errorID>
      <errorWord>》、《</errorWord>
      <group>L1_Punc</group>
      <groupName>标点问题</groupName>
      <ability>L2_Punc</ability>
      <abilityName>标点符号检查</abilityName>
      <candidateList>
        <item>》《</item>
      </candidateList>
      <explain>根据国标GB/T 15834-2011《标点符号用法》中的4.5.3.5节，标有引号的并列成分之间、标有书名号的并列成分之间通常不用顿号。如“《红楼梦》《三国演义》《西游记》《水浒传》，是我国长篇小说的四大名著”。</explain>
      <paraID>618294C3</paraID>
      <start>83</start>
      <end>86</end>
      <status>unmodified</status>
      <modifiedWord/>
      <trackRevisions>false</trackRevisions>
    </reviewItem>
    <reviewItem>
      <errorID>50adbc90-86f9-4b90-9a45-284c3b98a00c</errorID>
      <errorWord>市场监管管理局</errorWord>
      <group>L1_Word</group>
      <groupName>字词问题</groupName>
      <ability>L2_Typo</ability>
      <abilityName>字词错误</abilityName>
      <candidateList>
        <item>市场监督管理局</item>
      </candidateList>
      <explain/>
      <paraID> AFBF266</paraID>
      <start>1</start>
      <end>8</end>
      <status>modified</status>
      <modifiedWord>市场监督管理局</modifiedWord>
      <trackRevisions>false</trackRevisions>
    </reviewItem>
    <reviewItem>
      <errorID>320fbd6d-8517-40b1-a538-89d0dd39b0a6</errorID>
      <errorWord>到</errorWord>
      <group>L1_Word</group>
      <groupName>字词问题</groupName>
      <ability>L2_Typo</ability>
      <abilityName>字词错误</abilityName>
      <candidateList>
        <item>至</item>
      </candidateList>
      <explain>存在字形相近字词的误用。</explain>
      <paraID>36FA8DAF</paraID>
      <start>56</start>
      <end>57</end>
      <status>unmodified</status>
      <modifiedWord/>
      <trackRevisions>false</trackRevisions>
    </reviewItem>
    <reviewItem>
      <errorID>a9d5c86e-532d-40e9-9599-3b7eacac9ae7</errorID>
      <errorWord>制定计划</errorWord>
      <group>L1_Word</group>
      <groupName>字词问题</groupName>
      <ability>L2_Typo</ability>
      <abilityName>字词错误</abilityName>
      <candidateList>
        <item>制订计划</item>
      </candidateList>
      <explain/>
      <paraID>712A5F08</paraID>
      <start>5</start>
      <end>9</end>
      <status>unmodified</status>
      <modifiedWord/>
      <trackRevisions>false</trackRevisions>
    </reviewItem>
    <reviewItem>
      <errorID>5592e925-5e29-4596-b78e-0cacf87ca28b</errorID>
      <errorWord>(四)</errorWord>
      <group>L1_Format</group>
      <groupName>格式问题</groupName>
      <ability>L2_Ordinal</ability>
      <abilityName>序号格式</abilityName>
      <candidateList>
        <item>（四）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5D5A17C2</paraID>
      <start>0</start>
      <end>3</end>
      <status>unmodified</status>
      <modifiedWord/>
      <trackRevisions>false</trackRevisions>
    </reviewItem>
    <reviewItem>
      <errorID>03c57659-21ac-4e2c-a472-e975cdfc39f8</errorID>
      <errorWord>解疑答惑</errorWord>
      <group>L1_Word</group>
      <groupName>字词问题</groupName>
      <ability>L2_Typo</ability>
      <abilityName>字词错误</abilityName>
      <candidateList>
        <item>答疑解惑</item>
      </candidateList>
      <explain/>
      <paraID>5D5A17C2</paraID>
      <start>138</start>
      <end>142</end>
      <status>unmodified</status>
      <modifiedWord/>
      <trackRevisions>false</trackRevisions>
    </reviewItem>
    <reviewItem>
      <errorID>88f17b19-5928-4c86-b0f4-1ca7b6b8f8e7</errorID>
      <errorWord>(五)</errorWord>
      <group>L1_Format</group>
      <groupName>格式问题</groupName>
      <ability>L2_Ordinal</ability>
      <abilityName>序号格式</abilityName>
      <candidateList>
        <item>（五）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454B518E</paraID>
      <start>0</start>
      <end>3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328fc521-6e87-47c7-96e7-9507fa96979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4</Pages>
  <Words>1811</Words>
  <Characters>1847</Characters>
  <Lines>18</Lines>
  <Paragraphs>5</Paragraphs>
  <TotalTime>21</TotalTime>
  <ScaleCrop>false</ScaleCrop>
  <LinksUpToDate>false</LinksUpToDate>
  <CharactersWithSpaces>1890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2024-04-01T02:13:00Z</dcterms:created>
  <dc:creator>侯莉莉</dc:creator>
  <cp:lastModifiedBy>剧亚运</cp:lastModifiedBy>
  <cp:lastPrinted>2024-03-15T02:13:00Z</cp:lastPrinted>
  <dcterms:modified xsi:type="dcterms:W3CDTF">2026-05-13T03:32:21Z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AAF358929A2846978B8A2C29966D8CEE_13</vt:lpwstr>
  </property>
  <property fmtid="{D5CDD505-2E9C-101B-9397-08002B2CF9AE}" pid="4" name="KSOTemplateDocerSaveRecord">
    <vt:lpwstr>eyJoZGlkIjoiODM3M2VjYjg0YmRkZTcwNjM4MGQ5MDViOGJmZTMzMDgiLCJ1c2VySWQiOiIxMDUxMTYzMjIyIn0=</vt:lpwstr>
  </property>
</Properties>
</file>