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DB64F">
      <w:r>
        <w:rPr>
          <w:rFonts w:ascii="Calibri" w:hAnsi="Calibri" w:eastAsia="宋体" w:cs="Arial"/>
          <w:kern w:val="2"/>
          <w:sz w:val="21"/>
          <w:szCs w:val="24"/>
          <w:lang w:val="en-US" w:eastAsia="zh-CN" w:bidi="ar-SA"/>
        </w:rPr>
        <w:pict>
          <v:shape id="图片 1" o:spid="_x0000_s1026" o:spt="75" type="#_x0000_t75" style="position:absolute;left:0pt;margin-left:-76.65pt;margin-top:-0.35pt;height:841.9pt;width:595.2pt;mso-position-vertical-relative:page;z-index:-251657216;mso-width-relative:page;mso-height-relative:page;" fillcolor="#FFFFFF" filled="f" o:preferrelative="t" stroked="f" coordsize="21600,21600">
            <v:path/>
            <v:fill on="f" color2="#FFFFFF" focussize="0,0"/>
            <v:stroke on="f"/>
            <v:imagedata r:id="rId13" gain="65536f" blacklevel="0f" gamma="0" o:title=""/>
            <o:lock v:ext="edit" position="f" selection="f" grouping="f" rotation="f" cropping="f" text="f" aspectratio="t"/>
          </v:shape>
        </w:pict>
      </w:r>
      <w:r>
        <w:br w:type="page"/>
      </w:r>
    </w:p>
    <w:p w14:paraId="68904847">
      <w:pPr>
        <w:rPr>
          <w:rFonts w:ascii="黑体" w:eastAsia="黑体" w:cs="黑体"/>
          <w:sz w:val="72"/>
          <w:szCs w:val="96"/>
        </w:rPr>
      </w:pPr>
    </w:p>
    <w:p w14:paraId="371B7D99">
      <w:pPr>
        <w:rPr>
          <w:rFonts w:ascii="黑体" w:eastAsia="黑体" w:cs="黑体"/>
          <w:sz w:val="72"/>
          <w:szCs w:val="96"/>
        </w:rPr>
      </w:pPr>
      <w:r>
        <w:rPr>
          <w:rFonts w:hint="eastAsia" w:ascii="黑体" w:eastAsia="黑体" w:cs="黑体"/>
          <w:sz w:val="72"/>
          <w:szCs w:val="96"/>
        </w:rPr>
        <w:t>2020年度部门决算公开文本</w:t>
      </w:r>
    </w:p>
    <w:p w14:paraId="52AC52EF">
      <w:pPr>
        <w:spacing w:line="360" w:lineRule="auto"/>
        <w:jc w:val="center"/>
        <w:rPr>
          <w:rFonts w:ascii="黑体" w:eastAsia="黑体" w:cs="黑体"/>
          <w:sz w:val="56"/>
          <w:szCs w:val="72"/>
        </w:rPr>
      </w:pPr>
    </w:p>
    <w:p w14:paraId="612490A8">
      <w:pPr>
        <w:spacing w:line="600" w:lineRule="auto"/>
        <w:jc w:val="center"/>
        <w:rPr>
          <w:rFonts w:ascii="黑体" w:eastAsia="黑体" w:cs="黑体"/>
          <w:sz w:val="56"/>
          <w:szCs w:val="72"/>
        </w:rPr>
      </w:pPr>
    </w:p>
    <w:p w14:paraId="63823F9A">
      <w:pPr>
        <w:spacing w:line="600" w:lineRule="auto"/>
        <w:jc w:val="center"/>
        <w:rPr>
          <w:rFonts w:ascii="黑体" w:eastAsia="黑体" w:cs="黑体"/>
          <w:sz w:val="56"/>
          <w:szCs w:val="72"/>
        </w:rPr>
      </w:pPr>
    </w:p>
    <w:p w14:paraId="1564FB6E">
      <w:pPr>
        <w:spacing w:line="600" w:lineRule="auto"/>
        <w:jc w:val="center"/>
        <w:rPr>
          <w:rFonts w:ascii="黑体" w:eastAsia="黑体" w:cs="黑体"/>
          <w:sz w:val="56"/>
          <w:szCs w:val="72"/>
        </w:rPr>
      </w:pPr>
    </w:p>
    <w:p w14:paraId="2D4742EB">
      <w:pPr>
        <w:spacing w:line="600" w:lineRule="auto"/>
        <w:jc w:val="center"/>
        <w:rPr>
          <w:rFonts w:ascii="黑体" w:eastAsia="黑体" w:cs="黑体"/>
          <w:sz w:val="56"/>
          <w:szCs w:val="72"/>
        </w:rPr>
      </w:pPr>
    </w:p>
    <w:p w14:paraId="6B8F7240">
      <w:pPr>
        <w:spacing w:line="480" w:lineRule="auto"/>
        <w:jc w:val="center"/>
        <w:rPr>
          <w:rFonts w:ascii="黑体" w:eastAsia="黑体" w:cs="黑体"/>
          <w:sz w:val="56"/>
          <w:szCs w:val="72"/>
        </w:rPr>
      </w:pPr>
    </w:p>
    <w:p w14:paraId="64E7791C">
      <w:pPr>
        <w:spacing w:line="480" w:lineRule="auto"/>
        <w:jc w:val="center"/>
        <w:rPr>
          <w:rFonts w:ascii="黑体" w:eastAsia="黑体" w:cs="黑体"/>
          <w:sz w:val="56"/>
          <w:szCs w:val="72"/>
        </w:rPr>
      </w:pPr>
    </w:p>
    <w:p w14:paraId="4C9F2669">
      <w:pPr>
        <w:spacing w:line="480" w:lineRule="auto"/>
        <w:jc w:val="center"/>
        <w:rPr>
          <w:rFonts w:ascii="黑体" w:eastAsia="黑体" w:cs="黑体"/>
          <w:sz w:val="56"/>
          <w:szCs w:val="72"/>
        </w:rPr>
      </w:pPr>
    </w:p>
    <w:p w14:paraId="69D2ADBA">
      <w:pPr>
        <w:spacing w:line="480" w:lineRule="auto"/>
        <w:jc w:val="center"/>
        <w:rPr>
          <w:rFonts w:ascii="黑体" w:eastAsia="黑体" w:cs="黑体"/>
          <w:sz w:val="56"/>
          <w:szCs w:val="72"/>
        </w:rPr>
      </w:pPr>
    </w:p>
    <w:p w14:paraId="734BECF9">
      <w:pPr>
        <w:snapToGrid w:val="0"/>
        <w:jc w:val="center"/>
        <w:rPr>
          <w:rFonts w:ascii="楷体_GB2312" w:eastAsia="楷体_GB2312" w:cs="楷体_GB2312"/>
          <w:color w:val="000000"/>
          <w:kern w:val="0"/>
          <w:sz w:val="44"/>
          <w:szCs w:val="44"/>
          <w:highlight w:val="yellow"/>
        </w:rPr>
      </w:pPr>
      <w:r>
        <w:rPr>
          <w:rFonts w:ascii="楷体_GB2312" w:eastAsia="楷体_GB2312" w:cs="楷体_GB2312"/>
          <w:color w:val="000000"/>
          <w:kern w:val="0"/>
          <w:sz w:val="44"/>
          <w:szCs w:val="44"/>
        </w:rPr>
        <w:t>栾城区委网信办</w:t>
      </w:r>
    </w:p>
    <w:p w14:paraId="0FE2B7C0">
      <w:pPr>
        <w:snapToGrid w:val="0"/>
        <w:jc w:val="center"/>
        <w:rPr>
          <w:rFonts w:ascii="楷体_GB2312" w:eastAsia="楷体_GB2312" w:cs="楷体_GB2312"/>
          <w:color w:val="000000"/>
          <w:kern w:val="0"/>
          <w:sz w:val="40"/>
          <w:szCs w:val="40"/>
        </w:rPr>
      </w:pPr>
      <w:r>
        <w:rPr>
          <w:rFonts w:hint="eastAsia" w:ascii="楷体_GB2312" w:eastAsia="楷体_GB2312" w:cs="楷体_GB2312"/>
          <w:color w:val="000000"/>
          <w:kern w:val="0"/>
          <w:sz w:val="40"/>
          <w:szCs w:val="40"/>
        </w:rPr>
        <w:t>二〇二一年八月</w:t>
      </w:r>
    </w:p>
    <w:p w14:paraId="502D6AE5">
      <w:pPr>
        <w:snapToGrid w:val="0"/>
        <w:jc w:val="center"/>
        <w:rPr>
          <w:rFonts w:ascii="楷体_GB2312" w:eastAsia="楷体_GB2312" w:cs="楷体_GB2312"/>
          <w:color w:val="000000"/>
          <w:kern w:val="0"/>
          <w:sz w:val="40"/>
          <w:szCs w:val="40"/>
        </w:rPr>
      </w:pPr>
    </w:p>
    <w:p w14:paraId="40AFEF52">
      <w:pPr>
        <w:jc w:val="center"/>
        <w:rPr>
          <w:rFonts w:ascii="黑体" w:eastAsia="黑体" w:cs="黑体"/>
          <w:sz w:val="72"/>
          <w:szCs w:val="96"/>
          <w:highlight w:val="yellow"/>
        </w:rPr>
      </w:pPr>
      <w:r>
        <w:rPr>
          <w:rFonts w:ascii="黑体" w:eastAsia="黑体" w:cs="黑体"/>
          <w:sz w:val="72"/>
          <w:szCs w:val="96"/>
        </w:rPr>
        <w:t>栾城区委网信办</w:t>
      </w:r>
    </w:p>
    <w:p w14:paraId="5698F3D0">
      <w:pPr>
        <w:rPr>
          <w:rFonts w:ascii="黑体" w:eastAsia="黑体" w:cs="黑体"/>
          <w:sz w:val="72"/>
          <w:szCs w:val="96"/>
        </w:rPr>
      </w:pPr>
      <w:r>
        <w:rPr>
          <w:rFonts w:hint="eastAsia" w:ascii="黑体" w:eastAsia="黑体" w:cs="黑体"/>
          <w:sz w:val="72"/>
          <w:szCs w:val="96"/>
        </w:rPr>
        <w:t>2020年度部门决算公开文本</w:t>
      </w:r>
    </w:p>
    <w:p w14:paraId="09B27E17">
      <w:pPr>
        <w:spacing w:line="360" w:lineRule="auto"/>
        <w:jc w:val="center"/>
        <w:rPr>
          <w:rFonts w:ascii="黑体" w:eastAsia="黑体" w:cs="黑体"/>
          <w:sz w:val="56"/>
          <w:szCs w:val="72"/>
        </w:rPr>
      </w:pPr>
    </w:p>
    <w:p w14:paraId="152E4CBA">
      <w:pPr>
        <w:spacing w:line="600" w:lineRule="auto"/>
        <w:jc w:val="center"/>
        <w:rPr>
          <w:rFonts w:ascii="黑体" w:eastAsia="黑体" w:cs="黑体"/>
          <w:sz w:val="56"/>
          <w:szCs w:val="72"/>
        </w:rPr>
      </w:pPr>
    </w:p>
    <w:p w14:paraId="6493B055">
      <w:pPr>
        <w:spacing w:line="600" w:lineRule="auto"/>
        <w:jc w:val="center"/>
        <w:rPr>
          <w:rFonts w:ascii="黑体" w:eastAsia="黑体" w:cs="黑体"/>
          <w:sz w:val="56"/>
          <w:szCs w:val="72"/>
        </w:rPr>
      </w:pPr>
    </w:p>
    <w:p w14:paraId="3EA462CC">
      <w:pPr>
        <w:spacing w:line="600" w:lineRule="auto"/>
        <w:jc w:val="center"/>
        <w:rPr>
          <w:rFonts w:ascii="黑体" w:eastAsia="黑体" w:cs="黑体"/>
          <w:sz w:val="56"/>
          <w:szCs w:val="72"/>
        </w:rPr>
      </w:pPr>
    </w:p>
    <w:p w14:paraId="7A9B1A19">
      <w:pPr>
        <w:spacing w:line="600" w:lineRule="auto"/>
        <w:jc w:val="center"/>
        <w:rPr>
          <w:rFonts w:ascii="黑体" w:eastAsia="黑体" w:cs="黑体"/>
          <w:sz w:val="56"/>
          <w:szCs w:val="72"/>
        </w:rPr>
      </w:pPr>
    </w:p>
    <w:p w14:paraId="4E11A804">
      <w:pPr>
        <w:spacing w:line="480" w:lineRule="auto"/>
        <w:jc w:val="center"/>
        <w:rPr>
          <w:rFonts w:ascii="黑体" w:eastAsia="黑体" w:cs="黑体"/>
          <w:sz w:val="56"/>
          <w:szCs w:val="72"/>
        </w:rPr>
      </w:pPr>
    </w:p>
    <w:p w14:paraId="720180D8">
      <w:pPr>
        <w:spacing w:line="480" w:lineRule="auto"/>
        <w:jc w:val="center"/>
        <w:rPr>
          <w:rFonts w:ascii="黑体" w:eastAsia="黑体" w:cs="黑体"/>
          <w:sz w:val="56"/>
          <w:szCs w:val="72"/>
        </w:rPr>
      </w:pPr>
    </w:p>
    <w:p w14:paraId="259A7A9C">
      <w:pPr>
        <w:spacing w:line="480" w:lineRule="auto"/>
        <w:jc w:val="center"/>
        <w:rPr>
          <w:rFonts w:ascii="黑体" w:eastAsia="黑体" w:cs="黑体"/>
          <w:sz w:val="56"/>
          <w:szCs w:val="72"/>
        </w:rPr>
      </w:pPr>
    </w:p>
    <w:p w14:paraId="7690D392">
      <w:pPr>
        <w:snapToGrid w:val="0"/>
        <w:jc w:val="center"/>
        <w:rPr>
          <w:rFonts w:ascii="楷体_GB2312" w:eastAsia="楷体_GB2312" w:cs="楷体_GB2312"/>
          <w:color w:val="000000"/>
          <w:kern w:val="0"/>
          <w:sz w:val="40"/>
          <w:szCs w:val="40"/>
        </w:rPr>
      </w:pPr>
    </w:p>
    <w:p w14:paraId="4F18A0D3">
      <w:pPr>
        <w:snapToGrid w:val="0"/>
        <w:jc w:val="center"/>
        <w:rPr>
          <w:rFonts w:ascii="楷体_GB2312" w:eastAsia="楷体_GB2312" w:cs="楷体_GB2312"/>
          <w:color w:val="000000"/>
          <w:kern w:val="0"/>
          <w:sz w:val="40"/>
          <w:szCs w:val="40"/>
        </w:rPr>
      </w:pPr>
    </w:p>
    <w:p w14:paraId="6C4E2260">
      <w:pPr>
        <w:snapToGrid w:val="0"/>
        <w:jc w:val="center"/>
        <w:rPr>
          <w:rFonts w:ascii="楷体_GB2312" w:eastAsia="楷体_GB2312" w:cs="楷体_GB2312"/>
          <w:color w:val="000000"/>
          <w:kern w:val="0"/>
          <w:sz w:val="40"/>
          <w:szCs w:val="40"/>
        </w:rPr>
      </w:pPr>
    </w:p>
    <w:p w14:paraId="227446C2">
      <w:pPr>
        <w:snapToGrid w:val="0"/>
        <w:jc w:val="center"/>
        <w:rPr>
          <w:rFonts w:asci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eastAsia="楷体_GB2312" w:cs="楷体_GB2312"/>
          <w:color w:val="000000"/>
          <w:kern w:val="0"/>
          <w:sz w:val="40"/>
          <w:szCs w:val="40"/>
        </w:rPr>
        <w:t>二〇二一年八月</w:t>
      </w:r>
    </w:p>
    <w:p w14:paraId="256F582E">
      <w:pPr>
        <w:snapToGrid w:val="0"/>
        <w:jc w:val="center"/>
        <w:rPr>
          <w:rFonts w:asci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p>
    <w:p w14:paraId="7EBADB1B">
      <w:pPr>
        <w:tabs>
          <w:tab w:val="left" w:pos="2728"/>
        </w:tabs>
        <w:jc w:val="center"/>
        <w:rPr>
          <w:rFonts w:ascii="黑体" w:eastAsia="黑体" w:cs="Times New Roman"/>
          <w:sz w:val="48"/>
          <w:szCs w:val="48"/>
        </w:rPr>
      </w:pPr>
      <w:r>
        <w:rPr>
          <w:rFonts w:hint="eastAsia" w:ascii="黑体" w:eastAsia="黑体" w:cs="Times New Roman"/>
          <w:sz w:val="48"/>
          <w:szCs w:val="48"/>
        </w:rPr>
        <w:t>目    录</w:t>
      </w:r>
    </w:p>
    <w:p w14:paraId="1F6D6B7A">
      <w:pPr>
        <w:widowControl/>
        <w:spacing w:after="160" w:line="580" w:lineRule="exact"/>
        <w:ind w:firstLine="640" w:firstLineChars="200"/>
        <w:rPr>
          <w:rFonts w:ascii="Times New Roman" w:hAnsi="Times New Roman" w:eastAsia="黑体" w:cs="Times New Roman"/>
          <w:sz w:val="32"/>
          <w:szCs w:val="32"/>
        </w:rPr>
      </w:pPr>
    </w:p>
    <w:p w14:paraId="7968D7F5">
      <w:pPr>
        <w:widowControl/>
        <w:wordWrap/>
        <w:adjustRightInd/>
        <w:snapToGrid/>
        <w:spacing w:line="640" w:lineRule="exact"/>
        <w:ind w:firstLine="640" w:firstLineChars="200"/>
        <w:textAlignment w:val="auto"/>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9A38A64">
      <w:pPr>
        <w:widowControl/>
        <w:wordWrap/>
        <w:adjustRightInd/>
        <w:snapToGrid/>
        <w:spacing w:line="640" w:lineRule="exact"/>
        <w:ind w:firstLine="1273" w:firstLineChars="398"/>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7F568DF4">
      <w:pPr>
        <w:widowControl/>
        <w:wordWrap/>
        <w:adjustRightInd/>
        <w:snapToGrid/>
        <w:spacing w:line="640" w:lineRule="exact"/>
        <w:ind w:firstLine="1273" w:firstLineChars="398"/>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1419267">
      <w:pPr>
        <w:widowControl/>
        <w:wordWrap/>
        <w:adjustRightInd/>
        <w:snapToGrid/>
        <w:spacing w:line="64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27918277">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0455D83F">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09C321B3">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75BBF000">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4A70135D">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10E9C058">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0D4D3223">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456D2F1B">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206E27E4">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30C6CA06">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648ACE7">
      <w:pPr>
        <w:widowControl/>
        <w:wordWrap/>
        <w:adjustRightInd/>
        <w:snapToGrid/>
        <w:spacing w:line="64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56BDEEB2">
      <w:pPr>
        <w:widowControl/>
        <w:wordWrap/>
        <w:adjustRightInd/>
        <w:snapToGrid/>
        <w:spacing w:line="640" w:lineRule="exact"/>
        <w:ind w:firstLine="640" w:firstLineChars="200"/>
        <w:textAlignment w:val="auto"/>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6303A38C">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14:paraId="283E3C38">
      <w:pPr>
        <w:widowControl/>
        <w:spacing w:line="580" w:lineRule="exact"/>
        <w:ind w:firstLine="640" w:firstLineChars="200"/>
        <w:rPr>
          <w:rFonts w:eastAsia="黑体"/>
          <w:sz w:val="32"/>
          <w:szCs w:val="32"/>
        </w:rPr>
      </w:pPr>
    </w:p>
    <w:p w14:paraId="46D3CFBC">
      <w:pPr>
        <w:widowControl/>
        <w:spacing w:line="580" w:lineRule="exact"/>
        <w:ind w:firstLine="640" w:firstLineChars="200"/>
        <w:rPr>
          <w:rFonts w:eastAsia="黑体"/>
          <w:sz w:val="32"/>
          <w:szCs w:val="32"/>
        </w:rPr>
      </w:pPr>
    </w:p>
    <w:p w14:paraId="3D171D20">
      <w:pPr>
        <w:widowControl/>
        <w:spacing w:line="580" w:lineRule="exact"/>
        <w:ind w:firstLine="640" w:firstLineChars="200"/>
        <w:rPr>
          <w:rFonts w:eastAsia="黑体"/>
          <w:sz w:val="32"/>
          <w:szCs w:val="32"/>
        </w:rPr>
      </w:pPr>
    </w:p>
    <w:p w14:paraId="7473B3B4">
      <w:r>
        <w:rPr>
          <w:rFonts w:ascii="Calibri" w:hAnsi="Calibri" w:eastAsia="宋体" w:cs="Arial"/>
          <w:kern w:val="2"/>
          <w:sz w:val="72"/>
          <w:szCs w:val="24"/>
          <w:lang w:val="en-US" w:eastAsia="zh-CN" w:bidi="ar-SA"/>
        </w:rPr>
        <w:pict>
          <v:rect id="矩形 4" o:spid="_x0000_s1027" o:spt="1" style="position:absolute;left:0pt;margin-left:-85.7pt;margin-top:80.7pt;height:263.1pt;width:613.65pt;z-index:251660288;mso-width-relative:page;mso-height-relative:page;" fillcolor="#FFFFFF" filled="t" o:preferrelative="t" stroked="t" coordsize="21600,21600">
            <v:path/>
            <v:fill type="tile" on="t" color2="#FFFFFF" focussize="0,0" r:id="rId14"/>
            <v:stroke weight="1pt" color="#A5A5A5" color2="#FFFFFF" miterlimit="2"/>
            <v:imagedata gain="65536f" blacklevel="0f" gamma="0" o:title=""/>
            <o:lock v:ext="edit" position="f" selection="f" grouping="f" rotation="f" cropping="f" text="f" aspectratio="f"/>
            <v:textbox>
              <w:txbxContent>
                <w:p w14:paraId="2BC79FBC">
                  <w:pPr>
                    <w:widowControl/>
                    <w:jc w:val="center"/>
                    <w:rPr>
                      <w:rFonts w:ascii="黑体" w:eastAsia="黑体" w:cs="黑体"/>
                      <w:color w:val="000000"/>
                      <w:sz w:val="96"/>
                      <w:szCs w:val="96"/>
                    </w:rPr>
                  </w:pPr>
                  <w:r>
                    <w:rPr>
                      <w:rFonts w:hint="eastAsia" w:ascii="黑体" w:eastAsia="黑体" w:cs="黑体"/>
                      <w:color w:val="000000"/>
                      <w:sz w:val="96"/>
                      <w:szCs w:val="96"/>
                    </w:rPr>
                    <w:t>第一部分  部门概况</w:t>
                  </w:r>
                </w:p>
              </w:txbxContent>
            </v:textbox>
          </v:rect>
        </w:pict>
      </w:r>
      <w:r>
        <w:br w:type="page"/>
      </w:r>
    </w:p>
    <w:p w14:paraId="7AB79514">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4E892153">
      <w:pPr>
        <w:numPr>
          <w:ilvl w:val="0"/>
          <w:numId w:val="1"/>
        </w:numPr>
        <w:spacing w:line="600" w:lineRule="exact"/>
        <w:rPr>
          <w:rFonts w:ascii="楷体" w:eastAsia="楷体"/>
          <w:sz w:val="30"/>
          <w:szCs w:val="30"/>
        </w:rPr>
      </w:pPr>
      <w:r>
        <w:rPr>
          <w:rFonts w:hint="eastAsia" w:ascii="楷体" w:eastAsia="楷体"/>
          <w:sz w:val="30"/>
          <w:szCs w:val="30"/>
        </w:rPr>
        <w:t>负责处理区委网络安全和信息化委员会日常事务工作。</w:t>
      </w:r>
    </w:p>
    <w:p w14:paraId="77D6705B">
      <w:pPr>
        <w:numPr>
          <w:ilvl w:val="0"/>
          <w:numId w:val="1"/>
        </w:numPr>
        <w:spacing w:line="600" w:lineRule="exact"/>
        <w:rPr>
          <w:rFonts w:ascii="楷体" w:eastAsia="楷体"/>
          <w:sz w:val="30"/>
          <w:szCs w:val="30"/>
        </w:rPr>
      </w:pPr>
      <w:r>
        <w:rPr>
          <w:rFonts w:hint="eastAsia" w:ascii="楷体" w:eastAsia="楷体"/>
          <w:sz w:val="30"/>
          <w:szCs w:val="30"/>
        </w:rPr>
        <w:t>统筹协调全区网络安全保障体系和可信体系建设</w:t>
      </w:r>
    </w:p>
    <w:p w14:paraId="48DA79B6">
      <w:pPr>
        <w:numPr>
          <w:ilvl w:val="0"/>
          <w:numId w:val="1"/>
        </w:numPr>
        <w:spacing w:line="600" w:lineRule="exact"/>
        <w:rPr>
          <w:rFonts w:ascii="楷体" w:eastAsia="楷体"/>
          <w:sz w:val="30"/>
          <w:szCs w:val="30"/>
        </w:rPr>
      </w:pPr>
      <w:r>
        <w:rPr>
          <w:rFonts w:hint="eastAsia" w:ascii="楷体" w:eastAsia="楷体"/>
          <w:sz w:val="30"/>
          <w:szCs w:val="30"/>
        </w:rPr>
        <w:t>负责协调处理网络安全和信息化重大突发事件与有关应急工作。</w:t>
      </w:r>
    </w:p>
    <w:p w14:paraId="72AF67E2">
      <w:pPr>
        <w:numPr>
          <w:ilvl w:val="0"/>
          <w:numId w:val="1"/>
        </w:numPr>
        <w:spacing w:line="600" w:lineRule="exact"/>
        <w:rPr>
          <w:rFonts w:ascii="楷体" w:eastAsia="楷体"/>
          <w:sz w:val="30"/>
          <w:szCs w:val="30"/>
        </w:rPr>
      </w:pPr>
      <w:r>
        <w:rPr>
          <w:rFonts w:hint="eastAsia" w:ascii="楷体" w:eastAsia="楷体"/>
          <w:sz w:val="30"/>
          <w:szCs w:val="30"/>
        </w:rPr>
        <w:t>统筹协调组织互联网宣传管理，维护互联网意识形态安全，负责互联网信息内容监督管理执法，依照相关法律和规定查处违法违规行为和网站。</w:t>
      </w:r>
    </w:p>
    <w:p w14:paraId="5C502204">
      <w:pPr>
        <w:keepNext/>
        <w:keepLines/>
        <w:widowControl w:val="0"/>
        <w:spacing w:line="580" w:lineRule="exact"/>
        <w:ind w:firstLine="600" w:firstLineChars="200"/>
        <w:jc w:val="left"/>
        <w:outlineLvl w:val="0"/>
        <w:rPr>
          <w:rFonts w:ascii="楷体" w:eastAsia="楷体"/>
          <w:sz w:val="30"/>
          <w:szCs w:val="30"/>
        </w:rPr>
      </w:pPr>
      <w:r>
        <w:rPr>
          <w:rFonts w:ascii="楷体" w:eastAsia="楷体"/>
          <w:sz w:val="30"/>
          <w:szCs w:val="30"/>
        </w:rPr>
        <w:t>5)</w:t>
      </w:r>
      <w:r>
        <w:rPr>
          <w:rFonts w:hint="eastAsia" w:ascii="楷体" w:eastAsia="楷体"/>
          <w:sz w:val="30"/>
          <w:szCs w:val="30"/>
        </w:rPr>
        <w:t>负责指导协调全区网络舆情信息工作</w:t>
      </w:r>
    </w:p>
    <w:p w14:paraId="1DD6745E">
      <w:pPr>
        <w:keepNext/>
        <w:keepLines/>
        <w:widowControl w:val="0"/>
        <w:spacing w:line="580" w:lineRule="exact"/>
        <w:ind w:firstLine="640" w:firstLineChars="200"/>
        <w:jc w:val="left"/>
        <w:outlineLvl w:val="0"/>
        <w:rPr>
          <w:rFonts w:ascii="黑体" w:eastAsia="黑体"/>
          <w:kern w:val="0"/>
          <w:sz w:val="32"/>
          <w:szCs w:val="32"/>
        </w:rPr>
      </w:pPr>
      <w:r>
        <w:rPr>
          <w:rFonts w:hint="eastAsia" w:ascii="黑体" w:eastAsia="黑体"/>
          <w:kern w:val="0"/>
          <w:sz w:val="32"/>
          <w:szCs w:val="32"/>
        </w:rPr>
        <w:t>二、机构设置</w:t>
      </w:r>
    </w:p>
    <w:p w14:paraId="4CB0BC52">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20</w:t>
      </w:r>
      <w:r>
        <w:rPr>
          <w:rFonts w:hint="eastAsia" w:ascii="仿宋_GB2312" w:eastAsia="仿宋_GB2312" w:cs="Arial Black"/>
          <w:kern w:val="0"/>
          <w:sz w:val="32"/>
          <w:szCs w:val="32"/>
        </w:rPr>
        <w:t xml:space="preserve">年度本部门决算汇编范围的独立核算单位（以下简称“单位”）共 </w:t>
      </w:r>
      <w:r>
        <w:rPr>
          <w:rFonts w:ascii="仿宋_GB2312" w:eastAsia="仿宋_GB2312" w:cs="Arial Black"/>
          <w:kern w:val="0"/>
          <w:sz w:val="32"/>
          <w:szCs w:val="32"/>
        </w:rPr>
        <w:t>1</w:t>
      </w:r>
      <w:r>
        <w:rPr>
          <w:rFonts w:hint="eastAsia" w:ascii="仿宋_GB2312" w:eastAsia="仿宋_GB2312" w:cs="Arial Black"/>
          <w:kern w:val="0"/>
          <w:sz w:val="32"/>
          <w:szCs w:val="32"/>
        </w:rPr>
        <w:t>个，具体情况如下：</w:t>
      </w:r>
    </w:p>
    <w:tbl>
      <w:tblPr>
        <w:tblStyle w:val="5"/>
        <w:tblpPr w:leftFromText="180" w:rightFromText="180" w:vertAnchor="text" w:horzAnchor="page" w:tblpXSpec="center" w:tblpY="10"/>
        <w:tblOverlap w:val="never"/>
        <w:tblW w:w="942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68"/>
        <w:gridCol w:w="3426"/>
        <w:gridCol w:w="2404"/>
        <w:gridCol w:w="2622"/>
      </w:tblGrid>
      <w:tr w14:paraId="5E7A9848">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873" w:hRule="atLeast"/>
        </w:trPr>
        <w:tc>
          <w:tcPr>
            <w:tcW w:w="968" w:type="dxa"/>
            <w:vAlign w:val="center"/>
          </w:tcPr>
          <w:p w14:paraId="665174D3">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14:paraId="02B18127">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14:paraId="713FFF1A">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14:paraId="74A01633">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14:paraId="2830FA27">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3F769F1D">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1</w:t>
            </w:r>
          </w:p>
        </w:tc>
        <w:tc>
          <w:tcPr>
            <w:tcW w:w="3426" w:type="dxa"/>
            <w:vAlign w:val="top"/>
          </w:tcPr>
          <w:p w14:paraId="2005DB66">
            <w:pPr>
              <w:spacing w:line="560" w:lineRule="exact"/>
              <w:rPr>
                <w:rFonts w:ascii="仿宋_GB2312" w:eastAsia="仿宋_GB2312" w:cs="Arial Black"/>
                <w:kern w:val="0"/>
                <w:sz w:val="28"/>
                <w:szCs w:val="28"/>
              </w:rPr>
            </w:pPr>
            <w:r>
              <w:rPr>
                <w:rFonts w:ascii="仿宋_GB2312" w:eastAsia="仿宋_GB2312" w:cs="ArialUnicodeMS"/>
                <w:kern w:val="0"/>
                <w:sz w:val="28"/>
                <w:szCs w:val="28"/>
              </w:rPr>
              <w:t>中共石家庄市栾城区委网络安全和信息化委员会办公室</w:t>
            </w:r>
          </w:p>
        </w:tc>
        <w:tc>
          <w:tcPr>
            <w:tcW w:w="2404" w:type="dxa"/>
            <w:vAlign w:val="top"/>
          </w:tcPr>
          <w:p w14:paraId="624A3083">
            <w:pPr>
              <w:spacing w:line="560" w:lineRule="exact"/>
              <w:jc w:val="center"/>
              <w:rPr>
                <w:rFonts w:ascii="仿宋_GB2312" w:eastAsia="仿宋_GB2312" w:cs="Arial Black"/>
                <w:kern w:val="0"/>
                <w:sz w:val="28"/>
                <w:szCs w:val="28"/>
              </w:rPr>
            </w:pPr>
            <w:r>
              <w:rPr>
                <w:rFonts w:ascii="仿宋_GB2312" w:eastAsia="仿宋_GB2312" w:cs="ArialUnicodeMS"/>
                <w:kern w:val="0"/>
                <w:sz w:val="28"/>
                <w:szCs w:val="28"/>
              </w:rPr>
              <w:t>行政单位</w:t>
            </w:r>
          </w:p>
        </w:tc>
        <w:tc>
          <w:tcPr>
            <w:tcW w:w="2622" w:type="dxa"/>
            <w:vAlign w:val="top"/>
          </w:tcPr>
          <w:p w14:paraId="5E36795D">
            <w:pPr>
              <w:spacing w:line="560" w:lineRule="exact"/>
              <w:jc w:val="center"/>
              <w:rPr>
                <w:rFonts w:ascii="仿宋_GB2312" w:eastAsia="仿宋_GB2312" w:cs="Arial Black"/>
                <w:kern w:val="0"/>
                <w:sz w:val="28"/>
                <w:szCs w:val="28"/>
              </w:rPr>
            </w:pPr>
            <w:r>
              <w:rPr>
                <w:rFonts w:ascii="仿宋_GB2312" w:eastAsia="仿宋_GB2312" w:cs="ArialUnicodeMS"/>
                <w:kern w:val="0"/>
                <w:sz w:val="28"/>
                <w:szCs w:val="28"/>
              </w:rPr>
              <w:t>财政拨款</w:t>
            </w:r>
          </w:p>
        </w:tc>
      </w:tr>
      <w:tr w14:paraId="74785BAC">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6D0CFC10">
            <w:pPr>
              <w:spacing w:line="560" w:lineRule="exact"/>
              <w:jc w:val="center"/>
              <w:rPr>
                <w:rFonts w:ascii="仿宋_GB2312" w:eastAsia="仿宋_GB2312" w:cs="Arial Black"/>
                <w:kern w:val="0"/>
                <w:sz w:val="28"/>
                <w:szCs w:val="28"/>
              </w:rPr>
            </w:pPr>
          </w:p>
        </w:tc>
        <w:tc>
          <w:tcPr>
            <w:tcW w:w="3426" w:type="dxa"/>
            <w:vAlign w:val="top"/>
          </w:tcPr>
          <w:p w14:paraId="21FE96DD">
            <w:pPr>
              <w:spacing w:line="560" w:lineRule="exact"/>
              <w:rPr>
                <w:rFonts w:ascii="仿宋_GB2312" w:eastAsia="仿宋_GB2312" w:cs="Arial Black"/>
                <w:kern w:val="0"/>
                <w:sz w:val="28"/>
                <w:szCs w:val="28"/>
              </w:rPr>
            </w:pPr>
          </w:p>
        </w:tc>
        <w:tc>
          <w:tcPr>
            <w:tcW w:w="2404" w:type="dxa"/>
            <w:vAlign w:val="top"/>
          </w:tcPr>
          <w:p w14:paraId="09946698">
            <w:pPr>
              <w:spacing w:line="560" w:lineRule="exact"/>
              <w:jc w:val="center"/>
              <w:rPr>
                <w:rFonts w:ascii="仿宋_GB2312" w:eastAsia="仿宋_GB2312" w:cs="Arial Black"/>
                <w:kern w:val="0"/>
                <w:sz w:val="28"/>
                <w:szCs w:val="28"/>
              </w:rPr>
            </w:pPr>
          </w:p>
        </w:tc>
        <w:tc>
          <w:tcPr>
            <w:tcW w:w="2622" w:type="dxa"/>
            <w:vAlign w:val="top"/>
          </w:tcPr>
          <w:p w14:paraId="0ABC4DF8">
            <w:pPr>
              <w:spacing w:line="560" w:lineRule="exact"/>
              <w:jc w:val="center"/>
              <w:rPr>
                <w:rFonts w:ascii="仿宋_GB2312" w:eastAsia="仿宋_GB2312" w:cs="Arial Black"/>
                <w:kern w:val="0"/>
                <w:sz w:val="28"/>
                <w:szCs w:val="28"/>
              </w:rPr>
            </w:pPr>
          </w:p>
        </w:tc>
      </w:tr>
      <w:tr w14:paraId="4C7AB182">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0623D89A">
            <w:pPr>
              <w:spacing w:line="560" w:lineRule="exact"/>
              <w:jc w:val="center"/>
              <w:rPr>
                <w:rFonts w:ascii="仿宋_GB2312" w:eastAsia="仿宋_GB2312" w:cs="Arial Black"/>
                <w:kern w:val="0"/>
                <w:sz w:val="28"/>
                <w:szCs w:val="28"/>
              </w:rPr>
            </w:pPr>
          </w:p>
        </w:tc>
        <w:tc>
          <w:tcPr>
            <w:tcW w:w="3426" w:type="dxa"/>
            <w:vAlign w:val="top"/>
          </w:tcPr>
          <w:p w14:paraId="1495B06B">
            <w:pPr>
              <w:spacing w:line="560" w:lineRule="exact"/>
              <w:rPr>
                <w:rFonts w:ascii="仿宋_GB2312" w:eastAsia="仿宋_GB2312" w:cs="Arial Black"/>
                <w:kern w:val="0"/>
                <w:sz w:val="28"/>
                <w:szCs w:val="28"/>
              </w:rPr>
            </w:pPr>
          </w:p>
        </w:tc>
        <w:tc>
          <w:tcPr>
            <w:tcW w:w="2404" w:type="dxa"/>
            <w:vAlign w:val="top"/>
          </w:tcPr>
          <w:p w14:paraId="386A7CEE">
            <w:pPr>
              <w:spacing w:line="560" w:lineRule="exact"/>
              <w:jc w:val="center"/>
              <w:rPr>
                <w:rFonts w:ascii="仿宋_GB2312" w:eastAsia="仿宋_GB2312" w:cs="Arial Black"/>
                <w:kern w:val="0"/>
                <w:sz w:val="28"/>
                <w:szCs w:val="28"/>
              </w:rPr>
            </w:pPr>
          </w:p>
        </w:tc>
        <w:tc>
          <w:tcPr>
            <w:tcW w:w="2622" w:type="dxa"/>
            <w:vAlign w:val="top"/>
          </w:tcPr>
          <w:p w14:paraId="09936404">
            <w:pPr>
              <w:spacing w:line="560" w:lineRule="exact"/>
              <w:jc w:val="center"/>
              <w:rPr>
                <w:rFonts w:ascii="仿宋_GB2312" w:eastAsia="仿宋_GB2312" w:cs="Arial Black"/>
                <w:kern w:val="0"/>
                <w:sz w:val="28"/>
                <w:szCs w:val="28"/>
              </w:rPr>
            </w:pPr>
          </w:p>
        </w:tc>
      </w:tr>
      <w:tr w14:paraId="15AB6210">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9420" w:type="dxa"/>
            <w:gridSpan w:val="4"/>
            <w:tcBorders>
              <w:top w:val="single" w:color="auto" w:sz="4" w:space="0"/>
              <w:left w:val="nil"/>
              <w:bottom w:val="nil"/>
              <w:right w:val="nil"/>
            </w:tcBorders>
            <w:vAlign w:val="top"/>
          </w:tcPr>
          <w:p w14:paraId="49BD85CE">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注：1、单位基本性质分为行政单位、参公事业单位、财政补助事业单位、经费自理事业单位四类。</w:t>
            </w:r>
          </w:p>
          <w:p w14:paraId="64C49813">
            <w:pPr>
              <w:spacing w:line="560" w:lineRule="exact"/>
              <w:ind w:firstLine="560" w:firstLineChars="200"/>
              <w:jc w:val="left"/>
              <w:rPr>
                <w:rFonts w:ascii="仿宋_GB2312" w:eastAsia="仿宋_GB2312" w:cs="Arial Black"/>
                <w:kern w:val="0"/>
                <w:sz w:val="28"/>
                <w:szCs w:val="28"/>
              </w:rPr>
            </w:pPr>
            <w:r>
              <w:rPr>
                <w:rFonts w:hint="eastAsia" w:ascii="仿宋_GB2312" w:eastAsia="仿宋_GB2312" w:cs="Arial Black"/>
                <w:kern w:val="0"/>
                <w:sz w:val="28"/>
                <w:szCs w:val="28"/>
              </w:rPr>
              <w:t>2、经费形式分为财政拨款、财政性资金基本保证、财政性资金定额或定项补助、财政性资金零补助四类。</w:t>
            </w:r>
          </w:p>
        </w:tc>
      </w:tr>
    </w:tbl>
    <w:p w14:paraId="18B53669">
      <w:pPr>
        <w:widowControl/>
        <w:spacing w:after="160" w:line="580" w:lineRule="exact"/>
        <w:ind w:firstLine="640" w:firstLineChars="200"/>
        <w:rPr>
          <w:rFonts w:ascii="Times New Roman" w:hAnsi="Times New Roman" w:eastAsia="黑体" w:cs="Times New Roman"/>
          <w:sz w:val="32"/>
          <w:szCs w:val="32"/>
        </w:rPr>
      </w:pPr>
    </w:p>
    <w:p w14:paraId="2AA71BC7">
      <w:pPr>
        <w:widowControl/>
        <w:spacing w:after="160" w:line="580" w:lineRule="exact"/>
        <w:ind w:firstLine="640" w:firstLineChars="200"/>
        <w:rPr>
          <w:rFonts w:ascii="Times New Roman" w:hAnsi="Times New Roman" w:eastAsia="黑体" w:cs="Times New Roman"/>
          <w:sz w:val="32"/>
          <w:szCs w:val="32"/>
        </w:rPr>
      </w:pPr>
    </w:p>
    <w:p w14:paraId="75121178">
      <w:bookmarkStart w:id="0" w:name="_GoBack"/>
      <w:bookmarkEnd w:id="0"/>
    </w:p>
    <w:p w14:paraId="0FB9A814">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rFonts w:ascii="Calibri" w:hAnsi="Calibri" w:eastAsia="宋体" w:cs="Arial"/>
          <w:kern w:val="2"/>
          <w:sz w:val="72"/>
          <w:szCs w:val="24"/>
          <w:lang w:val="en-US" w:eastAsia="zh-CN" w:bidi="ar-SA"/>
        </w:rPr>
        <w:pict>
          <v:rect id="矩形 8" o:spid="_x0000_s1028" o:spt="1" style="position:absolute;left:0pt;margin-left:-85.7pt;margin-top:238.15pt;height:173.25pt;width:613.65pt;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27CE00DD">
                  <w:pPr>
                    <w:widowControl/>
                    <w:jc w:val="center"/>
                    <w:rPr>
                      <w:rFonts w:ascii="黑体" w:eastAsia="黑体" w:cs="黑体"/>
                      <w:color w:val="000000"/>
                      <w:sz w:val="96"/>
                      <w:szCs w:val="96"/>
                    </w:rPr>
                  </w:pPr>
                  <w:r>
                    <w:rPr>
                      <w:rFonts w:hint="eastAsia" w:ascii="黑体" w:eastAsia="黑体" w:cs="黑体"/>
                      <w:color w:val="000000"/>
                      <w:sz w:val="96"/>
                      <w:szCs w:val="96"/>
                    </w:rPr>
                    <w:t xml:space="preserve"> </w:t>
                  </w:r>
                </w:p>
                <w:p w14:paraId="3CA8ABB4">
                  <w:pPr>
                    <w:widowControl/>
                    <w:jc w:val="center"/>
                    <w:rPr>
                      <w:rFonts w:ascii="黑体" w:eastAsia="黑体" w:cs="黑体"/>
                      <w:color w:val="000000"/>
                      <w:sz w:val="96"/>
                      <w:szCs w:val="96"/>
                    </w:rPr>
                  </w:pPr>
                </w:p>
              </w:txbxContent>
            </v:textbox>
          </v:rect>
        </w:pict>
      </w:r>
    </w:p>
    <w:p w14:paraId="6DB74314">
      <w:pPr>
        <w:widowControl/>
        <w:spacing w:line="580" w:lineRule="exact"/>
        <w:ind w:firstLine="640" w:firstLineChars="200"/>
        <w:rPr>
          <w:rFonts w:eastAsia="黑体"/>
          <w:sz w:val="32"/>
          <w:szCs w:val="32"/>
        </w:rPr>
      </w:pPr>
    </w:p>
    <w:p w14:paraId="20AD20B2">
      <w:pPr>
        <w:jc w:val="center"/>
        <w:rPr>
          <w:rFonts w:ascii="黑体" w:eastAsia="黑体" w:cs="黑体"/>
          <w:sz w:val="56"/>
          <w:szCs w:val="72"/>
        </w:rPr>
      </w:pPr>
    </w:p>
    <w:p w14:paraId="499E7FEB">
      <w:pPr>
        <w:jc w:val="center"/>
        <w:rPr>
          <w:rFonts w:ascii="黑体" w:eastAsia="黑体" w:cs="黑体"/>
          <w:sz w:val="56"/>
          <w:szCs w:val="72"/>
        </w:rPr>
      </w:pPr>
    </w:p>
    <w:p w14:paraId="1F38A9C6">
      <w:pPr>
        <w:jc w:val="center"/>
        <w:rPr>
          <w:rFonts w:ascii="黑体" w:eastAsia="黑体" w:cs="黑体"/>
          <w:sz w:val="56"/>
          <w:szCs w:val="72"/>
        </w:rPr>
      </w:pPr>
    </w:p>
    <w:p w14:paraId="104BDB4F">
      <w:pPr>
        <w:jc w:val="center"/>
        <w:rPr>
          <w:rFonts w:ascii="黑体" w:eastAsia="黑体" w:cs="黑体"/>
          <w:sz w:val="56"/>
          <w:szCs w:val="72"/>
        </w:rPr>
      </w:pPr>
    </w:p>
    <w:p w14:paraId="106E2574">
      <w:pPr>
        <w:jc w:val="center"/>
        <w:rPr>
          <w:rFonts w:ascii="黑体" w:eastAsia="黑体" w:cs="黑体"/>
          <w:sz w:val="56"/>
          <w:szCs w:val="72"/>
        </w:rPr>
      </w:pPr>
    </w:p>
    <w:p w14:paraId="55CD5C63">
      <w:pPr>
        <w:jc w:val="center"/>
        <w:rPr>
          <w:rFonts w:ascii="黑体" w:eastAsia="黑体" w:cs="黑体"/>
          <w:sz w:val="56"/>
          <w:szCs w:val="72"/>
        </w:rPr>
      </w:pPr>
    </w:p>
    <w:p w14:paraId="28CC3A92">
      <w:pPr>
        <w:jc w:val="center"/>
        <w:rPr>
          <w:rFonts w:ascii="黑体" w:eastAsia="黑体" w:cs="黑体"/>
          <w:sz w:val="56"/>
          <w:szCs w:val="72"/>
        </w:rPr>
      </w:pPr>
    </w:p>
    <w:p w14:paraId="114181F5">
      <w:pPr>
        <w:jc w:val="center"/>
        <w:rPr>
          <w:rFonts w:ascii="黑体" w:eastAsia="黑体" w:cs="黑体"/>
          <w:sz w:val="56"/>
          <w:szCs w:val="72"/>
        </w:rPr>
      </w:pPr>
    </w:p>
    <w:p w14:paraId="072291F7">
      <w:pPr>
        <w:jc w:val="center"/>
        <w:rPr>
          <w:rFonts w:ascii="黑体" w:eastAsia="黑体" w:cs="黑体"/>
          <w:sz w:val="56"/>
          <w:szCs w:val="72"/>
        </w:rPr>
      </w:pPr>
      <w:r>
        <w:rPr>
          <w:rFonts w:ascii="Calibri" w:hAnsi="Calibri" w:eastAsia="宋体" w:cs="Arial"/>
          <w:kern w:val="2"/>
          <w:sz w:val="72"/>
          <w:szCs w:val="24"/>
          <w:lang w:val="en-US" w:eastAsia="zh-CN" w:bidi="ar-SA"/>
        </w:rPr>
        <w:pict>
          <v:rect id="矩形 11" o:spid="_x0000_s1029" o:spt="1" style="position:absolute;left:0pt;margin-left:-80.95pt;margin-top:-207.65pt;height:263.1pt;width:613.65pt;z-index:251663360;mso-width-relative:page;mso-height-relative:page;" fillcolor="#FFFFFF" filled="t" o:preferrelative="t" stroked="t" coordsize="21600,21600">
            <v:path/>
            <v:fill type="tile" on="t" color2="#FFFFFF" focussize="0,0" r:id="rId14"/>
            <v:stroke weight="1pt" color="#A5A5A5" color2="#FFFFFF" miterlimit="2"/>
            <v:imagedata gain="65536f" blacklevel="0f" gamma="0" o:title=""/>
            <o:lock v:ext="edit" position="f" selection="f" grouping="f" rotation="f" cropping="f" text="f" aspectratio="f"/>
            <v:textbox>
              <w:txbxContent>
                <w:p w14:paraId="6CDFAD19">
                  <w:pPr>
                    <w:widowControl/>
                    <w:jc w:val="center"/>
                    <w:rPr>
                      <w:rFonts w:ascii="黑体" w:eastAsia="黑体" w:cs="黑体"/>
                      <w:color w:val="000000"/>
                      <w:sz w:val="90"/>
                      <w:szCs w:val="90"/>
                    </w:rPr>
                  </w:pPr>
                  <w:r>
                    <w:rPr>
                      <w:rFonts w:hint="eastAsia" w:ascii="黑体" w:eastAsia="黑体" w:cs="黑体"/>
                      <w:color w:val="000000"/>
                      <w:sz w:val="90"/>
                      <w:szCs w:val="90"/>
                    </w:rPr>
                    <w:t xml:space="preserve">第二部分 </w:t>
                  </w:r>
                </w:p>
                <w:p w14:paraId="346FCEB6">
                  <w:pPr>
                    <w:widowControl/>
                    <w:jc w:val="center"/>
                    <w:rPr>
                      <w:rFonts w:ascii="黑体" w:eastAsia="黑体" w:cs="黑体"/>
                      <w:color w:val="000000"/>
                      <w:sz w:val="90"/>
                      <w:szCs w:val="90"/>
                    </w:rPr>
                  </w:pPr>
                  <w:r>
                    <w:rPr>
                      <w:rFonts w:hint="eastAsia" w:ascii="黑体" w:eastAsia="黑体" w:cs="黑体"/>
                      <w:color w:val="000000"/>
                      <w:sz w:val="90"/>
                      <w:szCs w:val="90"/>
                    </w:rPr>
                    <w:t>2020年部门决算情况说明</w:t>
                  </w:r>
                </w:p>
                <w:p w14:paraId="30A5AF84">
                  <w:pPr>
                    <w:widowControl/>
                    <w:jc w:val="center"/>
                  </w:pPr>
                </w:p>
                <w:p w14:paraId="53A4E630"/>
              </w:txbxContent>
            </v:textbox>
          </v:rect>
        </w:pict>
      </w:r>
    </w:p>
    <w:p w14:paraId="467048DD">
      <w:pPr>
        <w:jc w:val="center"/>
        <w:rPr>
          <w:rFonts w:ascii="黑体" w:eastAsia="黑体" w:cs="黑体"/>
          <w:sz w:val="56"/>
          <w:szCs w:val="72"/>
        </w:rPr>
      </w:pPr>
    </w:p>
    <w:p w14:paraId="16DFB941">
      <w:pPr>
        <w:keepNext/>
        <w:keepLines/>
        <w:widowControl w:val="0"/>
        <w:snapToGrid w:val="0"/>
        <w:spacing w:line="600" w:lineRule="exact"/>
        <w:ind w:firstLine="420" w:firstLineChars="200"/>
        <w:outlineLvl w:val="1"/>
        <w:rPr>
          <w:rFonts w:ascii="黑体" w:eastAsia="黑体" w:cs="Times New Roman"/>
          <w:sz w:val="32"/>
          <w:szCs w:val="32"/>
        </w:rPr>
      </w:pPr>
      <w:r>
        <w:br w:type="page"/>
      </w:r>
      <w:r>
        <w:rPr>
          <w:rFonts w:hint="eastAsia" w:ascii="黑体" w:eastAsia="黑体" w:cs="Times New Roman"/>
          <w:sz w:val="32"/>
          <w:szCs w:val="32"/>
        </w:rPr>
        <w:t>一、收入</w:t>
      </w:r>
      <w:r>
        <w:rPr>
          <w:rFonts w:hint="eastAsia" w:ascii="黑体" w:eastAsia="黑体" w:cs="黑体"/>
          <w:kern w:val="0"/>
          <w:sz w:val="32"/>
          <w:szCs w:val="32"/>
        </w:rPr>
        <w:t>支出</w:t>
      </w:r>
      <w:r>
        <w:rPr>
          <w:rFonts w:hint="eastAsia" w:ascii="黑体" w:eastAsia="黑体" w:cs="Times New Roman"/>
          <w:sz w:val="32"/>
          <w:szCs w:val="32"/>
        </w:rPr>
        <w:t>决算总体情况说明</w:t>
      </w:r>
    </w:p>
    <w:p w14:paraId="30565919">
      <w:pPr>
        <w:adjustRightInd w:val="0"/>
        <w:snapToGrid w:val="0"/>
        <w:spacing w:line="600" w:lineRule="exact"/>
        <w:ind w:firstLine="640" w:firstLineChars="200"/>
        <w:rPr>
          <w:rFonts w:ascii="仿宋_GB2312" w:eastAsia="仿宋_GB2312" w:cs="Wingdings"/>
          <w:sz w:val="32"/>
          <w:szCs w:val="32"/>
          <w:highlight w:val="yellow"/>
        </w:rPr>
      </w:pPr>
      <w:r>
        <w:rPr>
          <w:rFonts w:hint="eastAsia" w:ascii="仿宋_GB2312" w:eastAsia="仿宋_GB2312" w:cs="Wingdings"/>
          <w:sz w:val="32"/>
          <w:szCs w:val="32"/>
        </w:rPr>
        <w:t>本部门2020年度</w:t>
      </w:r>
      <w:r>
        <w:rPr>
          <w:rFonts w:ascii="仿宋_GB2312" w:eastAsia="仿宋_GB2312" w:cs="Wingdings"/>
          <w:sz w:val="32"/>
          <w:szCs w:val="32"/>
        </w:rPr>
        <w:t>年初结转和结余1.21</w:t>
      </w:r>
      <w:r>
        <w:rPr>
          <w:rFonts w:hint="eastAsia" w:ascii="仿宋_GB2312" w:eastAsia="仿宋_GB2312" w:cs="Wingdings"/>
          <w:sz w:val="32"/>
          <w:szCs w:val="32"/>
        </w:rPr>
        <w:t>万元。</w:t>
      </w:r>
      <w:r>
        <w:rPr>
          <w:rFonts w:ascii="仿宋_GB2312" w:eastAsia="仿宋_GB2312" w:cs="Wingdings"/>
          <w:sz w:val="32"/>
          <w:szCs w:val="32"/>
        </w:rPr>
        <w:t>本年收入343.85万元，本年支出344.08万元，</w:t>
      </w:r>
      <w:r>
        <w:rPr>
          <w:rFonts w:hint="eastAsia" w:ascii="仿宋_GB2312" w:eastAsia="仿宋_GB2312" w:cs="Wingdings"/>
          <w:sz w:val="32"/>
          <w:szCs w:val="32"/>
        </w:rPr>
        <w:t>与2019年度决算相比，</w:t>
      </w:r>
      <w:r>
        <w:rPr>
          <w:rFonts w:hint="eastAsia" w:ascii="仿宋_GB2312" w:eastAsia="仿宋_GB2312" w:cs="DengXian-Regular"/>
          <w:sz w:val="32"/>
          <w:szCs w:val="32"/>
        </w:rPr>
        <w:t>2</w:t>
      </w:r>
      <w:r>
        <w:rPr>
          <w:rFonts w:ascii="仿宋_GB2312" w:eastAsia="仿宋_GB2312" w:cs="DengXian-Regular"/>
          <w:sz w:val="32"/>
          <w:szCs w:val="32"/>
        </w:rPr>
        <w:t>020年</w:t>
      </w:r>
      <w:r>
        <w:rPr>
          <w:rFonts w:hint="eastAsia" w:ascii="仿宋_GB2312" w:eastAsia="仿宋_GB2312" w:cs="DengXian-Regular"/>
          <w:sz w:val="32"/>
          <w:szCs w:val="32"/>
        </w:rPr>
        <w:t>收入</w:t>
      </w:r>
      <w:r>
        <w:rPr>
          <w:rFonts w:ascii="仿宋_GB2312" w:eastAsia="仿宋_GB2312" w:cs="DengXian-Regular"/>
          <w:sz w:val="32"/>
          <w:szCs w:val="32"/>
        </w:rPr>
        <w:t>增加了194.57万元，支出增加了196.01万元，</w:t>
      </w:r>
      <w:r>
        <w:rPr>
          <w:rFonts w:hint="eastAsia" w:ascii="仿宋_GB2312" w:eastAsia="仿宋_GB2312" w:cs="Wingdings"/>
          <w:sz w:val="32"/>
          <w:szCs w:val="32"/>
        </w:rPr>
        <w:t>主要原因是</w:t>
      </w:r>
      <w:r>
        <w:rPr>
          <w:rFonts w:ascii="仿宋_GB2312" w:eastAsia="仿宋_GB2312" w:cs="Wingdings"/>
          <w:sz w:val="32"/>
          <w:szCs w:val="32"/>
        </w:rPr>
        <w:t>人员增加、项目的增加</w:t>
      </w:r>
      <w:r>
        <w:rPr>
          <w:rFonts w:hint="eastAsia" w:ascii="仿宋_GB2312" w:eastAsia="仿宋_GB2312" w:cs="Wingdings"/>
          <w:sz w:val="32"/>
          <w:szCs w:val="32"/>
          <w:lang w:eastAsia="zh-CN"/>
        </w:rPr>
        <w:t>。</w:t>
      </w:r>
    </w:p>
    <w:p w14:paraId="33CC8FD2">
      <w:pPr>
        <w:adjustRightInd w:val="0"/>
        <w:snapToGrid w:val="0"/>
        <w:spacing w:line="600" w:lineRule="exact"/>
        <w:ind w:firstLine="640" w:firstLineChars="200"/>
        <w:rPr>
          <w:rFonts w:ascii="仿宋_GB2312" w:eastAsia="仿宋_GB2312" w:cs="Wingdings"/>
          <w:sz w:val="32"/>
          <w:szCs w:val="32"/>
        </w:rPr>
      </w:pPr>
      <w:r>
        <w:rPr>
          <w:rFonts w:ascii="仿宋_GB2312" w:hAnsi="Calibri" w:eastAsia="仿宋_GB2312" w:cs="Wingdings"/>
          <w:kern w:val="2"/>
          <w:sz w:val="32"/>
          <w:szCs w:val="32"/>
          <w:lang w:val="en-US" w:eastAsia="zh-CN" w:bidi="ar-SA"/>
        </w:rPr>
        <w:pict>
          <v:shape id="图片 15" o:spid="_x0000_s1030" o:spt="75" type="#_x0000_t75" style="position:absolute;left:0pt;margin-left:39.5pt;margin-top:4.5pt;height:205.15pt;width:341.45pt;mso-wrap-distance-bottom:0pt;mso-wrap-distance-left:8.95pt;mso-wrap-distance-right:8.95pt;mso-wrap-distance-top:0pt;z-index:251668480;mso-width-relative:page;mso-height-relative:page;" fillcolor="#FFFFFF" filled="f" o:preferrelative="t" stroked="f" coordsize="21600,21600">
            <v:path/>
            <v:fill on="f" color2="#FFFFFF" focussize="0,0"/>
            <v:stroke on="f"/>
            <v:imagedata r:id="rId15" gain="65536f" blacklevel="0f" gamma="0" o:title=""/>
            <o:lock v:ext="edit" position="f" selection="f" grouping="f" rotation="f" cropping="f" text="f" aspectratio="t"/>
            <w10:wrap type="square"/>
          </v:shape>
        </w:pict>
      </w:r>
      <w:r>
        <w:rPr>
          <w:rFonts w:ascii="仿宋_GB2312" w:hAnsi="Calibri" w:eastAsia="仿宋_GB2312" w:cs="Wingdings"/>
          <w:kern w:val="2"/>
          <w:sz w:val="32"/>
          <w:szCs w:val="32"/>
          <w:lang w:val="en-US" w:eastAsia="zh-CN" w:bidi="ar-SA"/>
        </w:rPr>
        <w:pict>
          <v:shape id="_x0000_i1025" o:spt="75" type="#_x0000_t75" style="height:203.35pt;width:338.45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14:paraId="24EE3987">
      <w:pPr>
        <w:tabs>
          <w:tab w:val="left" w:pos="5800"/>
        </w:tabs>
        <w:adjustRightInd w:val="0"/>
        <w:snapToGrid w:val="0"/>
        <w:spacing w:line="600" w:lineRule="exact"/>
        <w:ind w:left="0"/>
        <w:rPr>
          <w:rFonts w:ascii="仿宋_GB2312" w:eastAsia="仿宋_GB2312" w:cs="Wingdings"/>
          <w:sz w:val="18"/>
          <w:szCs w:val="18"/>
        </w:rPr>
      </w:pPr>
    </w:p>
    <w:p w14:paraId="311B41F9">
      <w:pPr>
        <w:tabs>
          <w:tab w:val="left" w:pos="2820"/>
        </w:tabs>
        <w:adjustRightInd w:val="0"/>
        <w:snapToGrid w:val="0"/>
        <w:spacing w:line="600" w:lineRule="exact"/>
        <w:ind w:firstLine="640" w:firstLineChars="200"/>
        <w:rPr>
          <w:rFonts w:ascii="仿宋_GB2312" w:eastAsia="仿宋_GB2312" w:cs="Wingdings"/>
          <w:sz w:val="20"/>
          <w:szCs w:val="20"/>
        </w:rPr>
      </w:pPr>
      <w:r>
        <w:rPr>
          <w:rFonts w:hint="eastAsia" w:ascii="黑体" w:eastAsia="黑体" w:cs="Times New Roman"/>
          <w:sz w:val="32"/>
          <w:szCs w:val="32"/>
        </w:rPr>
        <w:t>二、收入决算情况说明</w:t>
      </w:r>
    </w:p>
    <w:p w14:paraId="3E55E685">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本部门2020年度本年收入合计</w:t>
      </w:r>
      <w:r>
        <w:rPr>
          <w:rFonts w:ascii="仿宋_GB2312" w:eastAsia="仿宋_GB2312" w:cs="Wingdings"/>
          <w:sz w:val="32"/>
          <w:szCs w:val="32"/>
        </w:rPr>
        <w:t>343.85</w:t>
      </w:r>
      <w:r>
        <w:rPr>
          <w:rFonts w:hint="eastAsia" w:ascii="仿宋_GB2312" w:eastAsia="仿宋_GB2312" w:cs="Wingdings"/>
          <w:sz w:val="32"/>
          <w:szCs w:val="32"/>
        </w:rPr>
        <w:t>万元，其中：财政拨款收入</w:t>
      </w:r>
      <w:r>
        <w:rPr>
          <w:rFonts w:ascii="仿宋_GB2312" w:eastAsia="仿宋_GB2312" w:cs="Wingdings"/>
          <w:sz w:val="32"/>
          <w:szCs w:val="32"/>
        </w:rPr>
        <w:t>343.85</w:t>
      </w:r>
      <w:r>
        <w:rPr>
          <w:rFonts w:hint="eastAsia" w:ascii="仿宋_GB2312" w:eastAsia="仿宋_GB2312" w:cs="Wingdings"/>
          <w:sz w:val="32"/>
          <w:szCs w:val="32"/>
        </w:rPr>
        <w:t>万元，占</w:t>
      </w:r>
      <w:r>
        <w:rPr>
          <w:rFonts w:ascii="仿宋_GB2312" w:eastAsia="仿宋_GB2312" w:cs="Wingdings"/>
          <w:sz w:val="32"/>
          <w:szCs w:val="32"/>
        </w:rPr>
        <w:t>100</w:t>
      </w:r>
      <w:r>
        <w:rPr>
          <w:rFonts w:hint="eastAsia" w:ascii="仿宋_GB2312" w:eastAsia="仿宋_GB2312" w:cs="Wingdings"/>
          <w:sz w:val="32"/>
          <w:szCs w:val="32"/>
        </w:rPr>
        <w:t>%</w:t>
      </w:r>
      <w:r>
        <w:rPr>
          <w:rFonts w:hint="eastAsia" w:ascii="仿宋_GB2312" w:eastAsia="仿宋_GB2312" w:cs="Wingdings"/>
          <w:sz w:val="32"/>
          <w:szCs w:val="32"/>
          <w:lang w:eastAsia="zh-CN"/>
        </w:rPr>
        <w:t>。</w:t>
      </w:r>
    </w:p>
    <w:p w14:paraId="0C062407">
      <w:pPr>
        <w:snapToGrid w:val="0"/>
        <w:spacing w:line="600" w:lineRule="exact"/>
        <w:ind w:left="0"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00070C73">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本部门2020年度本年支出合计</w:t>
      </w:r>
      <w:r>
        <w:rPr>
          <w:rFonts w:ascii="仿宋_GB2312" w:eastAsia="仿宋_GB2312" w:cs="Wingdings"/>
          <w:sz w:val="32"/>
          <w:szCs w:val="32"/>
        </w:rPr>
        <w:t>344.08</w:t>
      </w:r>
      <w:r>
        <w:rPr>
          <w:rFonts w:hint="eastAsia" w:ascii="仿宋_GB2312" w:eastAsia="仿宋_GB2312" w:cs="Wingdings"/>
          <w:sz w:val="32"/>
          <w:szCs w:val="32"/>
        </w:rPr>
        <w:t>万元，其中：基本支出</w:t>
      </w:r>
      <w:r>
        <w:rPr>
          <w:rFonts w:ascii="仿宋_GB2312" w:eastAsia="仿宋_GB2312" w:cs="Wingdings"/>
          <w:sz w:val="32"/>
          <w:szCs w:val="32"/>
        </w:rPr>
        <w:t>153.71</w:t>
      </w:r>
      <w:r>
        <w:rPr>
          <w:rFonts w:hint="eastAsia" w:ascii="仿宋_GB2312" w:eastAsia="仿宋_GB2312" w:cs="Wingdings"/>
          <w:sz w:val="32"/>
          <w:szCs w:val="32"/>
        </w:rPr>
        <w:t>万元，占</w:t>
      </w:r>
      <w:r>
        <w:rPr>
          <w:rFonts w:ascii="仿宋_GB2312" w:eastAsia="仿宋_GB2312" w:cs="Wingdings"/>
          <w:sz w:val="32"/>
          <w:szCs w:val="32"/>
        </w:rPr>
        <w:t>44.67</w:t>
      </w:r>
      <w:r>
        <w:rPr>
          <w:rFonts w:hint="eastAsia" w:ascii="仿宋_GB2312" w:eastAsia="仿宋_GB2312" w:cs="Wingdings"/>
          <w:sz w:val="32"/>
          <w:szCs w:val="32"/>
        </w:rPr>
        <w:t>%；项目支出</w:t>
      </w:r>
      <w:r>
        <w:rPr>
          <w:rFonts w:ascii="仿宋_GB2312" w:eastAsia="仿宋_GB2312" w:cs="Wingdings"/>
          <w:sz w:val="32"/>
          <w:szCs w:val="32"/>
        </w:rPr>
        <w:t>190.36</w:t>
      </w:r>
      <w:r>
        <w:rPr>
          <w:rFonts w:hint="eastAsia" w:ascii="仿宋_GB2312" w:eastAsia="仿宋_GB2312" w:cs="Wingdings"/>
          <w:sz w:val="32"/>
          <w:szCs w:val="32"/>
        </w:rPr>
        <w:t>万元，占</w:t>
      </w:r>
      <w:r>
        <w:rPr>
          <w:rFonts w:ascii="仿宋_GB2312" w:eastAsia="仿宋_GB2312" w:cs="Wingdings"/>
          <w:sz w:val="32"/>
          <w:szCs w:val="32"/>
        </w:rPr>
        <w:t>55.33</w:t>
      </w:r>
      <w:r>
        <w:rPr>
          <w:rFonts w:hint="eastAsia" w:ascii="仿宋_GB2312" w:eastAsia="仿宋_GB2312" w:cs="Wingdings"/>
          <w:sz w:val="32"/>
          <w:szCs w:val="32"/>
        </w:rPr>
        <w:t>%；如图所示：</w:t>
      </w:r>
    </w:p>
    <w:p w14:paraId="3E97F2E3">
      <w:pPr>
        <w:adjustRightInd w:val="0"/>
        <w:snapToGrid w:val="0"/>
        <w:spacing w:line="600" w:lineRule="exact"/>
        <w:ind w:firstLine="1920" w:firstLineChars="600"/>
        <w:rPr>
          <w:rFonts w:ascii="仿宋_GB2312" w:eastAsia="仿宋_GB2312" w:cs="Wingdings"/>
          <w:sz w:val="32"/>
          <w:szCs w:val="32"/>
        </w:rPr>
      </w:pPr>
      <w:r>
        <w:rPr>
          <w:rFonts w:ascii="仿宋_GB2312" w:hAnsi="Calibri" w:eastAsia="仿宋_GB2312" w:cs="Wingdings"/>
          <w:kern w:val="2"/>
          <w:sz w:val="32"/>
          <w:szCs w:val="32"/>
          <w:lang w:val="en-US" w:eastAsia="zh-CN" w:bidi="ar-SA"/>
        </w:rPr>
        <w:pict>
          <v:shape id="图片 21" o:spid="_x0000_s1032" o:spt="75" type="#_x0000_t75" style="position:absolute;left:0pt;margin-left:66pt;margin-top:-87.55pt;height:157.7pt;width:262.45pt;mso-wrap-distance-bottom:0pt;mso-wrap-distance-left:8.95pt;mso-wrap-distance-right:8.95pt;mso-wrap-distance-top:0pt;z-index:251667456;mso-width-relative:page;mso-height-relative:page;" fillcolor="#FFFFFF" filled="f" o:preferrelative="t" stroked="f" coordsize="21600,21600">
            <v:path/>
            <v:fill on="f" color2="#FFFFFF" focussize="0,0"/>
            <v:stroke on="f"/>
            <v:imagedata r:id="rId17" gain="65536f" blacklevel="0f" gamma="0" o:title=""/>
            <o:lock v:ext="edit" position="f" selection="f" grouping="f" rotation="f" cropping="f" text="f" aspectratio="t"/>
            <w10:wrap type="square"/>
          </v:shape>
        </w:pict>
      </w:r>
    </w:p>
    <w:p w14:paraId="74828669">
      <w:pPr>
        <w:adjustRightInd w:val="0"/>
        <w:snapToGrid w:val="0"/>
        <w:spacing w:line="600" w:lineRule="exact"/>
        <w:ind w:firstLine="1920" w:firstLineChars="600"/>
        <w:rPr>
          <w:rFonts w:ascii="仿宋_GB2312" w:eastAsia="仿宋_GB2312" w:cs="Wingdings"/>
          <w:sz w:val="32"/>
          <w:szCs w:val="32"/>
        </w:rPr>
      </w:pPr>
    </w:p>
    <w:p w14:paraId="7E427230">
      <w:pPr>
        <w:adjustRightInd w:val="0"/>
        <w:snapToGrid w:val="0"/>
        <w:spacing w:line="600" w:lineRule="exact"/>
        <w:ind w:firstLine="1920" w:firstLineChars="600"/>
        <w:rPr>
          <w:rFonts w:ascii="仿宋_GB2312" w:eastAsia="仿宋_GB2312" w:cs="Wingdings"/>
          <w:sz w:val="32"/>
          <w:szCs w:val="32"/>
        </w:rPr>
      </w:pPr>
    </w:p>
    <w:p w14:paraId="29ECEB45">
      <w:pPr>
        <w:keepNext/>
        <w:keepLines/>
        <w:widowControl w:val="0"/>
        <w:snapToGrid w:val="0"/>
        <w:spacing w:line="600" w:lineRule="exact"/>
        <w:ind w:left="0" w:firstLine="800" w:firstLineChars="250"/>
        <w:outlineLvl w:val="1"/>
        <w:rPr>
          <w:rFonts w:ascii="黑体" w:eastAsia="黑体" w:cs="Times New Roman"/>
          <w:sz w:val="32"/>
          <w:szCs w:val="32"/>
        </w:rPr>
      </w:pPr>
      <w:r>
        <w:rPr>
          <w:rFonts w:hint="eastAsia" w:ascii="黑体" w:eastAsia="黑体" w:cs="Times New Roman"/>
          <w:sz w:val="32"/>
          <w:szCs w:val="32"/>
        </w:rPr>
        <w:t>四、</w:t>
      </w:r>
      <w:r>
        <w:rPr>
          <w:rFonts w:hint="eastAsia" w:ascii="黑体" w:eastAsia="黑体" w:cs="黑体"/>
          <w:kern w:val="0"/>
          <w:sz w:val="32"/>
          <w:szCs w:val="32"/>
        </w:rPr>
        <w:t>财政</w:t>
      </w:r>
      <w:r>
        <w:rPr>
          <w:rFonts w:hint="eastAsia" w:ascii="黑体" w:eastAsia="黑体" w:cs="Times New Roman"/>
          <w:sz w:val="32"/>
          <w:szCs w:val="32"/>
        </w:rPr>
        <w:t>拨款收入支出决算总体情况说明</w:t>
      </w:r>
    </w:p>
    <w:p w14:paraId="0E8FC473">
      <w:pPr>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（一）财政拨款收支与2019年度决算对比情况</w:t>
      </w:r>
    </w:p>
    <w:p w14:paraId="059EA891">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本部门2020年度财政拨款收支均为一般公共预算财政拨款，其中本年收入</w:t>
      </w:r>
      <w:r>
        <w:rPr>
          <w:rFonts w:ascii="仿宋_GB2312" w:eastAsia="仿宋_GB2312" w:cs="Wingdings"/>
          <w:sz w:val="32"/>
          <w:szCs w:val="32"/>
        </w:rPr>
        <w:t>343.85</w:t>
      </w:r>
      <w:r>
        <w:rPr>
          <w:rFonts w:hint="eastAsia" w:ascii="仿宋_GB2312" w:eastAsia="仿宋_GB2312" w:cs="Wingdings"/>
          <w:sz w:val="32"/>
          <w:szCs w:val="32"/>
        </w:rPr>
        <w:t>万元,比2019年度增加</w:t>
      </w:r>
      <w:r>
        <w:rPr>
          <w:rFonts w:ascii="仿宋_GB2312" w:eastAsia="仿宋_GB2312" w:cs="DengXian-Regular"/>
          <w:sz w:val="32"/>
          <w:szCs w:val="32"/>
        </w:rPr>
        <w:t>194.57</w:t>
      </w:r>
      <w:r>
        <w:rPr>
          <w:rFonts w:hint="eastAsia" w:ascii="仿宋_GB2312" w:eastAsia="仿宋_GB2312" w:cs="Wingdings"/>
          <w:sz w:val="32"/>
          <w:szCs w:val="32"/>
        </w:rPr>
        <w:t>万元，增长</w:t>
      </w:r>
      <w:r>
        <w:rPr>
          <w:rFonts w:ascii="仿宋_GB2312" w:eastAsia="仿宋_GB2312" w:cs="Wingdings"/>
          <w:sz w:val="32"/>
          <w:szCs w:val="32"/>
        </w:rPr>
        <w:t>130.34</w:t>
      </w:r>
      <w:r>
        <w:rPr>
          <w:rFonts w:hint="eastAsia" w:ascii="仿宋_GB2312" w:eastAsia="仿宋_GB2312" w:cs="Wingdings"/>
          <w:sz w:val="32"/>
          <w:szCs w:val="32"/>
        </w:rPr>
        <w:t>%，主要是</w:t>
      </w:r>
      <w:r>
        <w:rPr>
          <w:rFonts w:ascii="仿宋_GB2312" w:eastAsia="仿宋_GB2312" w:cs="Wingdings"/>
          <w:sz w:val="32"/>
          <w:szCs w:val="32"/>
        </w:rPr>
        <w:t>项目的增加，人员的增加</w:t>
      </w:r>
      <w:r>
        <w:rPr>
          <w:rFonts w:hint="eastAsia" w:ascii="仿宋_GB2312" w:eastAsia="仿宋_GB2312" w:cs="Wingdings"/>
          <w:sz w:val="32"/>
          <w:szCs w:val="32"/>
        </w:rPr>
        <w:t>；本年支出</w:t>
      </w:r>
      <w:r>
        <w:rPr>
          <w:rFonts w:ascii="仿宋_GB2312" w:eastAsia="仿宋_GB2312" w:cs="Wingdings"/>
          <w:sz w:val="32"/>
          <w:szCs w:val="32"/>
        </w:rPr>
        <w:t>344.08</w:t>
      </w:r>
      <w:r>
        <w:rPr>
          <w:rFonts w:hint="eastAsia" w:ascii="仿宋_GB2312" w:eastAsia="仿宋_GB2312" w:cs="Wingdings"/>
          <w:sz w:val="32"/>
          <w:szCs w:val="32"/>
        </w:rPr>
        <w:t>万元，增加</w:t>
      </w:r>
      <w:r>
        <w:rPr>
          <w:rFonts w:ascii="仿宋_GB2312" w:eastAsia="仿宋_GB2312" w:cs="DengXian-Regular"/>
          <w:sz w:val="32"/>
          <w:szCs w:val="32"/>
        </w:rPr>
        <w:t>196.01</w:t>
      </w:r>
      <w:r>
        <w:rPr>
          <w:rFonts w:hint="eastAsia" w:ascii="仿宋_GB2312" w:eastAsia="仿宋_GB2312" w:cs="Wingdings"/>
          <w:sz w:val="32"/>
          <w:szCs w:val="32"/>
        </w:rPr>
        <w:t>万元，增长</w:t>
      </w:r>
      <w:r>
        <w:rPr>
          <w:rFonts w:ascii="仿宋_GB2312" w:eastAsia="仿宋_GB2312" w:cs="Wingdings"/>
          <w:sz w:val="32"/>
          <w:szCs w:val="32"/>
        </w:rPr>
        <w:t>132.38</w:t>
      </w:r>
      <w:r>
        <w:rPr>
          <w:rFonts w:hint="eastAsia" w:ascii="仿宋_GB2312" w:eastAsia="仿宋_GB2312" w:cs="Wingdings"/>
          <w:sz w:val="32"/>
          <w:szCs w:val="32"/>
        </w:rPr>
        <w:t>%，主要是</w:t>
      </w:r>
      <w:r>
        <w:rPr>
          <w:rFonts w:ascii="仿宋_GB2312" w:eastAsia="仿宋_GB2312" w:cs="Wingdings"/>
          <w:sz w:val="32"/>
          <w:szCs w:val="32"/>
        </w:rPr>
        <w:t>项目的支出，人员工资福利支出</w:t>
      </w:r>
      <w:r>
        <w:rPr>
          <w:rFonts w:hint="eastAsia" w:ascii="仿宋_GB2312" w:eastAsia="仿宋_GB2312" w:cs="Wingdings"/>
          <w:sz w:val="32"/>
          <w:szCs w:val="32"/>
          <w:lang w:eastAsia="zh-CN"/>
        </w:rPr>
        <w:t>。</w:t>
      </w:r>
    </w:p>
    <w:p w14:paraId="76EE2388">
      <w:pPr>
        <w:snapToGrid w:val="0"/>
        <w:spacing w:line="600" w:lineRule="exact"/>
        <w:ind w:left="0" w:firstLine="482" w:firstLineChars="150"/>
        <w:rPr>
          <w:rFonts w:ascii="楷体_GB2312" w:eastAsia="楷体_GB2312" w:cs="Mongolian Baiti"/>
          <w:b/>
          <w:bCs/>
          <w:sz w:val="32"/>
          <w:szCs w:val="32"/>
        </w:rPr>
      </w:pPr>
      <w:r>
        <w:rPr>
          <w:rFonts w:hint="eastAsia" w:ascii="楷体_GB2312" w:eastAsia="楷体_GB2312" w:cs="Mongolian Baiti"/>
          <w:b/>
          <w:bCs/>
          <w:sz w:val="32"/>
          <w:szCs w:val="32"/>
        </w:rPr>
        <w:t>（二）财政拨款收支与年初预算数对比情况</w:t>
      </w:r>
    </w:p>
    <w:p w14:paraId="307BD53B">
      <w:pPr>
        <w:snapToGrid w:val="0"/>
        <w:spacing w:line="600" w:lineRule="exact"/>
        <w:ind w:left="0" w:firstLine="480" w:firstLineChars="150"/>
        <w:rPr>
          <w:rFonts w:ascii="仿宋_GB2312" w:eastAsia="仿宋_GB2312" w:cs="Mongolian Baiti"/>
          <w:sz w:val="32"/>
          <w:szCs w:val="32"/>
        </w:rPr>
      </w:pPr>
      <w:r>
        <w:rPr>
          <w:rFonts w:ascii="楷体_GB2312" w:eastAsia="楷体_GB2312" w:cs="Mongolian Baiti"/>
          <w:sz w:val="32"/>
          <w:szCs w:val="32"/>
        </w:rPr>
        <w:t>2020年度一般公共预算财政拨款收入343.85万元，完成年初预算的100%,比年初预算增加3.08万元，决算数大于预算数主要原因是人员增加；本年支出344.08万元，完成年初预算的100%,比年初预算增加3.31万元，决算数大于预算数主要原因人员增加。</w:t>
      </w:r>
    </w:p>
    <w:p w14:paraId="2DAE9077">
      <w:pPr>
        <w:numPr>
          <w:ilvl w:val="0"/>
          <w:numId w:val="2"/>
        </w:numPr>
        <w:adjustRightInd w:val="0"/>
        <w:snapToGrid w:val="0"/>
        <w:spacing w:line="600" w:lineRule="exact"/>
        <w:ind w:left="420" w:leftChars="200"/>
        <w:rPr>
          <w:rFonts w:ascii="楷体_GB2312" w:eastAsia="楷体_GB2312" w:cs="Mongolian Baiti"/>
          <w:b/>
          <w:bCs/>
          <w:sz w:val="32"/>
          <w:szCs w:val="32"/>
        </w:rPr>
      </w:pPr>
      <w:r>
        <w:rPr>
          <w:rFonts w:hint="eastAsia" w:ascii="楷体_GB2312" w:eastAsia="楷体_GB2312" w:cs="Mongolian Baiti"/>
          <w:b/>
          <w:bCs/>
          <w:sz w:val="32"/>
          <w:szCs w:val="32"/>
        </w:rPr>
        <w:t>财政拨款支出决算结构情况。</w:t>
      </w:r>
    </w:p>
    <w:p w14:paraId="70F41A00">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2020 年度财政拨款支出</w:t>
      </w:r>
      <w:r>
        <w:rPr>
          <w:rFonts w:ascii="仿宋_GB2312" w:eastAsia="仿宋_GB2312" w:cs="Wingdings"/>
          <w:sz w:val="32"/>
          <w:szCs w:val="32"/>
        </w:rPr>
        <w:t>344.08</w:t>
      </w:r>
      <w:r>
        <w:rPr>
          <w:rFonts w:hint="eastAsia" w:ascii="仿宋_GB2312" w:eastAsia="仿宋_GB2312" w:cs="Wingdings"/>
          <w:sz w:val="32"/>
          <w:szCs w:val="32"/>
        </w:rPr>
        <w:t>万元，主要用于以下方面比一般公共服务（类）支出</w:t>
      </w:r>
      <w:r>
        <w:rPr>
          <w:rFonts w:ascii="仿宋_GB2312" w:eastAsia="仿宋_GB2312" w:cs="Wingdings"/>
          <w:sz w:val="32"/>
          <w:szCs w:val="32"/>
        </w:rPr>
        <w:t>314.48</w:t>
      </w:r>
      <w:r>
        <w:rPr>
          <w:rFonts w:hint="eastAsia" w:ascii="仿宋_GB2312" w:eastAsia="仿宋_GB2312" w:cs="Wingdings"/>
          <w:sz w:val="32"/>
          <w:szCs w:val="32"/>
        </w:rPr>
        <w:t>万元，占</w:t>
      </w:r>
      <w:r>
        <w:rPr>
          <w:rFonts w:ascii="仿宋_GB2312" w:eastAsia="仿宋_GB2312" w:cs="Wingdings"/>
          <w:sz w:val="32"/>
          <w:szCs w:val="32"/>
        </w:rPr>
        <w:t>91.39</w:t>
      </w:r>
      <w:r>
        <w:rPr>
          <w:rFonts w:hint="eastAsia" w:ascii="仿宋_GB2312" w:eastAsia="仿宋_GB2312" w:cs="Wingdings"/>
          <w:sz w:val="32"/>
          <w:szCs w:val="32"/>
        </w:rPr>
        <w:t>%</w:t>
      </w:r>
      <w:r>
        <w:rPr>
          <w:rFonts w:ascii="仿宋_GB2312" w:eastAsia="仿宋_GB2312" w:cs="Wingdings"/>
          <w:sz w:val="32"/>
          <w:szCs w:val="32"/>
        </w:rPr>
        <w:t>，卫生健康支出10.21万元，</w:t>
      </w:r>
      <w:r>
        <w:rPr>
          <w:rFonts w:hint="eastAsia" w:ascii="仿宋_GB2312" w:eastAsia="仿宋_GB2312" w:cs="Wingdings"/>
          <w:sz w:val="32"/>
          <w:szCs w:val="32"/>
        </w:rPr>
        <w:t>占</w:t>
      </w:r>
      <w:r>
        <w:rPr>
          <w:rFonts w:ascii="仿宋_GB2312" w:eastAsia="仿宋_GB2312" w:cs="Wingdings"/>
          <w:sz w:val="32"/>
          <w:szCs w:val="32"/>
        </w:rPr>
        <w:t>2.97</w:t>
      </w:r>
      <w:r>
        <w:rPr>
          <w:rFonts w:hint="eastAsia" w:ascii="仿宋_GB2312" w:eastAsia="仿宋_GB2312" w:cs="Wingdings"/>
          <w:sz w:val="32"/>
          <w:szCs w:val="32"/>
        </w:rPr>
        <w:t xml:space="preserve">%；社会保障和就业（类）支出 </w:t>
      </w:r>
      <w:r>
        <w:rPr>
          <w:rFonts w:ascii="仿宋_GB2312" w:eastAsia="仿宋_GB2312" w:cs="Wingdings"/>
          <w:sz w:val="32"/>
          <w:szCs w:val="32"/>
        </w:rPr>
        <w:t>11.30</w:t>
      </w:r>
      <w:r>
        <w:rPr>
          <w:rFonts w:hint="eastAsia" w:ascii="仿宋_GB2312" w:eastAsia="仿宋_GB2312" w:cs="Wingdings"/>
          <w:sz w:val="32"/>
          <w:szCs w:val="32"/>
        </w:rPr>
        <w:t>万元，占</w:t>
      </w:r>
      <w:r>
        <w:rPr>
          <w:rFonts w:ascii="仿宋_GB2312" w:eastAsia="仿宋_GB2312" w:cs="Wingdings"/>
          <w:sz w:val="32"/>
          <w:szCs w:val="32"/>
        </w:rPr>
        <w:t>3.29</w:t>
      </w:r>
      <w:r>
        <w:rPr>
          <w:rFonts w:hint="eastAsia" w:ascii="仿宋_GB2312" w:eastAsia="仿宋_GB2312" w:cs="Wingdings"/>
          <w:sz w:val="32"/>
          <w:szCs w:val="32"/>
        </w:rPr>
        <w:t>%；住房保障（类）支出</w:t>
      </w:r>
      <w:r>
        <w:rPr>
          <w:rFonts w:ascii="仿宋_GB2312" w:eastAsia="仿宋_GB2312" w:cs="Wingdings"/>
          <w:sz w:val="32"/>
          <w:szCs w:val="32"/>
        </w:rPr>
        <w:t>8.09</w:t>
      </w:r>
      <w:r>
        <w:rPr>
          <w:rFonts w:hint="eastAsia" w:ascii="仿宋_GB2312" w:eastAsia="仿宋_GB2312" w:cs="Wingdings"/>
          <w:sz w:val="32"/>
          <w:szCs w:val="32"/>
        </w:rPr>
        <w:t xml:space="preserve">万元，占 </w:t>
      </w:r>
      <w:r>
        <w:rPr>
          <w:rFonts w:ascii="仿宋_GB2312" w:eastAsia="仿宋_GB2312" w:cs="Wingdings"/>
          <w:sz w:val="32"/>
          <w:szCs w:val="32"/>
        </w:rPr>
        <w:t>2.35</w:t>
      </w:r>
      <w:r>
        <w:rPr>
          <w:rFonts w:hint="eastAsia" w:ascii="仿宋_GB2312" w:eastAsia="仿宋_GB2312" w:cs="Wingdings"/>
          <w:sz w:val="32"/>
          <w:szCs w:val="32"/>
        </w:rPr>
        <w:t>%。</w:t>
      </w:r>
    </w:p>
    <w:p w14:paraId="005EFEE8">
      <w:pPr>
        <w:adjustRightInd w:val="0"/>
        <w:snapToGrid w:val="0"/>
        <w:spacing w:line="600" w:lineRule="exact"/>
        <w:rPr>
          <w:rFonts w:ascii="楷体_GB2312" w:eastAsia="楷体_GB2312" w:cs="Mongolian Baiti"/>
          <w:b/>
          <w:bCs/>
          <w:sz w:val="32"/>
          <w:szCs w:val="32"/>
        </w:rPr>
      </w:pPr>
      <w:r>
        <w:rPr>
          <w:rFonts w:ascii="楷体_GB2312" w:hAnsi="Calibri" w:eastAsia="楷体_GB2312" w:cs="Mongolian Baiti"/>
          <w:b/>
          <w:bCs/>
          <w:kern w:val="2"/>
          <w:sz w:val="32"/>
          <w:szCs w:val="32"/>
          <w:lang w:val="en-US" w:eastAsia="zh-CN" w:bidi="ar-SA"/>
        </w:rPr>
        <w:pict>
          <v:shape id="图片 24" o:spid="_x0000_s1033" o:spt="75" type="#_x0000_t75" style="position:absolute;left:0pt;margin-left:24pt;margin-top:-24.75pt;height:201.85pt;width:335.95pt;mso-wrap-distance-bottom:0pt;mso-wrap-distance-left:8.95pt;mso-wrap-distance-right:8.95pt;mso-wrap-distance-top:0pt;z-index:251666432;mso-width-relative:page;mso-height-relative:page;" fillcolor="#FFFFFF" filled="f" o:preferrelative="t" stroked="f" coordsize="21600,21600">
            <v:path/>
            <v:fill on="f" color2="#FFFFFF" focussize="0,0"/>
            <v:stroke on="f"/>
            <v:imagedata r:id="rId18" gain="65536f" blacklevel="0f" gamma="0" o:title=""/>
            <o:lock v:ext="edit" position="f" selection="f" grouping="f" rotation="f" cropping="f" text="f" aspectratio="t"/>
            <w10:wrap type="square"/>
          </v:shape>
        </w:pict>
      </w:r>
      <w:r>
        <w:rPr>
          <w:rFonts w:ascii="楷体_GB2312" w:hAnsi="Calibri" w:eastAsia="楷体_GB2312" w:cs="Mongolian Baiti"/>
          <w:b/>
          <w:bCs/>
          <w:kern w:val="2"/>
          <w:sz w:val="32"/>
          <w:szCs w:val="32"/>
          <w:lang w:val="en-US" w:eastAsia="zh-CN" w:bidi="ar-SA"/>
        </w:rPr>
        <w:pict>
          <v:shape id="_x0000_i1034" o:spt="75" type="#_x0000_t75" style="height:216.75pt;width:360.75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14:paraId="51E7644F">
      <w:pPr>
        <w:adjustRightInd w:val="0"/>
        <w:snapToGrid w:val="0"/>
        <w:spacing w:line="600" w:lineRule="exact"/>
        <w:ind w:firstLine="482" w:firstLineChars="150"/>
        <w:rPr>
          <w:rFonts w:ascii="楷体_GB2312" w:eastAsia="楷体_GB2312" w:cs="Mongolian Baiti"/>
          <w:b/>
          <w:bCs/>
          <w:sz w:val="32"/>
          <w:szCs w:val="32"/>
        </w:rPr>
      </w:pPr>
      <w:r>
        <w:rPr>
          <w:rFonts w:hint="eastAsia" w:ascii="楷体_GB2312" w:eastAsia="楷体_GB2312" w:cs="Mongolian Baiti"/>
          <w:b/>
          <w:bCs/>
          <w:sz w:val="32"/>
          <w:szCs w:val="32"/>
        </w:rPr>
        <w:t>（四）一般公共预算基本支出决算情况说</w:t>
      </w:r>
    </w:p>
    <w:p w14:paraId="11867902">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2020 年度财政拨款基本支出</w:t>
      </w:r>
      <w:r>
        <w:rPr>
          <w:rFonts w:ascii="仿宋_GB2312" w:eastAsia="仿宋_GB2312" w:cs="Wingdings"/>
          <w:sz w:val="32"/>
          <w:szCs w:val="32"/>
        </w:rPr>
        <w:t>153.71</w:t>
      </w:r>
      <w:r>
        <w:rPr>
          <w:rFonts w:hint="eastAsia" w:ascii="仿宋_GB2312" w:eastAsia="仿宋_GB2312" w:cs="Wingdings"/>
          <w:sz w:val="32"/>
          <w:szCs w:val="32"/>
        </w:rPr>
        <w:t>万元，其中：人员经费</w:t>
      </w:r>
      <w:r>
        <w:rPr>
          <w:rFonts w:ascii="仿宋_GB2312" w:eastAsia="仿宋_GB2312" w:cs="Wingdings"/>
          <w:sz w:val="32"/>
          <w:szCs w:val="32"/>
        </w:rPr>
        <w:t>139.94</w:t>
      </w:r>
      <w:r>
        <w:rPr>
          <w:rFonts w:hint="eastAsia" w:ascii="仿宋_GB2312"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奖励金、其他对个人和家庭的补助支出；公用经费</w:t>
      </w:r>
      <w:r>
        <w:rPr>
          <w:rFonts w:ascii="仿宋_GB2312" w:eastAsia="仿宋_GB2312" w:cs="Wingdings"/>
          <w:sz w:val="32"/>
          <w:szCs w:val="32"/>
        </w:rPr>
        <w:t>13.77</w:t>
      </w:r>
      <w:r>
        <w:rPr>
          <w:rFonts w:hint="eastAsia" w:ascii="仿宋_GB2312" w:eastAsia="仿宋_GB2312" w:cs="Wingdings"/>
          <w:sz w:val="32"/>
          <w:szCs w:val="32"/>
        </w:rPr>
        <w:t>万元，主要包括办公费、印刷费、咨询费、手续费、水费、电费、邮电费、取暖费、物业管理费、差旅费、维修（护）费、租赁费、会议费、培训费、公务接待费、劳务费、委托业务费、工会经费、福利费、公务用车运行维护费、其他交通费用、其他商品和服务支出、办公设备购置、专用设备购置、信息网络及软件购置更新、公务用车购置、其他资本性支出</w:t>
      </w:r>
      <w:r>
        <w:rPr>
          <w:rFonts w:ascii="仿宋_GB2312" w:eastAsia="仿宋_GB2312" w:cs="Wingdings"/>
          <w:sz w:val="32"/>
          <w:szCs w:val="32"/>
        </w:rPr>
        <w:t>。</w:t>
      </w:r>
    </w:p>
    <w:p w14:paraId="4A928FD4">
      <w:pPr>
        <w:keepNext/>
        <w:keepLines/>
        <w:widowControl w:val="0"/>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14:paraId="67B9BB2C">
      <w:pPr>
        <w:adjustRightInd w:val="0"/>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（一）“三公”经费财政拨款支出决算总体情况说明</w:t>
      </w:r>
    </w:p>
    <w:p w14:paraId="5884A104">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本部门2020年度“三公”经费财政拨款支出预算为</w:t>
      </w:r>
      <w:r>
        <w:rPr>
          <w:rFonts w:ascii="仿宋_GB2312" w:eastAsia="仿宋_GB2312" w:cs="Wingdings"/>
          <w:sz w:val="32"/>
          <w:szCs w:val="32"/>
        </w:rPr>
        <w:t>13.2</w:t>
      </w:r>
      <w:r>
        <w:rPr>
          <w:rFonts w:hint="eastAsia" w:ascii="仿宋_GB2312" w:eastAsia="仿宋_GB2312" w:cs="Wingdings"/>
          <w:sz w:val="32"/>
          <w:szCs w:val="32"/>
        </w:rPr>
        <w:t>万元，支出决算为</w:t>
      </w:r>
      <w:r>
        <w:rPr>
          <w:rFonts w:ascii="仿宋_GB2312" w:eastAsia="仿宋_GB2312" w:cs="Wingdings"/>
          <w:sz w:val="32"/>
          <w:szCs w:val="32"/>
        </w:rPr>
        <w:t>12.37</w:t>
      </w:r>
      <w:r>
        <w:rPr>
          <w:rFonts w:hint="eastAsia" w:ascii="仿宋_GB2312" w:eastAsia="仿宋_GB2312" w:cs="Wingdings"/>
          <w:sz w:val="32"/>
          <w:szCs w:val="32"/>
        </w:rPr>
        <w:t>元，完成预算的</w:t>
      </w:r>
      <w:r>
        <w:rPr>
          <w:rFonts w:ascii="仿宋_GB2312" w:eastAsia="仿宋_GB2312" w:cs="Wingdings"/>
          <w:sz w:val="32"/>
          <w:szCs w:val="32"/>
        </w:rPr>
        <w:t>93.71</w:t>
      </w:r>
      <w:r>
        <w:rPr>
          <w:rFonts w:hint="eastAsia" w:ascii="仿宋_GB2312" w:eastAsia="仿宋_GB2312" w:cs="Wingdings"/>
          <w:sz w:val="32"/>
          <w:szCs w:val="32"/>
        </w:rPr>
        <w:t>%,较2019年度增加</w:t>
      </w:r>
      <w:r>
        <w:rPr>
          <w:rFonts w:ascii="仿宋_GB2312" w:eastAsia="仿宋_GB2312" w:cs="Wingdings"/>
          <w:sz w:val="32"/>
          <w:szCs w:val="32"/>
        </w:rPr>
        <w:t>12.37</w:t>
      </w:r>
      <w:r>
        <w:rPr>
          <w:rFonts w:hint="eastAsia" w:ascii="仿宋_GB2312" w:eastAsia="仿宋_GB2312" w:cs="Wingdings"/>
          <w:sz w:val="32"/>
          <w:szCs w:val="32"/>
        </w:rPr>
        <w:t>万元，增长</w:t>
      </w:r>
      <w:r>
        <w:rPr>
          <w:rFonts w:ascii="仿宋_GB2312" w:eastAsia="仿宋_GB2312" w:cs="Wingdings"/>
          <w:sz w:val="32"/>
          <w:szCs w:val="32"/>
        </w:rPr>
        <w:t>93.71</w:t>
      </w:r>
      <w:r>
        <w:rPr>
          <w:rFonts w:hint="eastAsia" w:ascii="仿宋_GB2312" w:eastAsia="仿宋_GB2312" w:cs="Wingdings"/>
          <w:sz w:val="32"/>
          <w:szCs w:val="32"/>
        </w:rPr>
        <w:t>%，主要是</w:t>
      </w:r>
      <w:r>
        <w:rPr>
          <w:rFonts w:ascii="仿宋_GB2312" w:eastAsia="仿宋_GB2312" w:cs="Wingdings"/>
          <w:sz w:val="32"/>
          <w:szCs w:val="32"/>
        </w:rPr>
        <w:t>购置车辆。</w:t>
      </w:r>
    </w:p>
    <w:p w14:paraId="1D26F475">
      <w:pPr>
        <w:adjustRightInd w:val="0"/>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（二）“三公”经费财政拨款支出决算具体情况说明</w:t>
      </w:r>
    </w:p>
    <w:p w14:paraId="6F77FE40">
      <w:pPr>
        <w:numPr>
          <w:ilvl w:val="0"/>
          <w:numId w:val="3"/>
        </w:numPr>
        <w:adjustRightInd w:val="0"/>
        <w:snapToGrid w:val="0"/>
        <w:spacing w:line="600" w:lineRule="exact"/>
        <w:rPr>
          <w:rFonts w:ascii="仿宋_GB2312" w:eastAsia="仿宋_GB2312" w:cs="Wingdings"/>
          <w:sz w:val="32"/>
          <w:szCs w:val="32"/>
        </w:rPr>
      </w:pPr>
      <w:r>
        <w:rPr>
          <w:rFonts w:hint="eastAsia" w:ascii="楷体_GB2312" w:eastAsia="楷体_GB2312" w:cs="Mongolian Baiti"/>
          <w:b/>
          <w:bCs/>
          <w:sz w:val="32"/>
          <w:szCs w:val="32"/>
        </w:rPr>
        <w:t>因公出国（境）费</w:t>
      </w:r>
      <w:r>
        <w:rPr>
          <w:rFonts w:hint="eastAsia" w:ascii="楷体_GB2312" w:eastAsia="楷体_GB2312" w:cs="Mongolian Baiti"/>
          <w:b/>
          <w:bCs/>
          <w:sz w:val="32"/>
          <w:szCs w:val="32"/>
          <w:lang w:eastAsia="zh-CN"/>
        </w:rPr>
        <w:t>。</w:t>
      </w:r>
      <w:r>
        <w:rPr>
          <w:rFonts w:hint="eastAsia" w:ascii="仿宋_GB2312" w:eastAsia="仿宋_GB2312" w:cs="仿宋_GB2312"/>
          <w:b w:val="0"/>
          <w:bCs w:val="0"/>
          <w:sz w:val="32"/>
          <w:szCs w:val="32"/>
        </w:rPr>
        <w:t>本部门2020</w:t>
      </w:r>
      <w:r>
        <w:rPr>
          <w:rFonts w:hint="eastAsia" w:ascii="仿宋_GB2312" w:eastAsia="仿宋_GB2312" w:cs="仿宋_GB2312"/>
          <w:b w:val="0"/>
          <w:bCs w:val="0"/>
          <w:sz w:val="32"/>
          <w:szCs w:val="32"/>
          <w:lang w:val="en-US" w:eastAsia="zh-CN"/>
        </w:rPr>
        <w:t>年因公出国（境）费</w:t>
      </w:r>
      <w:r>
        <w:rPr>
          <w:rFonts w:hint="eastAsia" w:ascii="仿宋_GB2312" w:eastAsia="仿宋_GB2312" w:cs="仿宋_GB2312"/>
          <w:b w:val="0"/>
          <w:bCs w:val="0"/>
          <w:sz w:val="32"/>
          <w:szCs w:val="32"/>
        </w:rPr>
        <w:t>支出</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万元，完成预算的</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w:t>
      </w:r>
      <w:r>
        <w:rPr>
          <w:rFonts w:hint="eastAsia" w:ascii="仿宋_GB2312" w:eastAsia="仿宋_GB2312" w:cs="Wingdings"/>
          <w:sz w:val="32"/>
          <w:szCs w:val="32"/>
        </w:rPr>
        <w:t>因公出国（境）团组</w:t>
      </w:r>
      <w:r>
        <w:rPr>
          <w:rFonts w:ascii="仿宋_GB2312" w:eastAsia="仿宋_GB2312" w:cs="Wingdings"/>
          <w:sz w:val="32"/>
          <w:szCs w:val="32"/>
        </w:rPr>
        <w:t>0</w:t>
      </w:r>
      <w:r>
        <w:rPr>
          <w:rFonts w:hint="eastAsia" w:ascii="仿宋_GB2312" w:eastAsia="仿宋_GB2312" w:cs="Wingdings"/>
          <w:sz w:val="32"/>
          <w:szCs w:val="32"/>
        </w:rPr>
        <w:t>个、共</w:t>
      </w:r>
      <w:r>
        <w:rPr>
          <w:rFonts w:ascii="仿宋_GB2312" w:eastAsia="仿宋_GB2312" w:cs="Wingdings"/>
          <w:sz w:val="32"/>
          <w:szCs w:val="32"/>
        </w:rPr>
        <w:t>0</w:t>
      </w:r>
      <w:r>
        <w:rPr>
          <w:rFonts w:hint="eastAsia" w:ascii="仿宋_GB2312" w:eastAsia="仿宋_GB2312" w:cs="Wingdings"/>
          <w:sz w:val="32"/>
          <w:szCs w:val="32"/>
        </w:rPr>
        <w:t>人、参加其他单位组织的因公出国（境）团组</w:t>
      </w:r>
      <w:r>
        <w:rPr>
          <w:rFonts w:ascii="仿宋_GB2312" w:eastAsia="仿宋_GB2312" w:cs="Wingdings"/>
          <w:sz w:val="32"/>
          <w:szCs w:val="32"/>
        </w:rPr>
        <w:t>0</w:t>
      </w:r>
      <w:r>
        <w:rPr>
          <w:rFonts w:hint="eastAsia" w:ascii="仿宋_GB2312" w:eastAsia="仿宋_GB2312" w:cs="Wingdings"/>
          <w:sz w:val="32"/>
          <w:szCs w:val="32"/>
        </w:rPr>
        <w:t>个、共</w:t>
      </w:r>
      <w:r>
        <w:rPr>
          <w:rFonts w:ascii="仿宋_GB2312" w:eastAsia="仿宋_GB2312" w:cs="Wingdings"/>
          <w:sz w:val="32"/>
          <w:szCs w:val="32"/>
        </w:rPr>
        <w:t>0</w:t>
      </w:r>
      <w:r>
        <w:rPr>
          <w:rFonts w:hint="eastAsia" w:ascii="仿宋_GB2312" w:eastAsia="仿宋_GB2312" w:cs="Wingdings"/>
          <w:sz w:val="32"/>
          <w:szCs w:val="32"/>
        </w:rPr>
        <w:t>人/无本单位组织的出国（境）团组。</w:t>
      </w:r>
    </w:p>
    <w:p w14:paraId="00D71E9B">
      <w:pPr>
        <w:adjustRightInd w:val="0"/>
        <w:snapToGrid w:val="0"/>
        <w:spacing w:line="600" w:lineRule="exact"/>
        <w:ind w:left="640" w:firstLine="0"/>
        <w:rPr>
          <w:rFonts w:ascii="仿宋_GB2312" w:eastAsia="仿宋_GB2312" w:cs="Mongolian Baiti"/>
          <w:b/>
          <w:bCs/>
          <w:sz w:val="32"/>
          <w:szCs w:val="32"/>
        </w:rPr>
      </w:pPr>
      <w:r>
        <w:rPr>
          <w:rFonts w:hint="eastAsia" w:ascii="楷体_GB2312" w:eastAsia="楷体_GB2312" w:cs="Mongolian Baiti"/>
          <w:b/>
          <w:bCs/>
          <w:sz w:val="32"/>
          <w:szCs w:val="32"/>
        </w:rPr>
        <w:t>2.公务用车购置及运行维护费</w:t>
      </w:r>
      <w:r>
        <w:rPr>
          <w:rFonts w:hint="eastAsia" w:ascii="楷体_GB2312" w:eastAsia="楷体_GB2312" w:cs="Mongolian Baiti"/>
          <w:b/>
          <w:bCs/>
          <w:sz w:val="32"/>
          <w:szCs w:val="32"/>
          <w:lang w:eastAsia="zh-CN"/>
        </w:rPr>
        <w:t>。</w:t>
      </w:r>
      <w:r>
        <w:rPr>
          <w:rFonts w:hint="eastAsia" w:ascii="仿宋_GB2312" w:eastAsia="仿宋_GB2312" w:cs="仿宋_GB2312"/>
          <w:b w:val="0"/>
          <w:bCs w:val="0"/>
          <w:sz w:val="32"/>
          <w:szCs w:val="32"/>
          <w:lang w:eastAsia="zh-CN"/>
        </w:rPr>
        <w:t>本部门2020</w:t>
      </w:r>
      <w:r>
        <w:rPr>
          <w:rFonts w:hint="eastAsia" w:ascii="仿宋_GB2312" w:eastAsia="仿宋_GB2312" w:cs="仿宋_GB2312"/>
          <w:b w:val="0"/>
          <w:bCs w:val="0"/>
          <w:sz w:val="32"/>
          <w:szCs w:val="32"/>
          <w:lang w:val="en-US" w:eastAsia="zh-CN"/>
        </w:rPr>
        <w:t>年</w:t>
      </w:r>
      <w:r>
        <w:rPr>
          <w:rFonts w:hint="eastAsia" w:ascii="仿宋_GB2312" w:eastAsia="仿宋_GB2312" w:cs="仿宋_GB2312"/>
          <w:b w:val="0"/>
          <w:bCs w:val="0"/>
          <w:sz w:val="32"/>
          <w:szCs w:val="32"/>
        </w:rPr>
        <w:t>公务用车购置及运行维护费</w:t>
      </w:r>
      <w:r>
        <w:rPr>
          <w:rFonts w:hint="eastAsia" w:ascii="仿宋_GB2312" w:eastAsia="仿宋_GB2312" w:cs="仿宋_GB2312"/>
          <w:b w:val="0"/>
          <w:bCs w:val="0"/>
          <w:sz w:val="32"/>
          <w:szCs w:val="32"/>
          <w:lang w:eastAsia="zh-CN"/>
        </w:rPr>
        <w:t>支出</w:t>
      </w:r>
      <w:r>
        <w:rPr>
          <w:rFonts w:ascii="仿宋_GB2312" w:eastAsia="仿宋_GB2312" w:cs="仿宋_GB2312"/>
          <w:b w:val="0"/>
          <w:bCs w:val="0"/>
          <w:sz w:val="32"/>
          <w:szCs w:val="32"/>
          <w:lang w:eastAsia="zh-CN"/>
        </w:rPr>
        <w:t>12.3</w:t>
      </w:r>
      <w:r>
        <w:rPr>
          <w:rFonts w:hint="eastAsia" w:ascii="仿宋_GB2312" w:eastAsia="仿宋_GB2312" w:cs="仿宋_GB2312"/>
          <w:b w:val="0"/>
          <w:bCs w:val="0"/>
          <w:sz w:val="32"/>
          <w:szCs w:val="32"/>
          <w:lang w:eastAsia="zh-CN"/>
        </w:rPr>
        <w:t>万元，完成预算的</w:t>
      </w:r>
      <w:r>
        <w:rPr>
          <w:rFonts w:ascii="仿宋_GB2312" w:eastAsia="仿宋_GB2312" w:cs="仿宋_GB2312"/>
          <w:b w:val="0"/>
          <w:bCs w:val="0"/>
          <w:sz w:val="32"/>
          <w:szCs w:val="32"/>
          <w:lang w:eastAsia="zh-CN"/>
        </w:rPr>
        <w:t>93.71</w:t>
      </w:r>
      <w:r>
        <w:rPr>
          <w:rFonts w:hint="eastAsia" w:ascii="仿宋_GB2312" w:eastAsia="仿宋_GB2312" w:cs="仿宋_GB2312"/>
          <w:b w:val="0"/>
          <w:bCs w:val="0"/>
          <w:sz w:val="32"/>
          <w:szCs w:val="32"/>
          <w:lang w:eastAsia="zh-CN"/>
        </w:rPr>
        <w:t>%，</w:t>
      </w:r>
      <w:r>
        <w:rPr>
          <w:rFonts w:hint="eastAsia" w:ascii="仿宋_GB2312" w:eastAsia="仿宋_GB2312" w:cs="Mongolian Baiti"/>
          <w:b/>
          <w:bCs/>
          <w:sz w:val="32"/>
          <w:szCs w:val="32"/>
        </w:rPr>
        <w:t>其中：</w:t>
      </w:r>
    </w:p>
    <w:p w14:paraId="270D4E94">
      <w:pPr>
        <w:adjustRightInd w:val="0"/>
        <w:snapToGrid w:val="0"/>
        <w:spacing w:line="600" w:lineRule="exact"/>
        <w:ind w:firstLine="643" w:firstLineChars="200"/>
        <w:rPr>
          <w:rFonts w:ascii="仿宋_GB2312" w:eastAsia="仿宋_GB2312" w:cs="Wingdings"/>
          <w:sz w:val="32"/>
          <w:szCs w:val="32"/>
        </w:rPr>
      </w:pPr>
      <w:r>
        <w:rPr>
          <w:rFonts w:hint="eastAsia" w:ascii="仿宋_GB2312" w:eastAsia="仿宋_GB2312" w:cs="Wingdings"/>
          <w:b/>
          <w:sz w:val="32"/>
          <w:szCs w:val="32"/>
        </w:rPr>
        <w:t>公务用车购置费支出：</w:t>
      </w:r>
      <w:r>
        <w:rPr>
          <w:rFonts w:hint="eastAsia" w:ascii="仿宋_GB2312" w:eastAsia="仿宋_GB2312" w:cs="Wingdings"/>
          <w:sz w:val="32"/>
          <w:szCs w:val="32"/>
        </w:rPr>
        <w:t>本部门2020年度公务用车购置</w:t>
      </w:r>
      <w:r>
        <w:rPr>
          <w:rFonts w:ascii="仿宋_GB2312" w:eastAsia="仿宋_GB2312" w:cs="Wingdings"/>
          <w:sz w:val="32"/>
          <w:szCs w:val="32"/>
        </w:rPr>
        <w:t>1</w:t>
      </w:r>
      <w:r>
        <w:rPr>
          <w:rFonts w:hint="eastAsia" w:ascii="仿宋_GB2312" w:eastAsia="仿宋_GB2312" w:cs="Wingdings"/>
          <w:sz w:val="32"/>
          <w:szCs w:val="32"/>
        </w:rPr>
        <w:t>辆，发生“公务用车购置”经费支出</w:t>
      </w:r>
      <w:r>
        <w:rPr>
          <w:rFonts w:ascii="仿宋_GB2312" w:eastAsia="仿宋_GB2312" w:cs="Wingdings"/>
          <w:sz w:val="32"/>
          <w:szCs w:val="32"/>
        </w:rPr>
        <w:t>11.97</w:t>
      </w:r>
      <w:r>
        <w:rPr>
          <w:rFonts w:hint="eastAsia" w:ascii="仿宋_GB2312" w:eastAsia="仿宋_GB2312" w:cs="Wingdings"/>
          <w:sz w:val="32"/>
          <w:szCs w:val="32"/>
        </w:rPr>
        <w:t>万元。较上年增加</w:t>
      </w:r>
      <w:r>
        <w:rPr>
          <w:rFonts w:ascii="仿宋_GB2312" w:eastAsia="仿宋_GB2312" w:cs="Wingdings"/>
          <w:sz w:val="32"/>
          <w:szCs w:val="32"/>
        </w:rPr>
        <w:t>11.97</w:t>
      </w:r>
      <w:r>
        <w:rPr>
          <w:rFonts w:hint="eastAsia" w:ascii="仿宋_GB2312" w:eastAsia="仿宋_GB2312" w:cs="Wingdings"/>
          <w:sz w:val="32"/>
          <w:szCs w:val="32"/>
        </w:rPr>
        <w:t>万元，增长</w:t>
      </w:r>
      <w:r>
        <w:rPr>
          <w:rFonts w:ascii="仿宋_GB2312" w:eastAsia="仿宋_GB2312" w:cs="Wingdings"/>
          <w:sz w:val="32"/>
          <w:szCs w:val="32"/>
        </w:rPr>
        <w:t>100</w:t>
      </w:r>
      <w:r>
        <w:rPr>
          <w:rFonts w:hint="eastAsia" w:ascii="仿宋_GB2312" w:eastAsia="仿宋_GB2312" w:cs="Wingdings"/>
          <w:sz w:val="32"/>
          <w:szCs w:val="32"/>
        </w:rPr>
        <w:t>%,主要是</w:t>
      </w:r>
      <w:r>
        <w:rPr>
          <w:rFonts w:ascii="仿宋_GB2312" w:eastAsia="仿宋_GB2312" w:cs="Wingdings"/>
          <w:sz w:val="32"/>
          <w:szCs w:val="32"/>
        </w:rPr>
        <w:t>今年新购置一辆公务用车。</w:t>
      </w:r>
    </w:p>
    <w:p w14:paraId="77F153A6">
      <w:pPr>
        <w:adjustRightInd w:val="0"/>
        <w:snapToGrid w:val="0"/>
        <w:spacing w:line="600" w:lineRule="exact"/>
        <w:ind w:firstLine="643" w:firstLineChars="200"/>
        <w:rPr>
          <w:rFonts w:ascii="仿宋_GB2312" w:eastAsia="仿宋_GB2312" w:cs="Wingdings"/>
          <w:sz w:val="32"/>
          <w:szCs w:val="32"/>
        </w:rPr>
      </w:pPr>
      <w:r>
        <w:rPr>
          <w:rFonts w:hint="eastAsia" w:ascii="仿宋_GB2312" w:eastAsia="仿宋_GB2312" w:cs="Wingdings"/>
          <w:b/>
          <w:sz w:val="32"/>
          <w:szCs w:val="32"/>
        </w:rPr>
        <w:t>公务用车运行维护费支出：</w:t>
      </w:r>
      <w:r>
        <w:rPr>
          <w:rFonts w:hint="eastAsia" w:ascii="仿宋_GB2312" w:eastAsia="仿宋_GB2312" w:cs="Wingdings"/>
          <w:sz w:val="32"/>
          <w:szCs w:val="32"/>
        </w:rPr>
        <w:t>本部门2020年度单位公务用车保有量</w:t>
      </w:r>
      <w:r>
        <w:rPr>
          <w:rFonts w:ascii="仿宋_GB2312" w:eastAsia="仿宋_GB2312" w:cs="Wingdings"/>
          <w:sz w:val="32"/>
          <w:szCs w:val="32"/>
        </w:rPr>
        <w:t>1</w:t>
      </w:r>
      <w:r>
        <w:rPr>
          <w:rFonts w:hint="eastAsia" w:ascii="仿宋_GB2312" w:eastAsia="仿宋_GB2312" w:cs="Wingdings"/>
          <w:sz w:val="32"/>
          <w:szCs w:val="32"/>
        </w:rPr>
        <w:t>辆</w:t>
      </w:r>
      <w:r>
        <w:rPr>
          <w:rFonts w:hint="eastAsia" w:ascii="仿宋_GB2312" w:eastAsia="仿宋_GB2312" w:cs="Wingdings"/>
          <w:sz w:val="32"/>
          <w:szCs w:val="32"/>
          <w:lang w:val="en-US" w:eastAsia="zh-CN"/>
        </w:rPr>
        <w:t>,发生运行维护费支出</w:t>
      </w:r>
      <w:r>
        <w:rPr>
          <w:rFonts w:ascii="仿宋_GB2312" w:eastAsia="仿宋_GB2312" w:cs="Wingdings"/>
          <w:sz w:val="32"/>
          <w:szCs w:val="32"/>
        </w:rPr>
        <w:t>0.39</w:t>
      </w:r>
      <w:r>
        <w:rPr>
          <w:rFonts w:hint="eastAsia" w:ascii="仿宋_GB2312" w:eastAsia="仿宋_GB2312" w:cs="Wingdings"/>
          <w:sz w:val="32"/>
          <w:szCs w:val="32"/>
          <w:lang w:val="en-US" w:eastAsia="zh-CN"/>
        </w:rPr>
        <w:t>万元，</w:t>
      </w:r>
      <w:r>
        <w:rPr>
          <w:rFonts w:hint="eastAsia" w:ascii="仿宋_GB2312" w:eastAsia="仿宋_GB2312" w:cs="Wingdings"/>
          <w:sz w:val="32"/>
          <w:szCs w:val="32"/>
        </w:rPr>
        <w:t>公车运行维护费支出较预算增加</w:t>
      </w:r>
      <w:r>
        <w:rPr>
          <w:rFonts w:ascii="仿宋_GB2312" w:eastAsia="仿宋_GB2312" w:cs="Wingdings"/>
          <w:sz w:val="32"/>
          <w:szCs w:val="32"/>
        </w:rPr>
        <w:t>0.39</w:t>
      </w:r>
      <w:r>
        <w:rPr>
          <w:rFonts w:hint="eastAsia" w:ascii="仿宋_GB2312" w:eastAsia="仿宋_GB2312" w:cs="Wingdings"/>
          <w:sz w:val="32"/>
          <w:szCs w:val="32"/>
        </w:rPr>
        <w:t>万元，增长</w:t>
      </w:r>
      <w:r>
        <w:rPr>
          <w:rFonts w:ascii="仿宋_GB2312" w:eastAsia="仿宋_GB2312" w:cs="Wingdings"/>
          <w:sz w:val="32"/>
          <w:szCs w:val="32"/>
        </w:rPr>
        <w:t>100</w:t>
      </w:r>
      <w:r>
        <w:rPr>
          <w:rFonts w:hint="eastAsia" w:ascii="仿宋_GB2312" w:eastAsia="仿宋_GB2312" w:cs="Wingdings"/>
          <w:sz w:val="32"/>
          <w:szCs w:val="32"/>
        </w:rPr>
        <w:t>%,主要是</w:t>
      </w:r>
      <w:r>
        <w:rPr>
          <w:rFonts w:ascii="仿宋_GB2312" w:eastAsia="仿宋_GB2312" w:cs="Wingdings"/>
          <w:sz w:val="32"/>
          <w:szCs w:val="32"/>
        </w:rPr>
        <w:t>今年新购置一辆公务用车。</w:t>
      </w:r>
    </w:p>
    <w:p w14:paraId="42FA51B7">
      <w:pPr>
        <w:adjustRightInd w:val="0"/>
        <w:snapToGrid w:val="0"/>
        <w:spacing w:line="580" w:lineRule="exact"/>
        <w:ind w:left="0" w:firstLine="321" w:firstLineChars="100"/>
        <w:rPr>
          <w:rFonts w:ascii="仿宋_GB2312" w:eastAsia="仿宋_GB2312" w:cs="DengXian-Regular"/>
          <w:sz w:val="32"/>
          <w:szCs w:val="32"/>
        </w:rPr>
      </w:pPr>
      <w:r>
        <w:rPr>
          <w:rFonts w:hint="eastAsia" w:ascii="楷体_GB2312" w:eastAsia="楷体_GB2312" w:cs="Mongolian Baiti"/>
          <w:b/>
          <w:bCs/>
          <w:sz w:val="32"/>
          <w:szCs w:val="32"/>
        </w:rPr>
        <w:t>3.公务接待费</w:t>
      </w:r>
      <w:r>
        <w:rPr>
          <w:rFonts w:hint="eastAsia" w:ascii="楷体_GB2312" w:eastAsia="楷体_GB2312" w:cs="Mongolian Baiti"/>
          <w:b/>
          <w:bCs/>
          <w:sz w:val="32"/>
          <w:szCs w:val="32"/>
          <w:lang w:eastAsia="zh-CN"/>
        </w:rPr>
        <w:t>。</w:t>
      </w:r>
      <w:r>
        <w:rPr>
          <w:rFonts w:hint="eastAsia" w:ascii="仿宋_GB2312" w:eastAsia="仿宋_GB2312" w:cs="DengXian-Regular"/>
          <w:sz w:val="32"/>
          <w:szCs w:val="32"/>
        </w:rPr>
        <w:t>本部门2019年度公务接待共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w:t>
      </w:r>
      <w:r>
        <w:rPr>
          <w:rFonts w:ascii="仿宋_GB2312" w:eastAsia="仿宋_GB2312" w:cs="DengXian-Regular"/>
          <w:sz w:val="32"/>
          <w:szCs w:val="32"/>
        </w:rPr>
        <w:t>未发生公务接待费。</w:t>
      </w:r>
    </w:p>
    <w:p w14:paraId="518598BF">
      <w:pPr>
        <w:adjustRightInd w:val="0"/>
        <w:snapToGrid w:val="0"/>
        <w:spacing w:line="600" w:lineRule="exact"/>
        <w:ind w:firstLine="640" w:firstLineChars="200"/>
        <w:rPr>
          <w:rFonts w:ascii="黑体" w:eastAsia="黑体" w:cs="Times New Roman"/>
          <w:sz w:val="32"/>
          <w:szCs w:val="40"/>
        </w:rPr>
      </w:pPr>
      <w:r>
        <w:rPr>
          <w:rFonts w:hint="eastAsia" w:ascii="黑体" w:eastAsia="黑体" w:cs="Times New Roman"/>
          <w:sz w:val="32"/>
          <w:szCs w:val="40"/>
        </w:rPr>
        <w:t>六、预算绩效情况说明</w:t>
      </w:r>
    </w:p>
    <w:p w14:paraId="18A1F594">
      <w:pPr>
        <w:adjustRightInd w:val="0"/>
        <w:snapToGrid w:val="0"/>
        <w:spacing w:line="600" w:lineRule="exact"/>
        <w:ind w:firstLine="643" w:firstLineChars="200"/>
        <w:rPr>
          <w:rFonts w:ascii="楷体_GB2312" w:eastAsia="楷体_GB2312" w:cs="楷体_GB2312"/>
          <w:b/>
          <w:bCs/>
          <w:sz w:val="32"/>
          <w:szCs w:val="32"/>
        </w:rPr>
      </w:pPr>
      <w:r>
        <w:rPr>
          <w:rFonts w:hint="eastAsia" w:ascii="楷体_GB2312" w:eastAsia="楷体_GB2312" w:cs="楷体_GB2312"/>
          <w:b/>
          <w:bCs/>
          <w:sz w:val="32"/>
          <w:szCs w:val="32"/>
        </w:rPr>
        <w:t>（一）预算绩效管理工作开展情况。</w:t>
      </w:r>
    </w:p>
    <w:p w14:paraId="08AAF393">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根据</w:t>
      </w:r>
      <w:r>
        <w:rPr>
          <w:rFonts w:ascii="仿宋_GB2312" w:eastAsia="仿宋_GB2312" w:cs="仿宋_GB2312"/>
          <w:sz w:val="32"/>
          <w:szCs w:val="32"/>
        </w:rPr>
        <w:t>石家庄市财政局《全面推进预算绩效</w:t>
      </w:r>
      <w:r>
        <w:rPr>
          <w:rFonts w:hint="eastAsia" w:ascii="仿宋_GB2312" w:eastAsia="仿宋_GB2312" w:cs="仿宋_GB2312"/>
          <w:sz w:val="32"/>
          <w:szCs w:val="32"/>
        </w:rPr>
        <w:t>管理</w:t>
      </w:r>
      <w:r>
        <w:rPr>
          <w:rFonts w:ascii="仿宋_GB2312" w:eastAsia="仿宋_GB2312" w:cs="仿宋_GB2312"/>
          <w:sz w:val="32"/>
          <w:szCs w:val="32"/>
        </w:rPr>
        <w:t>工作实施方案》（石财绩【2019】2号),栾城区政府《关于进一步加强部门预算资金的意见（石栾政函【2020】20号），栾城区财政局《关于印发预算绩效自评工作管理办法的通知》（石栾财字【2020】26号）等文件要求，本部门组织对2020年度 9个一级项目全面开展绩效自评，共涉及资金 183.65万元。</w:t>
      </w:r>
    </w:p>
    <w:p w14:paraId="722B37DA">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组织对</w:t>
      </w:r>
      <w:r>
        <w:rPr>
          <w:rFonts w:ascii="仿宋_GB2312" w:eastAsia="仿宋_GB2312" w:cs="仿宋_GB2312"/>
          <w:sz w:val="32"/>
          <w:szCs w:val="32"/>
        </w:rPr>
        <w:t>网络安全监测预警体系和工作经费</w:t>
      </w:r>
      <w:r>
        <w:rPr>
          <w:rFonts w:hint="eastAsia" w:ascii="仿宋_GB2312" w:eastAsia="仿宋_GB2312" w:cs="仿宋_GB2312"/>
          <w:sz w:val="32"/>
          <w:szCs w:val="32"/>
        </w:rPr>
        <w:t>一级项目开展了部门评价，涉及一般公共预算支出</w:t>
      </w:r>
      <w:r>
        <w:rPr>
          <w:rFonts w:ascii="仿宋_GB2312" w:eastAsia="仿宋_GB2312" w:cs="仿宋_GB2312"/>
          <w:sz w:val="32"/>
          <w:szCs w:val="32"/>
        </w:rPr>
        <w:t>40</w:t>
      </w:r>
      <w:r>
        <w:rPr>
          <w:rFonts w:hint="eastAsia" w:ascii="仿宋_GB2312" w:eastAsia="仿宋_GB2312" w:cs="仿宋_GB2312"/>
          <w:sz w:val="32"/>
          <w:szCs w:val="32"/>
        </w:rPr>
        <w:t>万元，政府性基金预算支出</w:t>
      </w:r>
      <w:r>
        <w:rPr>
          <w:rFonts w:ascii="仿宋_GB2312" w:eastAsia="仿宋_GB2312" w:cs="仿宋_GB2312"/>
          <w:sz w:val="32"/>
          <w:szCs w:val="32"/>
        </w:rPr>
        <w:t>0</w:t>
      </w:r>
      <w:r>
        <w:rPr>
          <w:rFonts w:hint="eastAsia" w:ascii="仿宋_GB2312" w:eastAsia="仿宋_GB2312" w:cs="仿宋_GB2312"/>
          <w:sz w:val="32"/>
          <w:szCs w:val="32"/>
        </w:rPr>
        <w:t>万元。</w:t>
      </w:r>
    </w:p>
    <w:p w14:paraId="584B0FE1">
      <w:pPr>
        <w:adjustRightInd w:val="0"/>
        <w:snapToGrid w:val="0"/>
        <w:spacing w:line="600" w:lineRule="exact"/>
        <w:ind w:firstLine="643" w:firstLineChars="200"/>
        <w:rPr>
          <w:rFonts w:ascii="楷体_GB2312" w:eastAsia="楷体_GB2312" w:cs="楷体_GB2312"/>
          <w:b/>
          <w:bCs/>
          <w:sz w:val="32"/>
          <w:szCs w:val="32"/>
        </w:rPr>
      </w:pPr>
      <w:r>
        <w:rPr>
          <w:rFonts w:hint="eastAsia" w:ascii="楷体_GB2312" w:eastAsia="楷体_GB2312" w:cs="楷体_GB2312"/>
          <w:b/>
          <w:bCs/>
          <w:sz w:val="32"/>
          <w:szCs w:val="32"/>
        </w:rPr>
        <w:t>（二） 部门决算中项目绩效自评结果。</w:t>
      </w:r>
    </w:p>
    <w:p w14:paraId="00EEB8AB">
      <w:pPr>
        <w:rPr>
          <w:rFonts w:hint="eastAsia" w:ascii="仿宋" w:eastAsia="仿宋"/>
          <w:szCs w:val="21"/>
        </w:rPr>
      </w:pPr>
    </w:p>
    <w:p w14:paraId="39402211">
      <w:pPr>
        <w:jc w:val="center"/>
        <w:rPr>
          <w:rFonts w:hint="eastAsia" w:ascii="宋体"/>
          <w:sz w:val="36"/>
          <w:szCs w:val="36"/>
        </w:rPr>
      </w:pPr>
      <w:r>
        <w:rPr>
          <w:rFonts w:hint="eastAsia" w:ascii="宋体"/>
          <w:sz w:val="36"/>
          <w:szCs w:val="36"/>
        </w:rPr>
        <w:t>石家庄市栾城区财政项目支出绩效自评表</w:t>
      </w:r>
    </w:p>
    <w:p w14:paraId="02060B79">
      <w:pPr>
        <w:jc w:val="center"/>
        <w:rPr>
          <w:rFonts w:hint="eastAsia" w:ascii="仿宋" w:eastAsia="仿宋"/>
          <w:sz w:val="24"/>
        </w:rPr>
      </w:pPr>
      <w:r>
        <w:rPr>
          <w:rFonts w:hint="eastAsia" w:ascii="仿宋" w:eastAsia="仿宋"/>
          <w:sz w:val="24"/>
        </w:rPr>
        <w:t xml:space="preserve">（    </w:t>
      </w:r>
      <w:r>
        <w:rPr>
          <w:rFonts w:ascii="仿宋" w:eastAsia="仿宋"/>
          <w:sz w:val="24"/>
        </w:rPr>
        <w:t>2020</w:t>
      </w:r>
      <w:r>
        <w:rPr>
          <w:rFonts w:hint="eastAsia" w:ascii="仿宋" w:eastAsia="仿宋"/>
          <w:sz w:val="24"/>
        </w:rPr>
        <w:t>年度）</w:t>
      </w:r>
    </w:p>
    <w:tbl>
      <w:tblPr>
        <w:tblStyle w:val="5"/>
        <w:tblW w:w="9174"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719"/>
        <w:gridCol w:w="723"/>
        <w:gridCol w:w="355"/>
        <w:gridCol w:w="1260"/>
        <w:gridCol w:w="1214"/>
        <w:gridCol w:w="1889"/>
        <w:gridCol w:w="631"/>
        <w:gridCol w:w="630"/>
        <w:gridCol w:w="1034"/>
      </w:tblGrid>
      <w:tr w14:paraId="63172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1" w:type="dxa"/>
            <w:gridSpan w:val="3"/>
            <w:tcBorders>
              <w:tl2br w:val="nil"/>
              <w:tr2bl w:val="nil"/>
            </w:tcBorders>
            <w:vAlign w:val="top"/>
          </w:tcPr>
          <w:p w14:paraId="6F1A7DBE">
            <w:pPr>
              <w:spacing w:line="300" w:lineRule="auto"/>
              <w:jc w:val="center"/>
              <w:rPr>
                <w:rFonts w:hint="eastAsia" w:ascii="宋体"/>
                <w:sz w:val="18"/>
                <w:szCs w:val="18"/>
              </w:rPr>
            </w:pPr>
            <w:r>
              <w:rPr>
                <w:rFonts w:hint="eastAsia" w:ascii="宋体"/>
                <w:sz w:val="18"/>
                <w:szCs w:val="18"/>
              </w:rPr>
              <w:t>项目名称</w:t>
            </w:r>
          </w:p>
        </w:tc>
        <w:tc>
          <w:tcPr>
            <w:tcW w:w="7013" w:type="dxa"/>
            <w:gridSpan w:val="7"/>
            <w:tcBorders>
              <w:tl2br w:val="nil"/>
              <w:tr2bl w:val="nil"/>
            </w:tcBorders>
            <w:vAlign w:val="top"/>
          </w:tcPr>
          <w:p w14:paraId="11C34826">
            <w:pPr>
              <w:spacing w:line="300" w:lineRule="auto"/>
              <w:rPr>
                <w:rFonts w:hint="eastAsia" w:ascii="宋体"/>
                <w:sz w:val="18"/>
                <w:szCs w:val="18"/>
              </w:rPr>
            </w:pPr>
            <w:r>
              <w:rPr>
                <w:rFonts w:ascii="宋体"/>
                <w:sz w:val="18"/>
                <w:szCs w:val="18"/>
              </w:rPr>
              <w:t>网络安全监测预警体系和工作经费</w:t>
            </w:r>
          </w:p>
        </w:tc>
      </w:tr>
      <w:tr w14:paraId="515CA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161" w:type="dxa"/>
            <w:gridSpan w:val="3"/>
            <w:tcBorders>
              <w:tl2br w:val="nil"/>
              <w:tr2bl w:val="nil"/>
            </w:tcBorders>
            <w:vAlign w:val="top"/>
          </w:tcPr>
          <w:p w14:paraId="62216D55">
            <w:pPr>
              <w:spacing w:line="300" w:lineRule="auto"/>
              <w:jc w:val="center"/>
              <w:rPr>
                <w:rFonts w:hint="eastAsia" w:ascii="宋体"/>
                <w:sz w:val="18"/>
                <w:szCs w:val="18"/>
              </w:rPr>
            </w:pPr>
            <w:r>
              <w:rPr>
                <w:rFonts w:hint="eastAsia" w:ascii="宋体"/>
                <w:sz w:val="18"/>
                <w:szCs w:val="18"/>
              </w:rPr>
              <w:t>主管部门</w:t>
            </w:r>
          </w:p>
        </w:tc>
        <w:tc>
          <w:tcPr>
            <w:tcW w:w="2829" w:type="dxa"/>
            <w:gridSpan w:val="3"/>
            <w:tcBorders>
              <w:tl2br w:val="nil"/>
              <w:tr2bl w:val="nil"/>
            </w:tcBorders>
            <w:vAlign w:val="top"/>
          </w:tcPr>
          <w:p w14:paraId="55C753EF">
            <w:pPr>
              <w:spacing w:line="300" w:lineRule="auto"/>
              <w:rPr>
                <w:rFonts w:hint="eastAsia" w:ascii="宋体"/>
                <w:sz w:val="18"/>
                <w:szCs w:val="18"/>
              </w:rPr>
            </w:pPr>
            <w:r>
              <w:rPr>
                <w:rFonts w:ascii="宋体"/>
                <w:sz w:val="18"/>
                <w:szCs w:val="18"/>
              </w:rPr>
              <w:t>栾城区委网信办</w:t>
            </w:r>
          </w:p>
        </w:tc>
        <w:tc>
          <w:tcPr>
            <w:tcW w:w="1889" w:type="dxa"/>
            <w:tcBorders>
              <w:tl2br w:val="nil"/>
              <w:tr2bl w:val="nil"/>
            </w:tcBorders>
            <w:vAlign w:val="top"/>
          </w:tcPr>
          <w:p w14:paraId="58D5379E">
            <w:pPr>
              <w:spacing w:line="300" w:lineRule="auto"/>
              <w:jc w:val="center"/>
              <w:rPr>
                <w:rFonts w:hint="eastAsia" w:ascii="宋体"/>
                <w:sz w:val="18"/>
                <w:szCs w:val="18"/>
              </w:rPr>
            </w:pPr>
            <w:r>
              <w:rPr>
                <w:rFonts w:hint="eastAsia" w:ascii="宋体"/>
                <w:sz w:val="18"/>
                <w:szCs w:val="18"/>
              </w:rPr>
              <w:t>实施单位</w:t>
            </w:r>
          </w:p>
        </w:tc>
        <w:tc>
          <w:tcPr>
            <w:tcW w:w="2295" w:type="dxa"/>
            <w:gridSpan w:val="3"/>
            <w:tcBorders>
              <w:tl2br w:val="nil"/>
              <w:tr2bl w:val="nil"/>
            </w:tcBorders>
            <w:vAlign w:val="top"/>
          </w:tcPr>
          <w:p w14:paraId="19CBE75D">
            <w:pPr>
              <w:spacing w:line="300" w:lineRule="auto"/>
              <w:rPr>
                <w:rFonts w:ascii="宋体"/>
                <w:sz w:val="18"/>
                <w:szCs w:val="18"/>
              </w:rPr>
            </w:pPr>
            <w:r>
              <w:rPr>
                <w:rFonts w:ascii="宋体"/>
                <w:sz w:val="18"/>
                <w:szCs w:val="18"/>
              </w:rPr>
              <w:t>栾城区委网信办</w:t>
            </w:r>
          </w:p>
          <w:p w14:paraId="67FD7020">
            <w:pPr>
              <w:spacing w:line="300" w:lineRule="auto"/>
              <w:rPr>
                <w:rFonts w:hint="eastAsia" w:ascii="宋体"/>
                <w:sz w:val="18"/>
                <w:szCs w:val="18"/>
              </w:rPr>
            </w:pPr>
          </w:p>
        </w:tc>
      </w:tr>
      <w:tr w14:paraId="34A7F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1" w:type="dxa"/>
            <w:gridSpan w:val="3"/>
            <w:vMerge w:val="restart"/>
            <w:tcBorders>
              <w:tl2br w:val="nil"/>
              <w:tr2bl w:val="nil"/>
            </w:tcBorders>
            <w:vAlign w:val="center"/>
          </w:tcPr>
          <w:p w14:paraId="393E649C">
            <w:pPr>
              <w:spacing w:line="300" w:lineRule="auto"/>
              <w:jc w:val="center"/>
              <w:rPr>
                <w:rFonts w:hint="eastAsia" w:ascii="宋体"/>
                <w:sz w:val="18"/>
                <w:szCs w:val="18"/>
              </w:rPr>
            </w:pPr>
            <w:r>
              <w:rPr>
                <w:rFonts w:hint="eastAsia" w:ascii="宋体"/>
                <w:sz w:val="18"/>
                <w:szCs w:val="18"/>
              </w:rPr>
              <w:t>项目资金(万元)</w:t>
            </w:r>
          </w:p>
        </w:tc>
        <w:tc>
          <w:tcPr>
            <w:tcW w:w="1615" w:type="dxa"/>
            <w:gridSpan w:val="2"/>
            <w:tcBorders>
              <w:tl2br w:val="nil"/>
              <w:tr2bl w:val="nil"/>
            </w:tcBorders>
            <w:vAlign w:val="top"/>
          </w:tcPr>
          <w:p w14:paraId="21E9D5D7">
            <w:pPr>
              <w:spacing w:line="300" w:lineRule="auto"/>
              <w:rPr>
                <w:rFonts w:hint="eastAsia" w:ascii="宋体"/>
                <w:sz w:val="18"/>
                <w:szCs w:val="18"/>
              </w:rPr>
            </w:pPr>
          </w:p>
        </w:tc>
        <w:tc>
          <w:tcPr>
            <w:tcW w:w="1214" w:type="dxa"/>
            <w:tcBorders>
              <w:tl2br w:val="nil"/>
              <w:tr2bl w:val="nil"/>
            </w:tcBorders>
            <w:vAlign w:val="top"/>
          </w:tcPr>
          <w:p w14:paraId="70D2F1FD">
            <w:pPr>
              <w:spacing w:line="300" w:lineRule="auto"/>
              <w:jc w:val="center"/>
              <w:rPr>
                <w:rFonts w:hint="eastAsia" w:ascii="宋体"/>
                <w:sz w:val="18"/>
                <w:szCs w:val="18"/>
              </w:rPr>
            </w:pPr>
            <w:r>
              <w:rPr>
                <w:rFonts w:hint="eastAsia" w:ascii="宋体"/>
                <w:sz w:val="18"/>
                <w:szCs w:val="18"/>
              </w:rPr>
              <w:t>全年预算数(A)</w:t>
            </w:r>
          </w:p>
        </w:tc>
        <w:tc>
          <w:tcPr>
            <w:tcW w:w="2520" w:type="dxa"/>
            <w:gridSpan w:val="2"/>
            <w:tcBorders>
              <w:tl2br w:val="nil"/>
              <w:tr2bl w:val="nil"/>
            </w:tcBorders>
            <w:vAlign w:val="top"/>
          </w:tcPr>
          <w:p w14:paraId="53B4BEA5">
            <w:pPr>
              <w:spacing w:line="300" w:lineRule="auto"/>
              <w:jc w:val="center"/>
              <w:rPr>
                <w:rFonts w:hint="eastAsia" w:ascii="宋体"/>
                <w:sz w:val="18"/>
                <w:szCs w:val="18"/>
              </w:rPr>
            </w:pPr>
            <w:r>
              <w:rPr>
                <w:rFonts w:hint="eastAsia" w:ascii="宋体"/>
                <w:sz w:val="18"/>
                <w:szCs w:val="18"/>
              </w:rPr>
              <w:t>全年执行数(B)</w:t>
            </w:r>
          </w:p>
        </w:tc>
        <w:tc>
          <w:tcPr>
            <w:tcW w:w="1664" w:type="dxa"/>
            <w:gridSpan w:val="2"/>
            <w:tcBorders>
              <w:tl2br w:val="nil"/>
              <w:tr2bl w:val="nil"/>
            </w:tcBorders>
            <w:vAlign w:val="top"/>
          </w:tcPr>
          <w:p w14:paraId="0D9D6F46">
            <w:pPr>
              <w:spacing w:line="300" w:lineRule="auto"/>
              <w:jc w:val="center"/>
              <w:rPr>
                <w:rFonts w:hint="eastAsia" w:ascii="宋体"/>
                <w:sz w:val="18"/>
                <w:szCs w:val="18"/>
              </w:rPr>
            </w:pPr>
            <w:r>
              <w:rPr>
                <w:rFonts w:hint="eastAsia" w:ascii="宋体"/>
                <w:sz w:val="18"/>
                <w:szCs w:val="18"/>
              </w:rPr>
              <w:t>执行率(B/A)</w:t>
            </w:r>
          </w:p>
        </w:tc>
      </w:tr>
      <w:tr w14:paraId="48807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1" w:type="dxa"/>
            <w:gridSpan w:val="3"/>
            <w:vMerge w:val="continue"/>
            <w:tcBorders>
              <w:tl2br w:val="nil"/>
              <w:tr2bl w:val="nil"/>
            </w:tcBorders>
            <w:vAlign w:val="top"/>
          </w:tcPr>
          <w:p w14:paraId="1E35A03B"/>
        </w:tc>
        <w:tc>
          <w:tcPr>
            <w:tcW w:w="1615" w:type="dxa"/>
            <w:gridSpan w:val="2"/>
            <w:tcBorders>
              <w:tl2br w:val="nil"/>
              <w:tr2bl w:val="nil"/>
            </w:tcBorders>
            <w:vAlign w:val="top"/>
          </w:tcPr>
          <w:p w14:paraId="2EB9CE36">
            <w:pPr>
              <w:spacing w:line="300" w:lineRule="auto"/>
              <w:rPr>
                <w:rFonts w:hint="eastAsia" w:ascii="宋体"/>
                <w:sz w:val="18"/>
                <w:szCs w:val="18"/>
              </w:rPr>
            </w:pPr>
            <w:r>
              <w:rPr>
                <w:rFonts w:hint="eastAsia" w:ascii="宋体"/>
                <w:sz w:val="18"/>
                <w:szCs w:val="18"/>
              </w:rPr>
              <w:t>年度资金总额</w:t>
            </w:r>
          </w:p>
        </w:tc>
        <w:tc>
          <w:tcPr>
            <w:tcW w:w="1214" w:type="dxa"/>
            <w:tcBorders>
              <w:tl2br w:val="nil"/>
              <w:tr2bl w:val="nil"/>
            </w:tcBorders>
            <w:vAlign w:val="top"/>
          </w:tcPr>
          <w:p w14:paraId="2541BCBC">
            <w:pPr>
              <w:spacing w:line="300" w:lineRule="auto"/>
              <w:rPr>
                <w:rFonts w:hint="eastAsia" w:ascii="宋体"/>
                <w:sz w:val="18"/>
                <w:szCs w:val="18"/>
              </w:rPr>
            </w:pPr>
            <w:r>
              <w:rPr>
                <w:rFonts w:ascii="宋体"/>
                <w:sz w:val="18"/>
                <w:szCs w:val="18"/>
              </w:rPr>
              <w:t>40</w:t>
            </w:r>
          </w:p>
        </w:tc>
        <w:tc>
          <w:tcPr>
            <w:tcW w:w="2520" w:type="dxa"/>
            <w:gridSpan w:val="2"/>
            <w:tcBorders>
              <w:tl2br w:val="nil"/>
              <w:tr2bl w:val="nil"/>
            </w:tcBorders>
            <w:vAlign w:val="top"/>
          </w:tcPr>
          <w:p w14:paraId="4E33FEA3">
            <w:pPr>
              <w:spacing w:line="300" w:lineRule="auto"/>
              <w:rPr>
                <w:rFonts w:hint="eastAsia" w:ascii="宋体"/>
                <w:sz w:val="18"/>
                <w:szCs w:val="18"/>
              </w:rPr>
            </w:pPr>
            <w:r>
              <w:rPr>
                <w:rFonts w:ascii="宋体"/>
                <w:sz w:val="18"/>
                <w:szCs w:val="18"/>
              </w:rPr>
              <w:t>39.02</w:t>
            </w:r>
          </w:p>
        </w:tc>
        <w:tc>
          <w:tcPr>
            <w:tcW w:w="1664" w:type="dxa"/>
            <w:gridSpan w:val="2"/>
            <w:tcBorders>
              <w:tl2br w:val="nil"/>
              <w:tr2bl w:val="nil"/>
            </w:tcBorders>
            <w:vAlign w:val="top"/>
          </w:tcPr>
          <w:p w14:paraId="40FFCEA3">
            <w:pPr>
              <w:spacing w:line="300" w:lineRule="auto"/>
              <w:rPr>
                <w:rFonts w:hint="eastAsia" w:ascii="宋体"/>
                <w:sz w:val="18"/>
                <w:szCs w:val="18"/>
              </w:rPr>
            </w:pPr>
            <w:r>
              <w:rPr>
                <w:rFonts w:ascii="宋体"/>
                <w:sz w:val="18"/>
                <w:szCs w:val="18"/>
              </w:rPr>
              <w:t>97.55</w:t>
            </w:r>
          </w:p>
        </w:tc>
      </w:tr>
      <w:tr w14:paraId="3065D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1" w:type="dxa"/>
            <w:gridSpan w:val="3"/>
            <w:vMerge w:val="continue"/>
            <w:tcBorders>
              <w:tl2br w:val="nil"/>
              <w:tr2bl w:val="nil"/>
            </w:tcBorders>
            <w:vAlign w:val="top"/>
          </w:tcPr>
          <w:p w14:paraId="4E9A81D3"/>
        </w:tc>
        <w:tc>
          <w:tcPr>
            <w:tcW w:w="1615" w:type="dxa"/>
            <w:gridSpan w:val="2"/>
            <w:tcBorders>
              <w:tl2br w:val="nil"/>
              <w:tr2bl w:val="nil"/>
            </w:tcBorders>
            <w:vAlign w:val="top"/>
          </w:tcPr>
          <w:p w14:paraId="0B00FC21">
            <w:pPr>
              <w:spacing w:line="300" w:lineRule="auto"/>
              <w:rPr>
                <w:rFonts w:hint="eastAsia" w:ascii="宋体"/>
                <w:sz w:val="18"/>
                <w:szCs w:val="18"/>
              </w:rPr>
            </w:pPr>
            <w:r>
              <w:rPr>
                <w:rFonts w:hint="eastAsia" w:ascii="宋体"/>
                <w:sz w:val="18"/>
                <w:szCs w:val="18"/>
              </w:rPr>
              <w:t>其中:上级资金</w:t>
            </w:r>
          </w:p>
        </w:tc>
        <w:tc>
          <w:tcPr>
            <w:tcW w:w="1214" w:type="dxa"/>
            <w:tcBorders>
              <w:tl2br w:val="nil"/>
              <w:tr2bl w:val="nil"/>
            </w:tcBorders>
            <w:vAlign w:val="top"/>
          </w:tcPr>
          <w:p w14:paraId="16E08B3A">
            <w:pPr>
              <w:spacing w:line="300" w:lineRule="auto"/>
              <w:rPr>
                <w:rFonts w:hint="eastAsia" w:ascii="宋体"/>
                <w:sz w:val="18"/>
                <w:szCs w:val="18"/>
              </w:rPr>
            </w:pPr>
          </w:p>
        </w:tc>
        <w:tc>
          <w:tcPr>
            <w:tcW w:w="2520" w:type="dxa"/>
            <w:gridSpan w:val="2"/>
            <w:tcBorders>
              <w:tl2br w:val="nil"/>
              <w:tr2bl w:val="nil"/>
            </w:tcBorders>
            <w:vAlign w:val="top"/>
          </w:tcPr>
          <w:p w14:paraId="47571806">
            <w:pPr>
              <w:spacing w:line="300" w:lineRule="auto"/>
              <w:rPr>
                <w:rFonts w:hint="eastAsia" w:ascii="宋体"/>
                <w:sz w:val="18"/>
                <w:szCs w:val="18"/>
              </w:rPr>
            </w:pPr>
          </w:p>
        </w:tc>
        <w:tc>
          <w:tcPr>
            <w:tcW w:w="1664" w:type="dxa"/>
            <w:gridSpan w:val="2"/>
            <w:tcBorders>
              <w:tl2br w:val="nil"/>
              <w:tr2bl w:val="nil"/>
            </w:tcBorders>
            <w:vAlign w:val="top"/>
          </w:tcPr>
          <w:p w14:paraId="5D731DAD">
            <w:pPr>
              <w:spacing w:line="300" w:lineRule="auto"/>
              <w:rPr>
                <w:rFonts w:hint="eastAsia" w:ascii="宋体"/>
                <w:sz w:val="18"/>
                <w:szCs w:val="18"/>
              </w:rPr>
            </w:pPr>
          </w:p>
        </w:tc>
      </w:tr>
      <w:tr w14:paraId="2AA70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1" w:type="dxa"/>
            <w:gridSpan w:val="3"/>
            <w:vMerge w:val="continue"/>
            <w:tcBorders>
              <w:tl2br w:val="nil"/>
              <w:tr2bl w:val="nil"/>
            </w:tcBorders>
            <w:vAlign w:val="top"/>
          </w:tcPr>
          <w:p w14:paraId="7A94E6EF"/>
        </w:tc>
        <w:tc>
          <w:tcPr>
            <w:tcW w:w="1615" w:type="dxa"/>
            <w:gridSpan w:val="2"/>
            <w:tcBorders>
              <w:tl2br w:val="nil"/>
              <w:tr2bl w:val="nil"/>
            </w:tcBorders>
            <w:vAlign w:val="top"/>
          </w:tcPr>
          <w:p w14:paraId="0764453D">
            <w:pPr>
              <w:spacing w:line="300" w:lineRule="auto"/>
              <w:rPr>
                <w:rFonts w:hint="eastAsia" w:ascii="宋体"/>
                <w:sz w:val="18"/>
                <w:szCs w:val="18"/>
              </w:rPr>
            </w:pPr>
            <w:r>
              <w:rPr>
                <w:rFonts w:hint="eastAsia" w:ascii="宋体"/>
                <w:sz w:val="18"/>
                <w:szCs w:val="18"/>
              </w:rPr>
              <w:t xml:space="preserve">     区级资金</w:t>
            </w:r>
          </w:p>
        </w:tc>
        <w:tc>
          <w:tcPr>
            <w:tcW w:w="1214" w:type="dxa"/>
            <w:tcBorders>
              <w:tl2br w:val="nil"/>
              <w:tr2bl w:val="nil"/>
            </w:tcBorders>
            <w:vAlign w:val="top"/>
          </w:tcPr>
          <w:p w14:paraId="083A6618">
            <w:pPr>
              <w:spacing w:line="300" w:lineRule="auto"/>
              <w:rPr>
                <w:rFonts w:hint="eastAsia" w:ascii="宋体"/>
                <w:sz w:val="18"/>
                <w:szCs w:val="18"/>
              </w:rPr>
            </w:pPr>
            <w:r>
              <w:rPr>
                <w:rFonts w:ascii="宋体"/>
                <w:sz w:val="18"/>
                <w:szCs w:val="18"/>
              </w:rPr>
              <w:t>40</w:t>
            </w:r>
          </w:p>
        </w:tc>
        <w:tc>
          <w:tcPr>
            <w:tcW w:w="2520" w:type="dxa"/>
            <w:gridSpan w:val="2"/>
            <w:tcBorders>
              <w:tl2br w:val="nil"/>
              <w:tr2bl w:val="nil"/>
            </w:tcBorders>
            <w:vAlign w:val="top"/>
          </w:tcPr>
          <w:p w14:paraId="17689A77">
            <w:pPr>
              <w:spacing w:line="300" w:lineRule="auto"/>
              <w:rPr>
                <w:rFonts w:hint="eastAsia" w:ascii="宋体"/>
                <w:sz w:val="18"/>
                <w:szCs w:val="18"/>
              </w:rPr>
            </w:pPr>
            <w:r>
              <w:rPr>
                <w:rFonts w:ascii="宋体"/>
                <w:sz w:val="18"/>
                <w:szCs w:val="18"/>
              </w:rPr>
              <w:t>39.02</w:t>
            </w:r>
          </w:p>
        </w:tc>
        <w:tc>
          <w:tcPr>
            <w:tcW w:w="1664" w:type="dxa"/>
            <w:gridSpan w:val="2"/>
            <w:tcBorders>
              <w:tl2br w:val="nil"/>
              <w:tr2bl w:val="nil"/>
            </w:tcBorders>
            <w:vAlign w:val="top"/>
          </w:tcPr>
          <w:p w14:paraId="055415EF">
            <w:pPr>
              <w:spacing w:line="300" w:lineRule="auto"/>
              <w:rPr>
                <w:rFonts w:hint="eastAsia" w:ascii="宋体"/>
                <w:sz w:val="18"/>
                <w:szCs w:val="18"/>
              </w:rPr>
            </w:pPr>
            <w:r>
              <w:rPr>
                <w:rFonts w:ascii="宋体"/>
                <w:sz w:val="18"/>
                <w:szCs w:val="18"/>
              </w:rPr>
              <w:t>97.55</w:t>
            </w:r>
          </w:p>
        </w:tc>
      </w:tr>
      <w:tr w14:paraId="09886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2161" w:type="dxa"/>
            <w:gridSpan w:val="3"/>
            <w:vMerge w:val="continue"/>
            <w:tcBorders>
              <w:tl2br w:val="nil"/>
              <w:tr2bl w:val="nil"/>
            </w:tcBorders>
            <w:vAlign w:val="top"/>
          </w:tcPr>
          <w:p w14:paraId="6BF302A6"/>
        </w:tc>
        <w:tc>
          <w:tcPr>
            <w:tcW w:w="1615" w:type="dxa"/>
            <w:gridSpan w:val="2"/>
            <w:tcBorders>
              <w:tl2br w:val="nil"/>
              <w:tr2bl w:val="nil"/>
            </w:tcBorders>
            <w:vAlign w:val="top"/>
          </w:tcPr>
          <w:p w14:paraId="5978D01D">
            <w:pPr>
              <w:spacing w:line="300" w:lineRule="auto"/>
              <w:rPr>
                <w:rFonts w:hint="eastAsia" w:ascii="宋体"/>
                <w:sz w:val="18"/>
                <w:szCs w:val="18"/>
              </w:rPr>
            </w:pPr>
            <w:r>
              <w:rPr>
                <w:rFonts w:hint="eastAsia" w:ascii="宋体"/>
                <w:sz w:val="18"/>
                <w:szCs w:val="18"/>
              </w:rPr>
              <w:t xml:space="preserve">     其他资金(包括结转结余)</w:t>
            </w:r>
          </w:p>
        </w:tc>
        <w:tc>
          <w:tcPr>
            <w:tcW w:w="1214" w:type="dxa"/>
            <w:tcBorders>
              <w:tl2br w:val="nil"/>
              <w:tr2bl w:val="nil"/>
            </w:tcBorders>
            <w:vAlign w:val="top"/>
          </w:tcPr>
          <w:p w14:paraId="4A99F053">
            <w:pPr>
              <w:spacing w:line="300" w:lineRule="auto"/>
              <w:rPr>
                <w:rFonts w:hint="eastAsia" w:ascii="宋体"/>
                <w:sz w:val="18"/>
                <w:szCs w:val="18"/>
              </w:rPr>
            </w:pPr>
          </w:p>
        </w:tc>
        <w:tc>
          <w:tcPr>
            <w:tcW w:w="2520" w:type="dxa"/>
            <w:gridSpan w:val="2"/>
            <w:tcBorders>
              <w:tl2br w:val="nil"/>
              <w:tr2bl w:val="nil"/>
            </w:tcBorders>
            <w:vAlign w:val="top"/>
          </w:tcPr>
          <w:p w14:paraId="32B37013">
            <w:pPr>
              <w:spacing w:line="300" w:lineRule="auto"/>
              <w:rPr>
                <w:rFonts w:hint="eastAsia" w:ascii="宋体"/>
                <w:sz w:val="18"/>
                <w:szCs w:val="18"/>
              </w:rPr>
            </w:pPr>
          </w:p>
        </w:tc>
        <w:tc>
          <w:tcPr>
            <w:tcW w:w="1664" w:type="dxa"/>
            <w:gridSpan w:val="2"/>
            <w:tcBorders>
              <w:tl2br w:val="nil"/>
              <w:tr2bl w:val="nil"/>
            </w:tcBorders>
            <w:vAlign w:val="top"/>
          </w:tcPr>
          <w:p w14:paraId="1CE9B6A6">
            <w:pPr>
              <w:spacing w:line="300" w:lineRule="auto"/>
              <w:rPr>
                <w:rFonts w:hint="eastAsia" w:ascii="宋体"/>
                <w:sz w:val="18"/>
                <w:szCs w:val="18"/>
              </w:rPr>
            </w:pPr>
          </w:p>
        </w:tc>
      </w:tr>
      <w:tr w14:paraId="6E873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tcBorders>
              <w:tl2br w:val="nil"/>
              <w:tr2bl w:val="nil"/>
            </w:tcBorders>
            <w:vAlign w:val="center"/>
          </w:tcPr>
          <w:p w14:paraId="63EF2CA8">
            <w:pPr>
              <w:spacing w:line="300" w:lineRule="auto"/>
              <w:jc w:val="center"/>
              <w:rPr>
                <w:rFonts w:hint="eastAsia" w:ascii="宋体"/>
                <w:sz w:val="18"/>
                <w:szCs w:val="18"/>
              </w:rPr>
            </w:pPr>
            <w:r>
              <w:rPr>
                <w:rFonts w:hint="eastAsia" w:ascii="宋体"/>
                <w:sz w:val="18"/>
                <w:szCs w:val="18"/>
              </w:rPr>
              <w:t>年度总体目标</w:t>
            </w:r>
          </w:p>
        </w:tc>
        <w:tc>
          <w:tcPr>
            <w:tcW w:w="4271" w:type="dxa"/>
            <w:gridSpan w:val="5"/>
            <w:tcBorders>
              <w:tl2br w:val="nil"/>
              <w:tr2bl w:val="nil"/>
            </w:tcBorders>
            <w:vAlign w:val="center"/>
          </w:tcPr>
          <w:p w14:paraId="46605956">
            <w:pPr>
              <w:spacing w:line="300" w:lineRule="auto"/>
              <w:jc w:val="center"/>
              <w:rPr>
                <w:rFonts w:hint="eastAsia" w:ascii="宋体"/>
                <w:sz w:val="18"/>
                <w:szCs w:val="18"/>
              </w:rPr>
            </w:pPr>
            <w:r>
              <w:rPr>
                <w:rFonts w:hint="eastAsia" w:ascii="宋体"/>
                <w:sz w:val="18"/>
                <w:szCs w:val="18"/>
              </w:rPr>
              <w:t>年初设定目标</w:t>
            </w:r>
          </w:p>
        </w:tc>
        <w:tc>
          <w:tcPr>
            <w:tcW w:w="4184" w:type="dxa"/>
            <w:gridSpan w:val="4"/>
            <w:tcBorders>
              <w:tl2br w:val="nil"/>
              <w:tr2bl w:val="nil"/>
            </w:tcBorders>
            <w:vAlign w:val="center"/>
          </w:tcPr>
          <w:p w14:paraId="5D737BA3">
            <w:pPr>
              <w:spacing w:line="300" w:lineRule="auto"/>
              <w:jc w:val="center"/>
              <w:rPr>
                <w:rFonts w:hint="eastAsia" w:ascii="宋体"/>
                <w:sz w:val="18"/>
                <w:szCs w:val="18"/>
              </w:rPr>
            </w:pPr>
            <w:r>
              <w:rPr>
                <w:rFonts w:hint="eastAsia" w:ascii="宋体"/>
                <w:sz w:val="18"/>
                <w:szCs w:val="18"/>
              </w:rPr>
              <w:t>全年实际完成情况</w:t>
            </w:r>
          </w:p>
        </w:tc>
      </w:tr>
      <w:tr w14:paraId="2E3CB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19" w:type="dxa"/>
            <w:vMerge w:val="continue"/>
            <w:tcBorders>
              <w:tl2br w:val="nil"/>
              <w:tr2bl w:val="nil"/>
            </w:tcBorders>
            <w:vAlign w:val="center"/>
          </w:tcPr>
          <w:p w14:paraId="258E75DE"/>
        </w:tc>
        <w:tc>
          <w:tcPr>
            <w:tcW w:w="4271" w:type="dxa"/>
            <w:gridSpan w:val="5"/>
            <w:tcBorders>
              <w:tl2br w:val="nil"/>
              <w:tr2bl w:val="nil"/>
            </w:tcBorders>
            <w:vAlign w:val="center"/>
          </w:tcPr>
          <w:p w14:paraId="2A81C2C6">
            <w:pPr>
              <w:spacing w:line="300" w:lineRule="auto"/>
              <w:jc w:val="center"/>
              <w:rPr>
                <w:rFonts w:hint="eastAsia" w:ascii="宋体"/>
                <w:sz w:val="18"/>
                <w:szCs w:val="18"/>
              </w:rPr>
            </w:pPr>
            <w:r>
              <w:rPr>
                <w:rFonts w:hint="eastAsia" w:ascii="仿宋_GB2312" w:eastAsia="仿宋_GB2312" w:cs="仿宋_GB2312"/>
                <w:sz w:val="18"/>
                <w:szCs w:val="18"/>
              </w:rPr>
              <w:t>落实网络安全机制，全面排查网络安全隐患，确保各项措施落地生效。</w:t>
            </w:r>
          </w:p>
        </w:tc>
        <w:tc>
          <w:tcPr>
            <w:tcW w:w="4184" w:type="dxa"/>
            <w:gridSpan w:val="4"/>
            <w:tcBorders>
              <w:tl2br w:val="nil"/>
              <w:tr2bl w:val="nil"/>
            </w:tcBorders>
            <w:vAlign w:val="center"/>
          </w:tcPr>
          <w:p w14:paraId="5F7254A6">
            <w:pPr>
              <w:numPr>
                <w:ilvl w:val="0"/>
                <w:numId w:val="4"/>
              </w:numPr>
              <w:spacing w:line="300" w:lineRule="auto"/>
              <w:jc w:val="center"/>
              <w:rPr>
                <w:rFonts w:ascii="仿宋_GB2312" w:eastAsia="仿宋_GB2312" w:cs="仿宋_GB2312"/>
                <w:sz w:val="18"/>
                <w:szCs w:val="18"/>
              </w:rPr>
            </w:pPr>
            <w:r>
              <w:rPr>
                <w:rFonts w:hint="eastAsia" w:ascii="仿宋_GB2312" w:eastAsia="仿宋_GB2312" w:cs="仿宋_GB2312"/>
                <w:sz w:val="18"/>
                <w:szCs w:val="18"/>
              </w:rPr>
              <w:t>对全区范围内网站、信息系统进行全面梳理，及时掌握各单位网站、信息系统建设基本情况，切实履行网络安全工作主体责任和第一责任人责任</w:t>
            </w:r>
          </w:p>
          <w:p w14:paraId="4E73C970">
            <w:pPr>
              <w:numPr>
                <w:ilvl w:val="0"/>
                <w:numId w:val="4"/>
              </w:numPr>
              <w:spacing w:line="300" w:lineRule="auto"/>
              <w:jc w:val="center"/>
              <w:rPr>
                <w:rFonts w:hint="eastAsia" w:ascii="宋体"/>
                <w:sz w:val="18"/>
                <w:szCs w:val="18"/>
              </w:rPr>
            </w:pPr>
            <w:r>
              <w:rPr>
                <w:rFonts w:ascii="仿宋_GB2312" w:eastAsia="仿宋_GB2312" w:cs="仿宋_GB2312"/>
                <w:sz w:val="18"/>
                <w:szCs w:val="18"/>
              </w:rPr>
              <w:t>先后对30个重点单位的网络安全情况进行了抽查，消除了网络安全隐患，确保网络安全各项保障措施落地生效。</w:t>
            </w:r>
          </w:p>
        </w:tc>
      </w:tr>
      <w:tr w14:paraId="074E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tcBorders>
              <w:tl2br w:val="nil"/>
              <w:tr2bl w:val="nil"/>
            </w:tcBorders>
            <w:vAlign w:val="center"/>
          </w:tcPr>
          <w:p w14:paraId="0E062378">
            <w:pPr>
              <w:spacing w:line="300" w:lineRule="auto"/>
              <w:jc w:val="center"/>
              <w:rPr>
                <w:rFonts w:hint="eastAsia" w:ascii="宋体"/>
                <w:sz w:val="18"/>
                <w:szCs w:val="18"/>
              </w:rPr>
            </w:pPr>
            <w:r>
              <w:rPr>
                <w:rFonts w:hint="eastAsia" w:ascii="宋体"/>
                <w:sz w:val="18"/>
                <w:szCs w:val="18"/>
              </w:rPr>
              <w:t>绩      效    指    标</w:t>
            </w:r>
          </w:p>
        </w:tc>
        <w:tc>
          <w:tcPr>
            <w:tcW w:w="719" w:type="dxa"/>
            <w:tcBorders>
              <w:tl2br w:val="nil"/>
              <w:tr2bl w:val="nil"/>
            </w:tcBorders>
            <w:vAlign w:val="center"/>
          </w:tcPr>
          <w:p w14:paraId="58AABA41">
            <w:pPr>
              <w:spacing w:line="300" w:lineRule="auto"/>
              <w:jc w:val="center"/>
              <w:rPr>
                <w:rFonts w:hint="eastAsia" w:ascii="宋体"/>
                <w:sz w:val="18"/>
                <w:szCs w:val="18"/>
              </w:rPr>
            </w:pPr>
            <w:r>
              <w:rPr>
                <w:rFonts w:hint="eastAsia" w:ascii="宋体"/>
                <w:sz w:val="18"/>
                <w:szCs w:val="18"/>
              </w:rPr>
              <w:t>一级指标</w:t>
            </w:r>
          </w:p>
        </w:tc>
        <w:tc>
          <w:tcPr>
            <w:tcW w:w="1078" w:type="dxa"/>
            <w:gridSpan w:val="2"/>
            <w:tcBorders>
              <w:tl2br w:val="nil"/>
              <w:tr2bl w:val="nil"/>
            </w:tcBorders>
            <w:vAlign w:val="center"/>
          </w:tcPr>
          <w:p w14:paraId="1047B6A5">
            <w:pPr>
              <w:spacing w:line="300" w:lineRule="auto"/>
              <w:jc w:val="center"/>
              <w:rPr>
                <w:rFonts w:hint="eastAsia" w:ascii="宋体"/>
                <w:sz w:val="18"/>
                <w:szCs w:val="18"/>
              </w:rPr>
            </w:pPr>
            <w:r>
              <w:rPr>
                <w:rFonts w:hint="eastAsia" w:ascii="宋体"/>
                <w:sz w:val="18"/>
                <w:szCs w:val="18"/>
              </w:rPr>
              <w:t>二级指标</w:t>
            </w:r>
          </w:p>
        </w:tc>
        <w:tc>
          <w:tcPr>
            <w:tcW w:w="2474" w:type="dxa"/>
            <w:gridSpan w:val="2"/>
            <w:tcBorders>
              <w:tl2br w:val="nil"/>
              <w:tr2bl w:val="nil"/>
            </w:tcBorders>
            <w:vAlign w:val="center"/>
          </w:tcPr>
          <w:p w14:paraId="48CA820B">
            <w:pPr>
              <w:spacing w:line="300" w:lineRule="auto"/>
              <w:jc w:val="center"/>
              <w:rPr>
                <w:rFonts w:hint="eastAsia" w:ascii="宋体"/>
                <w:sz w:val="18"/>
                <w:szCs w:val="18"/>
              </w:rPr>
            </w:pPr>
            <w:r>
              <w:rPr>
                <w:rFonts w:hint="eastAsia" w:ascii="宋体"/>
                <w:sz w:val="18"/>
                <w:szCs w:val="18"/>
              </w:rPr>
              <w:t>三级指标</w:t>
            </w:r>
          </w:p>
        </w:tc>
        <w:tc>
          <w:tcPr>
            <w:tcW w:w="1889" w:type="dxa"/>
            <w:tcBorders>
              <w:tl2br w:val="nil"/>
              <w:tr2bl w:val="nil"/>
            </w:tcBorders>
            <w:vAlign w:val="center"/>
          </w:tcPr>
          <w:p w14:paraId="1AA42CB2">
            <w:pPr>
              <w:spacing w:line="300" w:lineRule="auto"/>
              <w:jc w:val="center"/>
              <w:rPr>
                <w:rFonts w:hint="eastAsia" w:ascii="宋体"/>
                <w:sz w:val="18"/>
                <w:szCs w:val="18"/>
              </w:rPr>
            </w:pPr>
            <w:r>
              <w:rPr>
                <w:rFonts w:hint="eastAsia" w:ascii="宋体"/>
                <w:sz w:val="18"/>
                <w:szCs w:val="18"/>
              </w:rPr>
              <w:t>年度指标值</w:t>
            </w:r>
          </w:p>
        </w:tc>
        <w:tc>
          <w:tcPr>
            <w:tcW w:w="1261" w:type="dxa"/>
            <w:gridSpan w:val="2"/>
            <w:tcBorders>
              <w:tl2br w:val="nil"/>
              <w:tr2bl w:val="nil"/>
            </w:tcBorders>
            <w:vAlign w:val="center"/>
          </w:tcPr>
          <w:p w14:paraId="049005FB">
            <w:pPr>
              <w:spacing w:line="300" w:lineRule="auto"/>
              <w:jc w:val="center"/>
              <w:rPr>
                <w:rFonts w:hint="eastAsia" w:ascii="宋体"/>
                <w:sz w:val="18"/>
                <w:szCs w:val="18"/>
              </w:rPr>
            </w:pPr>
            <w:r>
              <w:rPr>
                <w:rFonts w:hint="eastAsia" w:ascii="宋体"/>
                <w:sz w:val="18"/>
                <w:szCs w:val="18"/>
              </w:rPr>
              <w:t>全年完成值</w:t>
            </w:r>
          </w:p>
        </w:tc>
        <w:tc>
          <w:tcPr>
            <w:tcW w:w="1034" w:type="dxa"/>
            <w:tcBorders>
              <w:tl2br w:val="nil"/>
              <w:tr2bl w:val="nil"/>
            </w:tcBorders>
            <w:vAlign w:val="center"/>
          </w:tcPr>
          <w:p w14:paraId="0F7A5624">
            <w:pPr>
              <w:spacing w:line="300" w:lineRule="auto"/>
              <w:jc w:val="center"/>
              <w:rPr>
                <w:rFonts w:hint="eastAsia" w:ascii="宋体"/>
                <w:sz w:val="18"/>
                <w:szCs w:val="18"/>
              </w:rPr>
            </w:pPr>
            <w:r>
              <w:rPr>
                <w:rFonts w:hint="eastAsia" w:ascii="宋体"/>
                <w:sz w:val="18"/>
                <w:szCs w:val="18"/>
              </w:rPr>
              <w:t>未完成原因和改进措施</w:t>
            </w:r>
          </w:p>
        </w:tc>
      </w:tr>
      <w:tr w14:paraId="08B90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30D5BE43"/>
        </w:tc>
        <w:tc>
          <w:tcPr>
            <w:tcW w:w="719" w:type="dxa"/>
            <w:vMerge w:val="restart"/>
            <w:tcBorders>
              <w:tl2br w:val="nil"/>
              <w:tr2bl w:val="nil"/>
            </w:tcBorders>
            <w:vAlign w:val="center"/>
          </w:tcPr>
          <w:p w14:paraId="43573F55">
            <w:pPr>
              <w:spacing w:line="300" w:lineRule="auto"/>
              <w:jc w:val="center"/>
              <w:rPr>
                <w:rFonts w:hint="eastAsia" w:ascii="宋体"/>
                <w:sz w:val="18"/>
                <w:szCs w:val="18"/>
              </w:rPr>
            </w:pPr>
            <w:r>
              <w:rPr>
                <w:rFonts w:hint="eastAsia" w:ascii="宋体"/>
                <w:sz w:val="18"/>
                <w:szCs w:val="18"/>
              </w:rPr>
              <w:t>产   出   指   标</w:t>
            </w:r>
          </w:p>
        </w:tc>
        <w:tc>
          <w:tcPr>
            <w:tcW w:w="1078" w:type="dxa"/>
            <w:gridSpan w:val="2"/>
            <w:vMerge w:val="restart"/>
            <w:tcBorders>
              <w:tl2br w:val="nil"/>
              <w:tr2bl w:val="nil"/>
            </w:tcBorders>
            <w:vAlign w:val="center"/>
          </w:tcPr>
          <w:p w14:paraId="23D91F4C">
            <w:pPr>
              <w:spacing w:line="300" w:lineRule="auto"/>
              <w:jc w:val="center"/>
              <w:rPr>
                <w:rFonts w:hint="eastAsia" w:ascii="宋体"/>
                <w:sz w:val="18"/>
                <w:szCs w:val="18"/>
              </w:rPr>
            </w:pPr>
            <w:r>
              <w:rPr>
                <w:rFonts w:hint="eastAsia" w:ascii="宋体"/>
                <w:sz w:val="18"/>
                <w:szCs w:val="18"/>
              </w:rPr>
              <w:t>数量指标</w:t>
            </w:r>
          </w:p>
        </w:tc>
        <w:tc>
          <w:tcPr>
            <w:tcW w:w="2474" w:type="dxa"/>
            <w:gridSpan w:val="2"/>
            <w:tcBorders>
              <w:tl2br w:val="nil"/>
              <w:tr2bl w:val="nil"/>
            </w:tcBorders>
            <w:vAlign w:val="center"/>
          </w:tcPr>
          <w:p w14:paraId="7B6722C9">
            <w:pPr>
              <w:spacing w:line="300" w:lineRule="auto"/>
              <w:jc w:val="center"/>
              <w:rPr>
                <w:rFonts w:hint="eastAsia" w:ascii="宋体"/>
                <w:sz w:val="18"/>
                <w:szCs w:val="18"/>
              </w:rPr>
            </w:pPr>
            <w:r>
              <w:rPr>
                <w:rFonts w:ascii="宋体"/>
                <w:sz w:val="18"/>
                <w:szCs w:val="18"/>
              </w:rPr>
              <w:t>对全区网站进行巡查</w:t>
            </w:r>
          </w:p>
        </w:tc>
        <w:tc>
          <w:tcPr>
            <w:tcW w:w="1889" w:type="dxa"/>
            <w:tcBorders>
              <w:tl2br w:val="nil"/>
              <w:tr2bl w:val="nil"/>
            </w:tcBorders>
            <w:vAlign w:val="center"/>
          </w:tcPr>
          <w:p w14:paraId="7E09B3D9">
            <w:pPr>
              <w:spacing w:line="300" w:lineRule="auto"/>
              <w:jc w:val="center"/>
              <w:rPr>
                <w:rFonts w:hint="eastAsia" w:ascii="宋体"/>
                <w:sz w:val="18"/>
                <w:szCs w:val="18"/>
              </w:rPr>
            </w:pPr>
            <w:r>
              <w:rPr>
                <w:rFonts w:ascii="宋体"/>
                <w:sz w:val="18"/>
                <w:szCs w:val="18"/>
              </w:rPr>
              <w:t>26</w:t>
            </w:r>
          </w:p>
        </w:tc>
        <w:tc>
          <w:tcPr>
            <w:tcW w:w="1261" w:type="dxa"/>
            <w:gridSpan w:val="2"/>
            <w:tcBorders>
              <w:tl2br w:val="nil"/>
              <w:tr2bl w:val="nil"/>
            </w:tcBorders>
            <w:vAlign w:val="center"/>
          </w:tcPr>
          <w:p w14:paraId="10DDC862">
            <w:pPr>
              <w:spacing w:line="300" w:lineRule="auto"/>
              <w:jc w:val="center"/>
              <w:rPr>
                <w:rFonts w:hint="eastAsia" w:ascii="宋体"/>
                <w:sz w:val="18"/>
                <w:szCs w:val="18"/>
              </w:rPr>
            </w:pPr>
            <w:r>
              <w:rPr>
                <w:rFonts w:ascii="宋体"/>
                <w:sz w:val="18"/>
                <w:szCs w:val="18"/>
              </w:rPr>
              <w:t>26</w:t>
            </w:r>
          </w:p>
        </w:tc>
        <w:tc>
          <w:tcPr>
            <w:tcW w:w="1034" w:type="dxa"/>
            <w:tcBorders>
              <w:tl2br w:val="nil"/>
              <w:tr2bl w:val="nil"/>
            </w:tcBorders>
            <w:vAlign w:val="center"/>
          </w:tcPr>
          <w:p w14:paraId="707D904E">
            <w:pPr>
              <w:spacing w:line="300" w:lineRule="auto"/>
              <w:jc w:val="center"/>
              <w:rPr>
                <w:rFonts w:hint="eastAsia" w:ascii="宋体"/>
                <w:sz w:val="18"/>
                <w:szCs w:val="18"/>
              </w:rPr>
            </w:pPr>
          </w:p>
        </w:tc>
      </w:tr>
      <w:tr w14:paraId="2093F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528F6F0E"/>
        </w:tc>
        <w:tc>
          <w:tcPr>
            <w:tcW w:w="719" w:type="dxa"/>
            <w:vMerge w:val="continue"/>
            <w:tcBorders>
              <w:tl2br w:val="nil"/>
              <w:tr2bl w:val="nil"/>
            </w:tcBorders>
            <w:vAlign w:val="center"/>
          </w:tcPr>
          <w:p w14:paraId="143450A9"/>
        </w:tc>
        <w:tc>
          <w:tcPr>
            <w:tcW w:w="1078" w:type="dxa"/>
            <w:gridSpan w:val="2"/>
            <w:vMerge w:val="continue"/>
            <w:tcBorders>
              <w:tl2br w:val="nil"/>
              <w:tr2bl w:val="nil"/>
            </w:tcBorders>
            <w:vAlign w:val="center"/>
          </w:tcPr>
          <w:p w14:paraId="1509ED7C"/>
        </w:tc>
        <w:tc>
          <w:tcPr>
            <w:tcW w:w="2474" w:type="dxa"/>
            <w:gridSpan w:val="2"/>
            <w:tcBorders>
              <w:tl2br w:val="nil"/>
              <w:tr2bl w:val="nil"/>
            </w:tcBorders>
            <w:vAlign w:val="center"/>
          </w:tcPr>
          <w:p w14:paraId="36F32149">
            <w:pPr>
              <w:spacing w:line="300" w:lineRule="auto"/>
              <w:jc w:val="center"/>
              <w:rPr>
                <w:rFonts w:hint="eastAsia" w:ascii="宋体"/>
                <w:sz w:val="18"/>
                <w:szCs w:val="18"/>
              </w:rPr>
            </w:pPr>
          </w:p>
        </w:tc>
        <w:tc>
          <w:tcPr>
            <w:tcW w:w="1889" w:type="dxa"/>
            <w:tcBorders>
              <w:tl2br w:val="nil"/>
              <w:tr2bl w:val="nil"/>
            </w:tcBorders>
            <w:vAlign w:val="center"/>
          </w:tcPr>
          <w:p w14:paraId="5B22CD75">
            <w:pPr>
              <w:spacing w:line="300" w:lineRule="auto"/>
              <w:jc w:val="center"/>
              <w:rPr>
                <w:rFonts w:hint="eastAsia" w:ascii="宋体"/>
                <w:sz w:val="18"/>
                <w:szCs w:val="18"/>
              </w:rPr>
            </w:pPr>
          </w:p>
        </w:tc>
        <w:tc>
          <w:tcPr>
            <w:tcW w:w="1261" w:type="dxa"/>
            <w:gridSpan w:val="2"/>
            <w:tcBorders>
              <w:tl2br w:val="nil"/>
              <w:tr2bl w:val="nil"/>
            </w:tcBorders>
            <w:vAlign w:val="center"/>
          </w:tcPr>
          <w:p w14:paraId="0BB4E393">
            <w:pPr>
              <w:spacing w:line="300" w:lineRule="auto"/>
              <w:jc w:val="center"/>
              <w:rPr>
                <w:rFonts w:hint="eastAsia" w:ascii="宋体"/>
                <w:sz w:val="18"/>
                <w:szCs w:val="18"/>
              </w:rPr>
            </w:pPr>
          </w:p>
        </w:tc>
        <w:tc>
          <w:tcPr>
            <w:tcW w:w="1034" w:type="dxa"/>
            <w:tcBorders>
              <w:tl2br w:val="nil"/>
              <w:tr2bl w:val="nil"/>
            </w:tcBorders>
            <w:vAlign w:val="center"/>
          </w:tcPr>
          <w:p w14:paraId="653192D6">
            <w:pPr>
              <w:spacing w:line="300" w:lineRule="auto"/>
              <w:jc w:val="center"/>
              <w:rPr>
                <w:rFonts w:hint="eastAsia" w:ascii="宋体"/>
                <w:sz w:val="18"/>
                <w:szCs w:val="18"/>
              </w:rPr>
            </w:pPr>
          </w:p>
        </w:tc>
      </w:tr>
      <w:tr w14:paraId="273D4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719" w:type="dxa"/>
            <w:vMerge w:val="continue"/>
            <w:tcBorders>
              <w:tl2br w:val="nil"/>
              <w:tr2bl w:val="nil"/>
            </w:tcBorders>
            <w:vAlign w:val="center"/>
          </w:tcPr>
          <w:p w14:paraId="2CFD9992"/>
        </w:tc>
        <w:tc>
          <w:tcPr>
            <w:tcW w:w="719" w:type="dxa"/>
            <w:vMerge w:val="continue"/>
            <w:tcBorders>
              <w:tl2br w:val="nil"/>
              <w:tr2bl w:val="nil"/>
            </w:tcBorders>
            <w:vAlign w:val="center"/>
          </w:tcPr>
          <w:p w14:paraId="2779D64F"/>
        </w:tc>
        <w:tc>
          <w:tcPr>
            <w:tcW w:w="1078" w:type="dxa"/>
            <w:gridSpan w:val="2"/>
            <w:vMerge w:val="restart"/>
            <w:tcBorders>
              <w:tl2br w:val="nil"/>
              <w:tr2bl w:val="nil"/>
            </w:tcBorders>
            <w:vAlign w:val="center"/>
          </w:tcPr>
          <w:p w14:paraId="0130490F">
            <w:pPr>
              <w:spacing w:line="300" w:lineRule="auto"/>
              <w:jc w:val="center"/>
              <w:rPr>
                <w:rFonts w:hint="eastAsia" w:ascii="宋体"/>
                <w:sz w:val="18"/>
                <w:szCs w:val="18"/>
              </w:rPr>
            </w:pPr>
            <w:r>
              <w:rPr>
                <w:rFonts w:hint="eastAsia" w:ascii="宋体"/>
                <w:sz w:val="18"/>
                <w:szCs w:val="18"/>
              </w:rPr>
              <w:t>质量指标</w:t>
            </w:r>
          </w:p>
        </w:tc>
        <w:tc>
          <w:tcPr>
            <w:tcW w:w="2474" w:type="dxa"/>
            <w:gridSpan w:val="2"/>
            <w:tcBorders>
              <w:tl2br w:val="nil"/>
              <w:tr2bl w:val="nil"/>
            </w:tcBorders>
            <w:vAlign w:val="center"/>
          </w:tcPr>
          <w:p w14:paraId="2CA0B939">
            <w:pPr>
              <w:spacing w:line="300" w:lineRule="auto"/>
              <w:jc w:val="center"/>
              <w:rPr>
                <w:rFonts w:hint="eastAsia" w:ascii="宋体"/>
                <w:sz w:val="18"/>
                <w:szCs w:val="18"/>
              </w:rPr>
            </w:pPr>
            <w:r>
              <w:rPr>
                <w:rFonts w:hint="eastAsia" w:ascii="仿宋_GB2312" w:eastAsia="仿宋_GB2312" w:cs="仿宋_GB2312"/>
                <w:sz w:val="18"/>
                <w:szCs w:val="18"/>
              </w:rPr>
              <w:t>落实网络安全机制</w:t>
            </w:r>
          </w:p>
        </w:tc>
        <w:tc>
          <w:tcPr>
            <w:tcW w:w="1889" w:type="dxa"/>
            <w:tcBorders>
              <w:tl2br w:val="nil"/>
              <w:tr2bl w:val="nil"/>
            </w:tcBorders>
            <w:vAlign w:val="center"/>
          </w:tcPr>
          <w:p w14:paraId="1100073C">
            <w:pPr>
              <w:spacing w:line="300" w:lineRule="auto"/>
              <w:jc w:val="left"/>
              <w:rPr>
                <w:rFonts w:hint="eastAsia" w:ascii="宋体"/>
                <w:sz w:val="18"/>
                <w:szCs w:val="18"/>
              </w:rPr>
            </w:pPr>
            <w:r>
              <w:rPr>
                <w:rFonts w:hint="eastAsia" w:ascii="仿宋_GB2312" w:eastAsia="仿宋_GB2312" w:cs="仿宋_GB2312"/>
                <w:sz w:val="18"/>
                <w:szCs w:val="18"/>
              </w:rPr>
              <w:t>全面排查网络安全隐患</w:t>
            </w:r>
          </w:p>
        </w:tc>
        <w:tc>
          <w:tcPr>
            <w:tcW w:w="1261" w:type="dxa"/>
            <w:gridSpan w:val="2"/>
            <w:tcBorders>
              <w:tl2br w:val="nil"/>
              <w:tr2bl w:val="nil"/>
            </w:tcBorders>
            <w:vAlign w:val="center"/>
          </w:tcPr>
          <w:p w14:paraId="4BD58414">
            <w:pPr>
              <w:spacing w:line="300" w:lineRule="auto"/>
              <w:jc w:val="center"/>
              <w:rPr>
                <w:rFonts w:hint="eastAsia" w:ascii="宋体"/>
                <w:sz w:val="18"/>
                <w:szCs w:val="18"/>
              </w:rPr>
            </w:pPr>
            <w:r>
              <w:rPr>
                <w:rFonts w:hint="eastAsia" w:ascii="仿宋_GB2312" w:eastAsia="仿宋_GB2312" w:cs="仿宋_GB2312"/>
                <w:sz w:val="18"/>
                <w:szCs w:val="18"/>
              </w:rPr>
              <w:t>全面排查网络安全隐患</w:t>
            </w:r>
          </w:p>
        </w:tc>
        <w:tc>
          <w:tcPr>
            <w:tcW w:w="1034" w:type="dxa"/>
            <w:tcBorders>
              <w:tl2br w:val="nil"/>
              <w:tr2bl w:val="nil"/>
            </w:tcBorders>
            <w:vAlign w:val="center"/>
          </w:tcPr>
          <w:p w14:paraId="0C9770C7">
            <w:pPr>
              <w:spacing w:line="300" w:lineRule="auto"/>
              <w:jc w:val="center"/>
              <w:rPr>
                <w:rFonts w:hint="eastAsia" w:ascii="宋体"/>
                <w:sz w:val="18"/>
                <w:szCs w:val="18"/>
              </w:rPr>
            </w:pPr>
          </w:p>
        </w:tc>
      </w:tr>
      <w:tr w14:paraId="3BA4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4A7669E3"/>
        </w:tc>
        <w:tc>
          <w:tcPr>
            <w:tcW w:w="719" w:type="dxa"/>
            <w:vMerge w:val="continue"/>
            <w:tcBorders>
              <w:tl2br w:val="nil"/>
              <w:tr2bl w:val="nil"/>
            </w:tcBorders>
            <w:vAlign w:val="center"/>
          </w:tcPr>
          <w:p w14:paraId="1C9B999A"/>
        </w:tc>
        <w:tc>
          <w:tcPr>
            <w:tcW w:w="1078" w:type="dxa"/>
            <w:gridSpan w:val="2"/>
            <w:vMerge w:val="continue"/>
            <w:tcBorders>
              <w:tl2br w:val="nil"/>
              <w:tr2bl w:val="nil"/>
            </w:tcBorders>
            <w:vAlign w:val="center"/>
          </w:tcPr>
          <w:p w14:paraId="6A54F7D4"/>
        </w:tc>
        <w:tc>
          <w:tcPr>
            <w:tcW w:w="2474" w:type="dxa"/>
            <w:gridSpan w:val="2"/>
            <w:tcBorders>
              <w:tl2br w:val="nil"/>
              <w:tr2bl w:val="nil"/>
            </w:tcBorders>
            <w:vAlign w:val="center"/>
          </w:tcPr>
          <w:p w14:paraId="704318CA">
            <w:pPr>
              <w:spacing w:line="300" w:lineRule="auto"/>
              <w:jc w:val="center"/>
              <w:rPr>
                <w:rFonts w:hint="eastAsia" w:ascii="宋体"/>
                <w:sz w:val="18"/>
                <w:szCs w:val="18"/>
              </w:rPr>
            </w:pPr>
          </w:p>
        </w:tc>
        <w:tc>
          <w:tcPr>
            <w:tcW w:w="1889" w:type="dxa"/>
            <w:tcBorders>
              <w:tl2br w:val="nil"/>
              <w:tr2bl w:val="nil"/>
            </w:tcBorders>
            <w:vAlign w:val="center"/>
          </w:tcPr>
          <w:p w14:paraId="51C2A4B8">
            <w:pPr>
              <w:spacing w:line="300" w:lineRule="auto"/>
              <w:jc w:val="center"/>
              <w:rPr>
                <w:rFonts w:hint="eastAsia" w:ascii="宋体"/>
                <w:sz w:val="18"/>
                <w:szCs w:val="18"/>
              </w:rPr>
            </w:pPr>
          </w:p>
        </w:tc>
        <w:tc>
          <w:tcPr>
            <w:tcW w:w="1261" w:type="dxa"/>
            <w:gridSpan w:val="2"/>
            <w:tcBorders>
              <w:tl2br w:val="nil"/>
              <w:tr2bl w:val="nil"/>
            </w:tcBorders>
            <w:vAlign w:val="center"/>
          </w:tcPr>
          <w:p w14:paraId="220737C2">
            <w:pPr>
              <w:spacing w:line="300" w:lineRule="auto"/>
              <w:jc w:val="center"/>
              <w:rPr>
                <w:rFonts w:hint="eastAsia" w:ascii="宋体"/>
                <w:sz w:val="18"/>
                <w:szCs w:val="18"/>
              </w:rPr>
            </w:pPr>
          </w:p>
        </w:tc>
        <w:tc>
          <w:tcPr>
            <w:tcW w:w="1034" w:type="dxa"/>
            <w:tcBorders>
              <w:tl2br w:val="nil"/>
              <w:tr2bl w:val="nil"/>
            </w:tcBorders>
            <w:vAlign w:val="center"/>
          </w:tcPr>
          <w:p w14:paraId="4A1EF570">
            <w:pPr>
              <w:spacing w:line="300" w:lineRule="auto"/>
              <w:jc w:val="center"/>
              <w:rPr>
                <w:rFonts w:hint="eastAsia" w:ascii="宋体"/>
                <w:sz w:val="18"/>
                <w:szCs w:val="18"/>
              </w:rPr>
            </w:pPr>
          </w:p>
        </w:tc>
      </w:tr>
      <w:tr w14:paraId="14151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5A1D9DAB"/>
        </w:tc>
        <w:tc>
          <w:tcPr>
            <w:tcW w:w="719" w:type="dxa"/>
            <w:vMerge w:val="continue"/>
            <w:tcBorders>
              <w:tl2br w:val="nil"/>
              <w:tr2bl w:val="nil"/>
            </w:tcBorders>
            <w:vAlign w:val="center"/>
          </w:tcPr>
          <w:p w14:paraId="767C0ED6"/>
        </w:tc>
        <w:tc>
          <w:tcPr>
            <w:tcW w:w="1078" w:type="dxa"/>
            <w:gridSpan w:val="2"/>
            <w:vMerge w:val="restart"/>
            <w:tcBorders>
              <w:tl2br w:val="nil"/>
              <w:tr2bl w:val="nil"/>
            </w:tcBorders>
            <w:vAlign w:val="center"/>
          </w:tcPr>
          <w:p w14:paraId="72993369">
            <w:pPr>
              <w:spacing w:line="300" w:lineRule="auto"/>
              <w:jc w:val="center"/>
              <w:rPr>
                <w:rFonts w:hint="eastAsia" w:ascii="宋体"/>
                <w:sz w:val="18"/>
                <w:szCs w:val="18"/>
              </w:rPr>
            </w:pPr>
            <w:r>
              <w:rPr>
                <w:rFonts w:hint="eastAsia" w:ascii="宋体"/>
                <w:sz w:val="18"/>
                <w:szCs w:val="18"/>
              </w:rPr>
              <w:t>时效指标</w:t>
            </w:r>
          </w:p>
        </w:tc>
        <w:tc>
          <w:tcPr>
            <w:tcW w:w="2474" w:type="dxa"/>
            <w:gridSpan w:val="2"/>
            <w:tcBorders>
              <w:tl2br w:val="nil"/>
              <w:tr2bl w:val="nil"/>
            </w:tcBorders>
            <w:vAlign w:val="center"/>
          </w:tcPr>
          <w:p w14:paraId="407FDAB3">
            <w:pPr>
              <w:spacing w:line="300" w:lineRule="auto"/>
              <w:jc w:val="center"/>
              <w:rPr>
                <w:rFonts w:hint="eastAsia" w:ascii="宋体"/>
                <w:sz w:val="18"/>
                <w:szCs w:val="18"/>
              </w:rPr>
            </w:pPr>
          </w:p>
        </w:tc>
        <w:tc>
          <w:tcPr>
            <w:tcW w:w="1889" w:type="dxa"/>
            <w:tcBorders>
              <w:tl2br w:val="nil"/>
              <w:tr2bl w:val="nil"/>
            </w:tcBorders>
            <w:vAlign w:val="center"/>
          </w:tcPr>
          <w:p w14:paraId="6F3ECAF9">
            <w:pPr>
              <w:spacing w:line="300" w:lineRule="auto"/>
              <w:jc w:val="center"/>
              <w:rPr>
                <w:rFonts w:hint="eastAsia" w:ascii="宋体"/>
                <w:sz w:val="18"/>
                <w:szCs w:val="18"/>
              </w:rPr>
            </w:pPr>
          </w:p>
        </w:tc>
        <w:tc>
          <w:tcPr>
            <w:tcW w:w="1261" w:type="dxa"/>
            <w:gridSpan w:val="2"/>
            <w:tcBorders>
              <w:tl2br w:val="nil"/>
              <w:tr2bl w:val="nil"/>
            </w:tcBorders>
            <w:vAlign w:val="center"/>
          </w:tcPr>
          <w:p w14:paraId="27A80F59">
            <w:pPr>
              <w:spacing w:line="300" w:lineRule="auto"/>
              <w:jc w:val="center"/>
              <w:rPr>
                <w:rFonts w:hint="eastAsia" w:ascii="宋体"/>
                <w:sz w:val="18"/>
                <w:szCs w:val="18"/>
              </w:rPr>
            </w:pPr>
          </w:p>
        </w:tc>
        <w:tc>
          <w:tcPr>
            <w:tcW w:w="1034" w:type="dxa"/>
            <w:tcBorders>
              <w:tl2br w:val="nil"/>
              <w:tr2bl w:val="nil"/>
            </w:tcBorders>
            <w:vAlign w:val="center"/>
          </w:tcPr>
          <w:p w14:paraId="1A2EDB99">
            <w:pPr>
              <w:spacing w:line="300" w:lineRule="auto"/>
              <w:jc w:val="center"/>
              <w:rPr>
                <w:rFonts w:hint="eastAsia" w:ascii="宋体"/>
                <w:sz w:val="18"/>
                <w:szCs w:val="18"/>
              </w:rPr>
            </w:pPr>
          </w:p>
        </w:tc>
      </w:tr>
      <w:tr w14:paraId="5BC9C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2317537E"/>
        </w:tc>
        <w:tc>
          <w:tcPr>
            <w:tcW w:w="719" w:type="dxa"/>
            <w:vMerge w:val="continue"/>
            <w:tcBorders>
              <w:tl2br w:val="nil"/>
              <w:tr2bl w:val="nil"/>
            </w:tcBorders>
            <w:vAlign w:val="center"/>
          </w:tcPr>
          <w:p w14:paraId="419F26E3"/>
        </w:tc>
        <w:tc>
          <w:tcPr>
            <w:tcW w:w="1078" w:type="dxa"/>
            <w:gridSpan w:val="2"/>
            <w:vMerge w:val="continue"/>
            <w:tcBorders>
              <w:tl2br w:val="nil"/>
              <w:tr2bl w:val="nil"/>
            </w:tcBorders>
            <w:vAlign w:val="center"/>
          </w:tcPr>
          <w:p w14:paraId="143A6402"/>
        </w:tc>
        <w:tc>
          <w:tcPr>
            <w:tcW w:w="2474" w:type="dxa"/>
            <w:gridSpan w:val="2"/>
            <w:tcBorders>
              <w:tl2br w:val="nil"/>
              <w:tr2bl w:val="nil"/>
            </w:tcBorders>
            <w:vAlign w:val="center"/>
          </w:tcPr>
          <w:p w14:paraId="1B3889CA">
            <w:pPr>
              <w:spacing w:line="300" w:lineRule="auto"/>
              <w:jc w:val="center"/>
              <w:rPr>
                <w:rFonts w:hint="eastAsia" w:ascii="宋体"/>
                <w:sz w:val="18"/>
                <w:szCs w:val="18"/>
              </w:rPr>
            </w:pPr>
          </w:p>
        </w:tc>
        <w:tc>
          <w:tcPr>
            <w:tcW w:w="1889" w:type="dxa"/>
            <w:tcBorders>
              <w:tl2br w:val="nil"/>
              <w:tr2bl w:val="nil"/>
            </w:tcBorders>
            <w:vAlign w:val="center"/>
          </w:tcPr>
          <w:p w14:paraId="1945311E">
            <w:pPr>
              <w:spacing w:line="300" w:lineRule="auto"/>
              <w:jc w:val="center"/>
              <w:rPr>
                <w:rFonts w:hint="eastAsia" w:ascii="宋体"/>
                <w:sz w:val="18"/>
                <w:szCs w:val="18"/>
              </w:rPr>
            </w:pPr>
          </w:p>
        </w:tc>
        <w:tc>
          <w:tcPr>
            <w:tcW w:w="1261" w:type="dxa"/>
            <w:gridSpan w:val="2"/>
            <w:tcBorders>
              <w:tl2br w:val="nil"/>
              <w:tr2bl w:val="nil"/>
            </w:tcBorders>
            <w:vAlign w:val="center"/>
          </w:tcPr>
          <w:p w14:paraId="247DB69C">
            <w:pPr>
              <w:spacing w:line="300" w:lineRule="auto"/>
              <w:jc w:val="center"/>
              <w:rPr>
                <w:rFonts w:hint="eastAsia" w:ascii="宋体"/>
                <w:sz w:val="18"/>
                <w:szCs w:val="18"/>
              </w:rPr>
            </w:pPr>
          </w:p>
        </w:tc>
        <w:tc>
          <w:tcPr>
            <w:tcW w:w="1034" w:type="dxa"/>
            <w:tcBorders>
              <w:tl2br w:val="nil"/>
              <w:tr2bl w:val="nil"/>
            </w:tcBorders>
            <w:vAlign w:val="center"/>
          </w:tcPr>
          <w:p w14:paraId="58386D45">
            <w:pPr>
              <w:spacing w:line="300" w:lineRule="auto"/>
              <w:jc w:val="center"/>
              <w:rPr>
                <w:rFonts w:hint="eastAsia" w:ascii="宋体"/>
                <w:sz w:val="18"/>
                <w:szCs w:val="18"/>
              </w:rPr>
            </w:pPr>
          </w:p>
        </w:tc>
      </w:tr>
      <w:tr w14:paraId="7B92B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55792B68"/>
        </w:tc>
        <w:tc>
          <w:tcPr>
            <w:tcW w:w="719" w:type="dxa"/>
            <w:vMerge w:val="restart"/>
            <w:tcBorders>
              <w:tl2br w:val="nil"/>
              <w:tr2bl w:val="nil"/>
            </w:tcBorders>
            <w:vAlign w:val="center"/>
          </w:tcPr>
          <w:p w14:paraId="173518F9">
            <w:pPr>
              <w:spacing w:line="300" w:lineRule="auto"/>
              <w:jc w:val="center"/>
              <w:rPr>
                <w:rFonts w:hint="eastAsia" w:ascii="宋体"/>
                <w:sz w:val="18"/>
                <w:szCs w:val="18"/>
              </w:rPr>
            </w:pPr>
            <w:r>
              <w:rPr>
                <w:rFonts w:hint="eastAsia" w:ascii="宋体"/>
                <w:sz w:val="18"/>
                <w:szCs w:val="18"/>
              </w:rPr>
              <w:t>效   益   指   标</w:t>
            </w:r>
          </w:p>
        </w:tc>
        <w:tc>
          <w:tcPr>
            <w:tcW w:w="1078" w:type="dxa"/>
            <w:gridSpan w:val="2"/>
            <w:vMerge w:val="restart"/>
            <w:tcBorders>
              <w:tl2br w:val="nil"/>
              <w:tr2bl w:val="nil"/>
            </w:tcBorders>
            <w:vAlign w:val="center"/>
          </w:tcPr>
          <w:p w14:paraId="16A6DA9A">
            <w:pPr>
              <w:spacing w:line="300" w:lineRule="auto"/>
              <w:jc w:val="center"/>
              <w:rPr>
                <w:rFonts w:hint="eastAsia" w:ascii="宋体"/>
                <w:sz w:val="18"/>
                <w:szCs w:val="18"/>
              </w:rPr>
            </w:pPr>
            <w:r>
              <w:rPr>
                <w:rFonts w:hint="eastAsia" w:ascii="宋体"/>
                <w:sz w:val="18"/>
                <w:szCs w:val="18"/>
              </w:rPr>
              <w:t>经济效益指标</w:t>
            </w:r>
          </w:p>
        </w:tc>
        <w:tc>
          <w:tcPr>
            <w:tcW w:w="2474" w:type="dxa"/>
            <w:gridSpan w:val="2"/>
            <w:tcBorders>
              <w:tl2br w:val="nil"/>
              <w:tr2bl w:val="nil"/>
            </w:tcBorders>
            <w:vAlign w:val="center"/>
          </w:tcPr>
          <w:p w14:paraId="34F05D9F">
            <w:pPr>
              <w:spacing w:line="300" w:lineRule="auto"/>
              <w:jc w:val="center"/>
              <w:rPr>
                <w:rFonts w:hint="eastAsia" w:ascii="宋体"/>
                <w:sz w:val="18"/>
                <w:szCs w:val="18"/>
              </w:rPr>
            </w:pPr>
          </w:p>
        </w:tc>
        <w:tc>
          <w:tcPr>
            <w:tcW w:w="1889" w:type="dxa"/>
            <w:tcBorders>
              <w:tl2br w:val="nil"/>
              <w:tr2bl w:val="nil"/>
            </w:tcBorders>
            <w:vAlign w:val="center"/>
          </w:tcPr>
          <w:p w14:paraId="4C8D48B1">
            <w:pPr>
              <w:spacing w:line="300" w:lineRule="auto"/>
              <w:jc w:val="center"/>
              <w:rPr>
                <w:rFonts w:hint="eastAsia" w:ascii="宋体"/>
                <w:sz w:val="18"/>
                <w:szCs w:val="18"/>
              </w:rPr>
            </w:pPr>
          </w:p>
        </w:tc>
        <w:tc>
          <w:tcPr>
            <w:tcW w:w="1261" w:type="dxa"/>
            <w:gridSpan w:val="2"/>
            <w:tcBorders>
              <w:tl2br w:val="nil"/>
              <w:tr2bl w:val="nil"/>
            </w:tcBorders>
            <w:vAlign w:val="center"/>
          </w:tcPr>
          <w:p w14:paraId="684077AA">
            <w:pPr>
              <w:spacing w:line="300" w:lineRule="auto"/>
              <w:jc w:val="center"/>
              <w:rPr>
                <w:rFonts w:hint="eastAsia" w:ascii="宋体"/>
                <w:sz w:val="18"/>
                <w:szCs w:val="18"/>
              </w:rPr>
            </w:pPr>
          </w:p>
        </w:tc>
        <w:tc>
          <w:tcPr>
            <w:tcW w:w="1034" w:type="dxa"/>
            <w:tcBorders>
              <w:tl2br w:val="nil"/>
              <w:tr2bl w:val="nil"/>
            </w:tcBorders>
            <w:vAlign w:val="center"/>
          </w:tcPr>
          <w:p w14:paraId="625E5226">
            <w:pPr>
              <w:spacing w:line="300" w:lineRule="auto"/>
              <w:jc w:val="center"/>
              <w:rPr>
                <w:rFonts w:hint="eastAsia" w:ascii="宋体"/>
                <w:sz w:val="18"/>
                <w:szCs w:val="18"/>
              </w:rPr>
            </w:pPr>
          </w:p>
        </w:tc>
      </w:tr>
      <w:tr w14:paraId="7F6E0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4D9383F5"/>
        </w:tc>
        <w:tc>
          <w:tcPr>
            <w:tcW w:w="719" w:type="dxa"/>
            <w:vMerge w:val="continue"/>
            <w:tcBorders>
              <w:tl2br w:val="nil"/>
              <w:tr2bl w:val="nil"/>
            </w:tcBorders>
            <w:vAlign w:val="center"/>
          </w:tcPr>
          <w:p w14:paraId="4CE54369"/>
        </w:tc>
        <w:tc>
          <w:tcPr>
            <w:tcW w:w="1078" w:type="dxa"/>
            <w:gridSpan w:val="2"/>
            <w:vMerge w:val="continue"/>
            <w:tcBorders>
              <w:tl2br w:val="nil"/>
              <w:tr2bl w:val="nil"/>
            </w:tcBorders>
            <w:vAlign w:val="center"/>
          </w:tcPr>
          <w:p w14:paraId="098AA7DF"/>
        </w:tc>
        <w:tc>
          <w:tcPr>
            <w:tcW w:w="2474" w:type="dxa"/>
            <w:gridSpan w:val="2"/>
            <w:tcBorders>
              <w:tl2br w:val="nil"/>
              <w:tr2bl w:val="nil"/>
            </w:tcBorders>
            <w:vAlign w:val="center"/>
          </w:tcPr>
          <w:p w14:paraId="5FD8C2BE">
            <w:pPr>
              <w:spacing w:line="300" w:lineRule="auto"/>
              <w:jc w:val="center"/>
              <w:rPr>
                <w:rFonts w:hint="eastAsia" w:ascii="宋体"/>
                <w:sz w:val="18"/>
                <w:szCs w:val="18"/>
              </w:rPr>
            </w:pPr>
          </w:p>
        </w:tc>
        <w:tc>
          <w:tcPr>
            <w:tcW w:w="1889" w:type="dxa"/>
            <w:tcBorders>
              <w:tl2br w:val="nil"/>
              <w:tr2bl w:val="nil"/>
            </w:tcBorders>
            <w:vAlign w:val="center"/>
          </w:tcPr>
          <w:p w14:paraId="05E89BA5">
            <w:pPr>
              <w:spacing w:line="300" w:lineRule="auto"/>
              <w:jc w:val="center"/>
              <w:rPr>
                <w:rFonts w:hint="eastAsia" w:ascii="宋体"/>
                <w:sz w:val="18"/>
                <w:szCs w:val="18"/>
              </w:rPr>
            </w:pPr>
          </w:p>
        </w:tc>
        <w:tc>
          <w:tcPr>
            <w:tcW w:w="1261" w:type="dxa"/>
            <w:gridSpan w:val="2"/>
            <w:tcBorders>
              <w:tl2br w:val="nil"/>
              <w:tr2bl w:val="nil"/>
            </w:tcBorders>
            <w:vAlign w:val="center"/>
          </w:tcPr>
          <w:p w14:paraId="2F85E3DE">
            <w:pPr>
              <w:spacing w:line="300" w:lineRule="auto"/>
              <w:jc w:val="center"/>
              <w:rPr>
                <w:rFonts w:hint="eastAsia" w:ascii="宋体"/>
                <w:sz w:val="18"/>
                <w:szCs w:val="18"/>
              </w:rPr>
            </w:pPr>
          </w:p>
        </w:tc>
        <w:tc>
          <w:tcPr>
            <w:tcW w:w="1034" w:type="dxa"/>
            <w:tcBorders>
              <w:tl2br w:val="nil"/>
              <w:tr2bl w:val="nil"/>
            </w:tcBorders>
            <w:vAlign w:val="center"/>
          </w:tcPr>
          <w:p w14:paraId="592F803F">
            <w:pPr>
              <w:spacing w:line="300" w:lineRule="auto"/>
              <w:jc w:val="center"/>
              <w:rPr>
                <w:rFonts w:hint="eastAsia" w:ascii="宋体"/>
                <w:sz w:val="18"/>
                <w:szCs w:val="18"/>
              </w:rPr>
            </w:pPr>
          </w:p>
        </w:tc>
      </w:tr>
      <w:tr w14:paraId="184F4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45B36D4D"/>
        </w:tc>
        <w:tc>
          <w:tcPr>
            <w:tcW w:w="719" w:type="dxa"/>
            <w:vMerge w:val="continue"/>
            <w:tcBorders>
              <w:tl2br w:val="nil"/>
              <w:tr2bl w:val="nil"/>
            </w:tcBorders>
            <w:vAlign w:val="center"/>
          </w:tcPr>
          <w:p w14:paraId="6381192E"/>
        </w:tc>
        <w:tc>
          <w:tcPr>
            <w:tcW w:w="1078" w:type="dxa"/>
            <w:gridSpan w:val="2"/>
            <w:vMerge w:val="restart"/>
            <w:tcBorders>
              <w:tl2br w:val="nil"/>
              <w:tr2bl w:val="nil"/>
            </w:tcBorders>
            <w:vAlign w:val="center"/>
          </w:tcPr>
          <w:p w14:paraId="41203B32">
            <w:pPr>
              <w:spacing w:line="300" w:lineRule="auto"/>
              <w:jc w:val="center"/>
              <w:rPr>
                <w:rFonts w:hint="eastAsia" w:ascii="宋体"/>
                <w:sz w:val="18"/>
                <w:szCs w:val="18"/>
              </w:rPr>
            </w:pPr>
            <w:r>
              <w:rPr>
                <w:rFonts w:hint="eastAsia" w:ascii="宋体"/>
                <w:sz w:val="18"/>
                <w:szCs w:val="18"/>
              </w:rPr>
              <w:t>社会效益指标</w:t>
            </w:r>
          </w:p>
        </w:tc>
        <w:tc>
          <w:tcPr>
            <w:tcW w:w="2474" w:type="dxa"/>
            <w:gridSpan w:val="2"/>
            <w:tcBorders>
              <w:tl2br w:val="nil"/>
              <w:tr2bl w:val="nil"/>
            </w:tcBorders>
            <w:vAlign w:val="center"/>
          </w:tcPr>
          <w:p w14:paraId="28D81AD8">
            <w:pPr>
              <w:spacing w:line="300" w:lineRule="auto"/>
              <w:jc w:val="center"/>
              <w:rPr>
                <w:rFonts w:hint="eastAsia" w:ascii="宋体"/>
                <w:sz w:val="18"/>
                <w:szCs w:val="18"/>
              </w:rPr>
            </w:pPr>
          </w:p>
        </w:tc>
        <w:tc>
          <w:tcPr>
            <w:tcW w:w="1889" w:type="dxa"/>
            <w:tcBorders>
              <w:tl2br w:val="nil"/>
              <w:tr2bl w:val="nil"/>
            </w:tcBorders>
            <w:vAlign w:val="center"/>
          </w:tcPr>
          <w:p w14:paraId="016E3B69">
            <w:pPr>
              <w:spacing w:line="300" w:lineRule="auto"/>
              <w:jc w:val="center"/>
              <w:rPr>
                <w:rFonts w:hint="eastAsia" w:ascii="宋体"/>
                <w:sz w:val="18"/>
                <w:szCs w:val="18"/>
              </w:rPr>
            </w:pPr>
          </w:p>
        </w:tc>
        <w:tc>
          <w:tcPr>
            <w:tcW w:w="1261" w:type="dxa"/>
            <w:gridSpan w:val="2"/>
            <w:tcBorders>
              <w:tl2br w:val="nil"/>
              <w:tr2bl w:val="nil"/>
            </w:tcBorders>
            <w:vAlign w:val="center"/>
          </w:tcPr>
          <w:p w14:paraId="147DEA98">
            <w:pPr>
              <w:spacing w:line="300" w:lineRule="auto"/>
              <w:jc w:val="center"/>
              <w:rPr>
                <w:rFonts w:hint="eastAsia" w:ascii="宋体"/>
                <w:sz w:val="18"/>
                <w:szCs w:val="18"/>
              </w:rPr>
            </w:pPr>
          </w:p>
        </w:tc>
        <w:tc>
          <w:tcPr>
            <w:tcW w:w="1034" w:type="dxa"/>
            <w:tcBorders>
              <w:tl2br w:val="nil"/>
              <w:tr2bl w:val="nil"/>
            </w:tcBorders>
            <w:vAlign w:val="center"/>
          </w:tcPr>
          <w:p w14:paraId="49C72F3F">
            <w:pPr>
              <w:spacing w:line="300" w:lineRule="auto"/>
              <w:jc w:val="center"/>
              <w:rPr>
                <w:rFonts w:hint="eastAsia" w:ascii="宋体"/>
                <w:sz w:val="18"/>
                <w:szCs w:val="18"/>
              </w:rPr>
            </w:pPr>
          </w:p>
        </w:tc>
      </w:tr>
      <w:tr w14:paraId="0000B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7B51BF74"/>
        </w:tc>
        <w:tc>
          <w:tcPr>
            <w:tcW w:w="719" w:type="dxa"/>
            <w:vMerge w:val="continue"/>
            <w:tcBorders>
              <w:tl2br w:val="nil"/>
              <w:tr2bl w:val="nil"/>
            </w:tcBorders>
            <w:vAlign w:val="center"/>
          </w:tcPr>
          <w:p w14:paraId="3C8C26B8"/>
        </w:tc>
        <w:tc>
          <w:tcPr>
            <w:tcW w:w="1078" w:type="dxa"/>
            <w:gridSpan w:val="2"/>
            <w:vMerge w:val="continue"/>
            <w:tcBorders>
              <w:tl2br w:val="nil"/>
              <w:tr2bl w:val="nil"/>
            </w:tcBorders>
            <w:vAlign w:val="center"/>
          </w:tcPr>
          <w:p w14:paraId="79653650"/>
        </w:tc>
        <w:tc>
          <w:tcPr>
            <w:tcW w:w="2474" w:type="dxa"/>
            <w:gridSpan w:val="2"/>
            <w:tcBorders>
              <w:tl2br w:val="nil"/>
              <w:tr2bl w:val="nil"/>
            </w:tcBorders>
            <w:vAlign w:val="center"/>
          </w:tcPr>
          <w:p w14:paraId="2F42E75E">
            <w:pPr>
              <w:spacing w:line="300" w:lineRule="auto"/>
              <w:jc w:val="center"/>
              <w:rPr>
                <w:rFonts w:hint="eastAsia" w:ascii="宋体"/>
                <w:sz w:val="18"/>
                <w:szCs w:val="18"/>
              </w:rPr>
            </w:pPr>
          </w:p>
        </w:tc>
        <w:tc>
          <w:tcPr>
            <w:tcW w:w="1889" w:type="dxa"/>
            <w:tcBorders>
              <w:tl2br w:val="nil"/>
              <w:tr2bl w:val="nil"/>
            </w:tcBorders>
            <w:vAlign w:val="center"/>
          </w:tcPr>
          <w:p w14:paraId="3286166B">
            <w:pPr>
              <w:spacing w:line="300" w:lineRule="auto"/>
              <w:jc w:val="center"/>
              <w:rPr>
                <w:rFonts w:hint="eastAsia" w:ascii="宋体"/>
                <w:sz w:val="18"/>
                <w:szCs w:val="18"/>
              </w:rPr>
            </w:pPr>
          </w:p>
        </w:tc>
        <w:tc>
          <w:tcPr>
            <w:tcW w:w="1261" w:type="dxa"/>
            <w:gridSpan w:val="2"/>
            <w:tcBorders>
              <w:tl2br w:val="nil"/>
              <w:tr2bl w:val="nil"/>
            </w:tcBorders>
            <w:vAlign w:val="center"/>
          </w:tcPr>
          <w:p w14:paraId="38FCFAE6">
            <w:pPr>
              <w:spacing w:line="300" w:lineRule="auto"/>
              <w:jc w:val="center"/>
              <w:rPr>
                <w:rFonts w:hint="eastAsia" w:ascii="宋体"/>
                <w:sz w:val="18"/>
                <w:szCs w:val="18"/>
              </w:rPr>
            </w:pPr>
          </w:p>
        </w:tc>
        <w:tc>
          <w:tcPr>
            <w:tcW w:w="1034" w:type="dxa"/>
            <w:tcBorders>
              <w:tl2br w:val="nil"/>
              <w:tr2bl w:val="nil"/>
            </w:tcBorders>
            <w:vAlign w:val="center"/>
          </w:tcPr>
          <w:p w14:paraId="2FEB779D">
            <w:pPr>
              <w:spacing w:line="300" w:lineRule="auto"/>
              <w:jc w:val="center"/>
              <w:rPr>
                <w:rFonts w:hint="eastAsia" w:ascii="宋体"/>
                <w:sz w:val="18"/>
                <w:szCs w:val="18"/>
              </w:rPr>
            </w:pPr>
          </w:p>
        </w:tc>
      </w:tr>
      <w:tr w14:paraId="4BA38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719" w:type="dxa"/>
            <w:vMerge w:val="continue"/>
            <w:tcBorders>
              <w:tl2br w:val="nil"/>
              <w:tr2bl w:val="nil"/>
            </w:tcBorders>
            <w:vAlign w:val="center"/>
          </w:tcPr>
          <w:p w14:paraId="2A82233B"/>
        </w:tc>
        <w:tc>
          <w:tcPr>
            <w:tcW w:w="719" w:type="dxa"/>
            <w:vMerge w:val="continue"/>
            <w:tcBorders>
              <w:tl2br w:val="nil"/>
              <w:tr2bl w:val="nil"/>
            </w:tcBorders>
            <w:vAlign w:val="center"/>
          </w:tcPr>
          <w:p w14:paraId="43AD5307"/>
        </w:tc>
        <w:tc>
          <w:tcPr>
            <w:tcW w:w="1078" w:type="dxa"/>
            <w:gridSpan w:val="2"/>
            <w:tcBorders>
              <w:tl2br w:val="nil"/>
              <w:tr2bl w:val="nil"/>
            </w:tcBorders>
            <w:vAlign w:val="center"/>
          </w:tcPr>
          <w:p w14:paraId="088621AC">
            <w:pPr>
              <w:spacing w:line="300" w:lineRule="auto"/>
              <w:jc w:val="center"/>
              <w:rPr>
                <w:rFonts w:hint="eastAsia" w:ascii="宋体"/>
                <w:sz w:val="18"/>
                <w:szCs w:val="18"/>
              </w:rPr>
            </w:pPr>
            <w:r>
              <w:rPr>
                <w:rFonts w:hint="eastAsia" w:ascii="宋体"/>
                <w:sz w:val="18"/>
                <w:szCs w:val="18"/>
              </w:rPr>
              <w:t>生态效益指标</w:t>
            </w:r>
          </w:p>
        </w:tc>
        <w:tc>
          <w:tcPr>
            <w:tcW w:w="2474" w:type="dxa"/>
            <w:gridSpan w:val="2"/>
            <w:tcBorders>
              <w:tl2br w:val="nil"/>
              <w:tr2bl w:val="nil"/>
            </w:tcBorders>
            <w:vAlign w:val="center"/>
          </w:tcPr>
          <w:p w14:paraId="710B0026">
            <w:pPr>
              <w:rPr>
                <w:sz w:val="18"/>
                <w:szCs w:val="18"/>
              </w:rPr>
            </w:pPr>
            <w:r>
              <w:rPr>
                <w:rFonts w:ascii="仿宋" w:eastAsia="仿宋" w:cs="仿宋"/>
                <w:sz w:val="18"/>
                <w:szCs w:val="18"/>
                <w:lang w:val="en-US" w:eastAsia="zh-CN"/>
              </w:rPr>
              <w:t>强化各单位网络安全主体责任</w:t>
            </w:r>
          </w:p>
          <w:p w14:paraId="62A97348"/>
        </w:tc>
        <w:tc>
          <w:tcPr>
            <w:tcW w:w="1889" w:type="dxa"/>
            <w:tcBorders>
              <w:tl2br w:val="nil"/>
              <w:tr2bl w:val="nil"/>
            </w:tcBorders>
            <w:vAlign w:val="center"/>
          </w:tcPr>
          <w:p w14:paraId="24577D9E">
            <w:pPr>
              <w:spacing w:line="300" w:lineRule="auto"/>
              <w:jc w:val="center"/>
              <w:rPr>
                <w:rFonts w:hint="eastAsia" w:ascii="宋体"/>
                <w:sz w:val="18"/>
                <w:szCs w:val="18"/>
              </w:rPr>
            </w:pPr>
            <w:r>
              <w:rPr>
                <w:rFonts w:ascii="仿宋" w:eastAsia="仿宋" w:cs="仿宋"/>
                <w:sz w:val="18"/>
                <w:szCs w:val="18"/>
                <w:lang w:val="en-US" w:eastAsia="zh-CN"/>
              </w:rPr>
              <w:t>适时组织开展全区网络安全知识培训和应急演练</w:t>
            </w:r>
          </w:p>
        </w:tc>
        <w:tc>
          <w:tcPr>
            <w:tcW w:w="1261" w:type="dxa"/>
            <w:gridSpan w:val="2"/>
            <w:tcBorders>
              <w:tl2br w:val="nil"/>
              <w:tr2bl w:val="nil"/>
            </w:tcBorders>
            <w:vAlign w:val="center"/>
          </w:tcPr>
          <w:p w14:paraId="6171B99E">
            <w:pPr>
              <w:spacing w:line="300" w:lineRule="auto"/>
              <w:jc w:val="center"/>
              <w:rPr>
                <w:rFonts w:hint="eastAsia" w:ascii="宋体"/>
                <w:sz w:val="18"/>
                <w:szCs w:val="18"/>
              </w:rPr>
            </w:pPr>
            <w:r>
              <w:rPr>
                <w:rFonts w:ascii="仿宋" w:eastAsia="仿宋" w:cs="仿宋"/>
                <w:sz w:val="18"/>
                <w:szCs w:val="18"/>
                <w:lang w:val="en-US" w:eastAsia="zh-CN"/>
              </w:rPr>
              <w:t>筑牢安全防线</w:t>
            </w:r>
          </w:p>
        </w:tc>
        <w:tc>
          <w:tcPr>
            <w:tcW w:w="1034" w:type="dxa"/>
            <w:tcBorders>
              <w:tl2br w:val="nil"/>
              <w:tr2bl w:val="nil"/>
            </w:tcBorders>
            <w:vAlign w:val="center"/>
          </w:tcPr>
          <w:p w14:paraId="20A690F3">
            <w:pPr>
              <w:spacing w:line="300" w:lineRule="auto"/>
              <w:jc w:val="center"/>
              <w:rPr>
                <w:rFonts w:hint="eastAsia" w:ascii="宋体"/>
                <w:sz w:val="18"/>
                <w:szCs w:val="18"/>
              </w:rPr>
            </w:pPr>
          </w:p>
        </w:tc>
      </w:tr>
      <w:tr w14:paraId="3D944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2201B45D"/>
        </w:tc>
        <w:tc>
          <w:tcPr>
            <w:tcW w:w="719" w:type="dxa"/>
            <w:vMerge w:val="continue"/>
            <w:tcBorders>
              <w:tl2br w:val="nil"/>
              <w:tr2bl w:val="nil"/>
            </w:tcBorders>
            <w:vAlign w:val="center"/>
          </w:tcPr>
          <w:p w14:paraId="5C435E5F"/>
        </w:tc>
        <w:tc>
          <w:tcPr>
            <w:tcW w:w="1078" w:type="dxa"/>
            <w:gridSpan w:val="2"/>
            <w:vMerge w:val="restart"/>
            <w:tcBorders>
              <w:tl2br w:val="nil"/>
              <w:tr2bl w:val="nil"/>
            </w:tcBorders>
            <w:vAlign w:val="center"/>
          </w:tcPr>
          <w:p w14:paraId="125B31F7">
            <w:pPr>
              <w:spacing w:line="300" w:lineRule="auto"/>
              <w:jc w:val="center"/>
              <w:rPr>
                <w:rFonts w:hint="eastAsia" w:ascii="宋体"/>
                <w:sz w:val="18"/>
                <w:szCs w:val="18"/>
              </w:rPr>
            </w:pPr>
            <w:r>
              <w:rPr>
                <w:rFonts w:hint="eastAsia" w:ascii="宋体"/>
                <w:sz w:val="18"/>
                <w:szCs w:val="18"/>
              </w:rPr>
              <w:t>可持续影响指标</w:t>
            </w:r>
          </w:p>
        </w:tc>
        <w:tc>
          <w:tcPr>
            <w:tcW w:w="2474" w:type="dxa"/>
            <w:gridSpan w:val="2"/>
            <w:tcBorders>
              <w:tl2br w:val="nil"/>
              <w:tr2bl w:val="nil"/>
            </w:tcBorders>
            <w:vAlign w:val="center"/>
          </w:tcPr>
          <w:p w14:paraId="1512F573">
            <w:pPr>
              <w:spacing w:line="300" w:lineRule="auto"/>
              <w:jc w:val="center"/>
              <w:rPr>
                <w:rFonts w:hint="eastAsia" w:ascii="宋体"/>
                <w:sz w:val="18"/>
                <w:szCs w:val="18"/>
              </w:rPr>
            </w:pPr>
          </w:p>
        </w:tc>
        <w:tc>
          <w:tcPr>
            <w:tcW w:w="1889" w:type="dxa"/>
            <w:tcBorders>
              <w:tl2br w:val="nil"/>
              <w:tr2bl w:val="nil"/>
            </w:tcBorders>
            <w:vAlign w:val="center"/>
          </w:tcPr>
          <w:p w14:paraId="0B87A010">
            <w:pPr>
              <w:spacing w:line="300" w:lineRule="auto"/>
              <w:jc w:val="center"/>
              <w:rPr>
                <w:rFonts w:hint="eastAsia" w:ascii="宋体"/>
                <w:sz w:val="18"/>
                <w:szCs w:val="18"/>
              </w:rPr>
            </w:pPr>
          </w:p>
        </w:tc>
        <w:tc>
          <w:tcPr>
            <w:tcW w:w="1261" w:type="dxa"/>
            <w:gridSpan w:val="2"/>
            <w:tcBorders>
              <w:tl2br w:val="nil"/>
              <w:tr2bl w:val="nil"/>
            </w:tcBorders>
            <w:vAlign w:val="center"/>
          </w:tcPr>
          <w:p w14:paraId="2B5040FE">
            <w:pPr>
              <w:spacing w:line="300" w:lineRule="auto"/>
              <w:jc w:val="center"/>
              <w:rPr>
                <w:rFonts w:hint="eastAsia" w:ascii="宋体"/>
                <w:sz w:val="18"/>
                <w:szCs w:val="18"/>
              </w:rPr>
            </w:pPr>
          </w:p>
        </w:tc>
        <w:tc>
          <w:tcPr>
            <w:tcW w:w="1034" w:type="dxa"/>
            <w:tcBorders>
              <w:tl2br w:val="nil"/>
              <w:tr2bl w:val="nil"/>
            </w:tcBorders>
            <w:vAlign w:val="center"/>
          </w:tcPr>
          <w:p w14:paraId="671EDD14">
            <w:pPr>
              <w:spacing w:line="300" w:lineRule="auto"/>
              <w:jc w:val="center"/>
              <w:rPr>
                <w:rFonts w:hint="eastAsia" w:ascii="宋体"/>
                <w:sz w:val="18"/>
                <w:szCs w:val="18"/>
              </w:rPr>
            </w:pPr>
          </w:p>
        </w:tc>
      </w:tr>
      <w:tr w14:paraId="5BEEB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5E58047D"/>
        </w:tc>
        <w:tc>
          <w:tcPr>
            <w:tcW w:w="719" w:type="dxa"/>
            <w:vMerge w:val="continue"/>
            <w:tcBorders>
              <w:tl2br w:val="nil"/>
              <w:tr2bl w:val="nil"/>
            </w:tcBorders>
            <w:vAlign w:val="center"/>
          </w:tcPr>
          <w:p w14:paraId="05656A7A"/>
        </w:tc>
        <w:tc>
          <w:tcPr>
            <w:tcW w:w="1078" w:type="dxa"/>
            <w:gridSpan w:val="2"/>
            <w:vMerge w:val="continue"/>
            <w:tcBorders>
              <w:tl2br w:val="nil"/>
              <w:tr2bl w:val="nil"/>
            </w:tcBorders>
            <w:vAlign w:val="center"/>
          </w:tcPr>
          <w:p w14:paraId="4525A771"/>
        </w:tc>
        <w:tc>
          <w:tcPr>
            <w:tcW w:w="2474" w:type="dxa"/>
            <w:gridSpan w:val="2"/>
            <w:tcBorders>
              <w:tl2br w:val="nil"/>
              <w:tr2bl w:val="nil"/>
            </w:tcBorders>
            <w:vAlign w:val="center"/>
          </w:tcPr>
          <w:p w14:paraId="7FF40781">
            <w:pPr>
              <w:spacing w:line="300" w:lineRule="auto"/>
              <w:jc w:val="center"/>
              <w:rPr>
                <w:rFonts w:hint="eastAsia" w:ascii="宋体"/>
                <w:sz w:val="18"/>
                <w:szCs w:val="18"/>
              </w:rPr>
            </w:pPr>
          </w:p>
        </w:tc>
        <w:tc>
          <w:tcPr>
            <w:tcW w:w="1889" w:type="dxa"/>
            <w:tcBorders>
              <w:tl2br w:val="nil"/>
              <w:tr2bl w:val="nil"/>
            </w:tcBorders>
            <w:vAlign w:val="center"/>
          </w:tcPr>
          <w:p w14:paraId="45989285">
            <w:pPr>
              <w:spacing w:line="300" w:lineRule="auto"/>
              <w:jc w:val="center"/>
              <w:rPr>
                <w:rFonts w:hint="eastAsia" w:ascii="宋体"/>
                <w:sz w:val="18"/>
                <w:szCs w:val="18"/>
              </w:rPr>
            </w:pPr>
          </w:p>
        </w:tc>
        <w:tc>
          <w:tcPr>
            <w:tcW w:w="1261" w:type="dxa"/>
            <w:gridSpan w:val="2"/>
            <w:tcBorders>
              <w:tl2br w:val="nil"/>
              <w:tr2bl w:val="nil"/>
            </w:tcBorders>
            <w:vAlign w:val="center"/>
          </w:tcPr>
          <w:p w14:paraId="541078E7">
            <w:pPr>
              <w:spacing w:line="300" w:lineRule="auto"/>
              <w:jc w:val="center"/>
              <w:rPr>
                <w:rFonts w:hint="eastAsia" w:ascii="宋体"/>
                <w:sz w:val="18"/>
                <w:szCs w:val="18"/>
              </w:rPr>
            </w:pPr>
          </w:p>
        </w:tc>
        <w:tc>
          <w:tcPr>
            <w:tcW w:w="1034" w:type="dxa"/>
            <w:tcBorders>
              <w:tl2br w:val="nil"/>
              <w:tr2bl w:val="nil"/>
            </w:tcBorders>
            <w:vAlign w:val="center"/>
          </w:tcPr>
          <w:p w14:paraId="0FB07A23">
            <w:pPr>
              <w:spacing w:line="300" w:lineRule="auto"/>
              <w:jc w:val="center"/>
              <w:rPr>
                <w:rFonts w:hint="eastAsia" w:ascii="宋体"/>
                <w:sz w:val="18"/>
                <w:szCs w:val="18"/>
              </w:rPr>
            </w:pPr>
          </w:p>
        </w:tc>
      </w:tr>
      <w:tr w14:paraId="02CC5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52C49F73"/>
        </w:tc>
        <w:tc>
          <w:tcPr>
            <w:tcW w:w="719" w:type="dxa"/>
            <w:vMerge w:val="restart"/>
            <w:tcBorders>
              <w:tl2br w:val="nil"/>
              <w:tr2bl w:val="nil"/>
            </w:tcBorders>
            <w:vAlign w:val="center"/>
          </w:tcPr>
          <w:p w14:paraId="5A9B2CC2">
            <w:pPr>
              <w:spacing w:line="300" w:lineRule="auto"/>
              <w:jc w:val="center"/>
              <w:rPr>
                <w:rFonts w:hint="eastAsia" w:ascii="宋体"/>
                <w:sz w:val="18"/>
                <w:szCs w:val="18"/>
              </w:rPr>
            </w:pPr>
            <w:r>
              <w:rPr>
                <w:rFonts w:hint="eastAsia" w:ascii="宋体"/>
                <w:sz w:val="18"/>
                <w:szCs w:val="18"/>
              </w:rPr>
              <w:t>满意度指标</w:t>
            </w:r>
          </w:p>
        </w:tc>
        <w:tc>
          <w:tcPr>
            <w:tcW w:w="1078" w:type="dxa"/>
            <w:gridSpan w:val="2"/>
            <w:vMerge w:val="restart"/>
            <w:tcBorders>
              <w:tl2br w:val="nil"/>
              <w:tr2bl w:val="nil"/>
            </w:tcBorders>
            <w:vAlign w:val="center"/>
          </w:tcPr>
          <w:p w14:paraId="20BAFA34">
            <w:pPr>
              <w:spacing w:line="300" w:lineRule="auto"/>
              <w:jc w:val="center"/>
              <w:rPr>
                <w:rFonts w:hint="eastAsia" w:ascii="宋体"/>
                <w:sz w:val="18"/>
                <w:szCs w:val="18"/>
              </w:rPr>
            </w:pPr>
            <w:r>
              <w:rPr>
                <w:rFonts w:hint="eastAsia" w:ascii="宋体"/>
                <w:sz w:val="18"/>
                <w:szCs w:val="18"/>
              </w:rPr>
              <w:t>服务对象满意度指标</w:t>
            </w:r>
          </w:p>
        </w:tc>
        <w:tc>
          <w:tcPr>
            <w:tcW w:w="2474" w:type="dxa"/>
            <w:gridSpan w:val="2"/>
            <w:tcBorders>
              <w:tl2br w:val="nil"/>
              <w:tr2bl w:val="nil"/>
            </w:tcBorders>
            <w:vAlign w:val="center"/>
          </w:tcPr>
          <w:p w14:paraId="228B0FFC">
            <w:pPr>
              <w:spacing w:line="300" w:lineRule="auto"/>
              <w:jc w:val="center"/>
              <w:rPr>
                <w:rFonts w:hint="eastAsia" w:ascii="宋体"/>
                <w:sz w:val="18"/>
                <w:szCs w:val="18"/>
              </w:rPr>
            </w:pPr>
          </w:p>
        </w:tc>
        <w:tc>
          <w:tcPr>
            <w:tcW w:w="1889" w:type="dxa"/>
            <w:tcBorders>
              <w:tl2br w:val="nil"/>
              <w:tr2bl w:val="nil"/>
            </w:tcBorders>
            <w:vAlign w:val="center"/>
          </w:tcPr>
          <w:p w14:paraId="7E41DD91">
            <w:pPr>
              <w:spacing w:line="300" w:lineRule="auto"/>
              <w:jc w:val="center"/>
              <w:rPr>
                <w:rFonts w:hint="eastAsia" w:ascii="宋体"/>
                <w:sz w:val="18"/>
                <w:szCs w:val="18"/>
              </w:rPr>
            </w:pPr>
          </w:p>
        </w:tc>
        <w:tc>
          <w:tcPr>
            <w:tcW w:w="1261" w:type="dxa"/>
            <w:gridSpan w:val="2"/>
            <w:tcBorders>
              <w:tl2br w:val="nil"/>
              <w:tr2bl w:val="nil"/>
            </w:tcBorders>
            <w:vAlign w:val="center"/>
          </w:tcPr>
          <w:p w14:paraId="38E6723D">
            <w:pPr>
              <w:spacing w:line="300" w:lineRule="auto"/>
              <w:jc w:val="center"/>
              <w:rPr>
                <w:rFonts w:hint="eastAsia" w:ascii="宋体"/>
                <w:sz w:val="18"/>
                <w:szCs w:val="18"/>
              </w:rPr>
            </w:pPr>
          </w:p>
        </w:tc>
        <w:tc>
          <w:tcPr>
            <w:tcW w:w="1034" w:type="dxa"/>
            <w:tcBorders>
              <w:tl2br w:val="nil"/>
              <w:tr2bl w:val="nil"/>
            </w:tcBorders>
            <w:vAlign w:val="center"/>
          </w:tcPr>
          <w:p w14:paraId="740F1B1B">
            <w:pPr>
              <w:spacing w:line="300" w:lineRule="auto"/>
              <w:jc w:val="center"/>
              <w:rPr>
                <w:rFonts w:hint="eastAsia" w:ascii="宋体"/>
                <w:sz w:val="18"/>
                <w:szCs w:val="18"/>
              </w:rPr>
            </w:pPr>
          </w:p>
        </w:tc>
      </w:tr>
      <w:tr w14:paraId="6495E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tcBorders>
              <w:tl2br w:val="nil"/>
              <w:tr2bl w:val="nil"/>
            </w:tcBorders>
            <w:vAlign w:val="center"/>
          </w:tcPr>
          <w:p w14:paraId="03AE8A7F"/>
        </w:tc>
        <w:tc>
          <w:tcPr>
            <w:tcW w:w="719" w:type="dxa"/>
            <w:vMerge w:val="continue"/>
            <w:tcBorders>
              <w:tl2br w:val="nil"/>
              <w:tr2bl w:val="nil"/>
            </w:tcBorders>
            <w:vAlign w:val="center"/>
          </w:tcPr>
          <w:p w14:paraId="60D5AAFF"/>
        </w:tc>
        <w:tc>
          <w:tcPr>
            <w:tcW w:w="1078" w:type="dxa"/>
            <w:gridSpan w:val="2"/>
            <w:vMerge w:val="continue"/>
            <w:tcBorders>
              <w:tl2br w:val="nil"/>
              <w:tr2bl w:val="nil"/>
            </w:tcBorders>
            <w:vAlign w:val="center"/>
          </w:tcPr>
          <w:p w14:paraId="6BE49F34"/>
        </w:tc>
        <w:tc>
          <w:tcPr>
            <w:tcW w:w="2474" w:type="dxa"/>
            <w:gridSpan w:val="2"/>
            <w:tcBorders>
              <w:tl2br w:val="nil"/>
              <w:tr2bl w:val="nil"/>
            </w:tcBorders>
            <w:vAlign w:val="center"/>
          </w:tcPr>
          <w:p w14:paraId="1AAE91F8">
            <w:pPr>
              <w:spacing w:line="300" w:lineRule="auto"/>
              <w:jc w:val="center"/>
              <w:rPr>
                <w:rFonts w:hint="eastAsia" w:ascii="宋体"/>
                <w:sz w:val="18"/>
                <w:szCs w:val="18"/>
              </w:rPr>
            </w:pPr>
          </w:p>
        </w:tc>
        <w:tc>
          <w:tcPr>
            <w:tcW w:w="1889" w:type="dxa"/>
            <w:tcBorders>
              <w:tl2br w:val="nil"/>
              <w:tr2bl w:val="nil"/>
            </w:tcBorders>
            <w:vAlign w:val="center"/>
          </w:tcPr>
          <w:p w14:paraId="61ADEEAD">
            <w:pPr>
              <w:spacing w:line="300" w:lineRule="auto"/>
              <w:jc w:val="center"/>
              <w:rPr>
                <w:rFonts w:hint="eastAsia" w:ascii="宋体"/>
                <w:sz w:val="18"/>
                <w:szCs w:val="18"/>
              </w:rPr>
            </w:pPr>
          </w:p>
        </w:tc>
        <w:tc>
          <w:tcPr>
            <w:tcW w:w="1261" w:type="dxa"/>
            <w:gridSpan w:val="2"/>
            <w:tcBorders>
              <w:tl2br w:val="nil"/>
              <w:tr2bl w:val="nil"/>
            </w:tcBorders>
            <w:vAlign w:val="center"/>
          </w:tcPr>
          <w:p w14:paraId="53CECB90">
            <w:pPr>
              <w:spacing w:line="300" w:lineRule="auto"/>
              <w:jc w:val="center"/>
              <w:rPr>
                <w:rFonts w:hint="eastAsia" w:ascii="宋体"/>
                <w:sz w:val="18"/>
                <w:szCs w:val="18"/>
              </w:rPr>
            </w:pPr>
          </w:p>
        </w:tc>
        <w:tc>
          <w:tcPr>
            <w:tcW w:w="1034" w:type="dxa"/>
            <w:tcBorders>
              <w:tl2br w:val="nil"/>
              <w:tr2bl w:val="nil"/>
            </w:tcBorders>
            <w:vAlign w:val="center"/>
          </w:tcPr>
          <w:p w14:paraId="30285ED1">
            <w:pPr>
              <w:spacing w:line="300" w:lineRule="auto"/>
              <w:jc w:val="center"/>
              <w:rPr>
                <w:rFonts w:hint="eastAsia" w:ascii="宋体"/>
                <w:sz w:val="18"/>
                <w:szCs w:val="18"/>
              </w:rPr>
            </w:pPr>
          </w:p>
        </w:tc>
      </w:tr>
      <w:tr w14:paraId="1C3C3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tcBorders>
              <w:tl2br w:val="nil"/>
              <w:tr2bl w:val="nil"/>
            </w:tcBorders>
            <w:vAlign w:val="center"/>
          </w:tcPr>
          <w:p w14:paraId="7749466D">
            <w:pPr>
              <w:spacing w:line="300" w:lineRule="auto"/>
              <w:jc w:val="center"/>
              <w:rPr>
                <w:rFonts w:hint="eastAsia" w:ascii="宋体"/>
                <w:sz w:val="18"/>
                <w:szCs w:val="18"/>
              </w:rPr>
            </w:pPr>
            <w:r>
              <w:rPr>
                <w:rFonts w:hint="eastAsia" w:ascii="宋体"/>
                <w:sz w:val="18"/>
                <w:szCs w:val="18"/>
              </w:rPr>
              <w:t>说明</w:t>
            </w:r>
          </w:p>
        </w:tc>
        <w:tc>
          <w:tcPr>
            <w:tcW w:w="8455" w:type="dxa"/>
            <w:gridSpan w:val="9"/>
            <w:tcBorders>
              <w:tl2br w:val="nil"/>
              <w:tr2bl w:val="nil"/>
            </w:tcBorders>
            <w:vAlign w:val="center"/>
          </w:tcPr>
          <w:p w14:paraId="2053A9F6">
            <w:pPr>
              <w:spacing w:line="300" w:lineRule="auto"/>
              <w:jc w:val="center"/>
              <w:rPr>
                <w:rFonts w:hint="eastAsia" w:ascii="宋体"/>
                <w:sz w:val="18"/>
                <w:szCs w:val="18"/>
              </w:rPr>
            </w:pPr>
            <w:r>
              <w:rPr>
                <w:rFonts w:hint="eastAsia" w:ascii="宋体"/>
                <w:sz w:val="18"/>
                <w:szCs w:val="18"/>
              </w:rPr>
              <w:t>无</w:t>
            </w:r>
          </w:p>
        </w:tc>
      </w:tr>
    </w:tbl>
    <w:p w14:paraId="6AD8E247">
      <w:pPr>
        <w:spacing w:line="300" w:lineRule="auto"/>
        <w:rPr>
          <w:rFonts w:hint="eastAsia" w:ascii="宋体"/>
          <w:sz w:val="18"/>
          <w:szCs w:val="18"/>
        </w:rPr>
      </w:pPr>
      <w:r>
        <w:rPr>
          <w:rFonts w:hint="eastAsia" w:ascii="宋体"/>
          <w:sz w:val="18"/>
          <w:szCs w:val="18"/>
        </w:rPr>
        <w:t>定性指标根据完成情况分为：全部或基本达成预期指标100-80%（含）、部分达成并具有一定效果80-60%（含）、未达成预期指标且效果较差60%-0%。</w:t>
      </w:r>
    </w:p>
    <w:p w14:paraId="5892EEB3">
      <w:pPr>
        <w:widowControl/>
        <w:shd w:val="clear" w:color="auto" w:fill="FFFFFF"/>
        <w:spacing w:line="580" w:lineRule="exact"/>
        <w:ind w:firstLine="630" w:firstLineChars="196"/>
        <w:jc w:val="left"/>
        <w:rPr>
          <w:rFonts w:ascii="楷体_GB2312" w:eastAsia="楷体_GB2312" w:cs="楷体_GB2312"/>
          <w:b/>
          <w:bCs/>
          <w:sz w:val="32"/>
          <w:szCs w:val="32"/>
        </w:rPr>
      </w:pPr>
      <w:r>
        <w:rPr>
          <w:rFonts w:hint="eastAsia" w:ascii="楷体_GB2312" w:eastAsia="楷体_GB2312" w:cs="楷体_GB2312"/>
          <w:b/>
          <w:bCs/>
          <w:sz w:val="32"/>
          <w:szCs w:val="32"/>
        </w:rPr>
        <w:t>（三）财政评价项目绩效评价结果</w:t>
      </w:r>
    </w:p>
    <w:p w14:paraId="1C927D9B">
      <w:pPr>
        <w:keepNext/>
        <w:keepLines/>
        <w:widowControl w:val="0"/>
        <w:snapToGrid w:val="0"/>
        <w:spacing w:line="600" w:lineRule="exact"/>
        <w:ind w:firstLine="640" w:firstLineChars="200"/>
        <w:outlineLvl w:val="1"/>
        <w:rPr>
          <w:rFonts w:hint="eastAsia" w:ascii="黑体" w:eastAsia="黑体" w:cs="黑体"/>
          <w:sz w:val="32"/>
          <w:szCs w:val="32"/>
        </w:rPr>
      </w:pPr>
      <w:r>
        <w:rPr>
          <w:rFonts w:hint="eastAsia" w:ascii="仿宋_GB2312" w:eastAsia="仿宋_GB2312" w:cs="仿宋_GB2312"/>
          <w:sz w:val="32"/>
          <w:szCs w:val="32"/>
        </w:rPr>
        <w:t>无财政评价项目绩效评价结果。</w:t>
      </w:r>
    </w:p>
    <w:p w14:paraId="7C21831D">
      <w:pPr>
        <w:keepNext/>
        <w:keepLines/>
        <w:widowControl w:val="0"/>
        <w:snapToGrid w:val="0"/>
        <w:spacing w:line="600" w:lineRule="exact"/>
        <w:ind w:firstLine="640" w:firstLineChars="200"/>
        <w:outlineLvl w:val="1"/>
        <w:rPr>
          <w:rFonts w:ascii="黑体" w:eastAsia="黑体" w:cs="黑体"/>
          <w:b/>
          <w:bCs/>
          <w:sz w:val="32"/>
          <w:szCs w:val="32"/>
        </w:rPr>
      </w:pPr>
      <w:r>
        <w:rPr>
          <w:rFonts w:hint="eastAsia" w:ascii="黑体" w:eastAsia="黑体" w:cs="黑体"/>
          <w:sz w:val="32"/>
          <w:szCs w:val="32"/>
        </w:rPr>
        <w:t>七、机关运行经费情况</w:t>
      </w:r>
    </w:p>
    <w:p w14:paraId="449906BC">
      <w:pPr>
        <w:adjustRightInd w:val="0"/>
        <w:snapToGrid w:val="0"/>
        <w:spacing w:line="600" w:lineRule="exact"/>
        <w:ind w:firstLine="640" w:firstLineChars="200"/>
        <w:rPr>
          <w:rFonts w:ascii="仿宋_GB2312" w:eastAsia="仿宋_GB2312" w:cs="仿宋_GB2312"/>
          <w:sz w:val="32"/>
          <w:szCs w:val="32"/>
          <w:highlight w:val="yellow"/>
        </w:rPr>
      </w:pPr>
      <w:r>
        <w:rPr>
          <w:rFonts w:hint="eastAsia" w:ascii="仿宋_GB2312" w:eastAsia="仿宋_GB2312" w:cs="仿宋_GB2312"/>
          <w:sz w:val="32"/>
          <w:szCs w:val="32"/>
        </w:rPr>
        <w:t>本部门2020年度机关运行经费支出</w:t>
      </w:r>
      <w:r>
        <w:rPr>
          <w:rFonts w:ascii="仿宋_GB2312" w:eastAsia="仿宋_GB2312" w:cs="仿宋_GB2312"/>
          <w:sz w:val="32"/>
          <w:szCs w:val="32"/>
        </w:rPr>
        <w:t>137.67</w:t>
      </w:r>
      <w:r>
        <w:rPr>
          <w:rFonts w:hint="eastAsia" w:ascii="仿宋_GB2312" w:eastAsia="仿宋_GB2312" w:cs="仿宋_GB2312"/>
          <w:sz w:val="32"/>
          <w:szCs w:val="32"/>
        </w:rPr>
        <w:t>万元，比2019年度增加</w:t>
      </w:r>
      <w:r>
        <w:rPr>
          <w:rFonts w:ascii="仿宋_GB2312" w:eastAsia="仿宋_GB2312" w:cs="仿宋_GB2312"/>
          <w:sz w:val="32"/>
          <w:szCs w:val="32"/>
        </w:rPr>
        <w:t>112.76</w:t>
      </w:r>
      <w:r>
        <w:rPr>
          <w:rFonts w:hint="eastAsia" w:ascii="仿宋_GB2312" w:eastAsia="仿宋_GB2312" w:cs="仿宋_GB2312"/>
          <w:sz w:val="32"/>
          <w:szCs w:val="32"/>
        </w:rPr>
        <w:t>万元，增长</w:t>
      </w:r>
      <w:r>
        <w:rPr>
          <w:rFonts w:ascii="仿宋_GB2312" w:eastAsia="仿宋_GB2312" w:cs="仿宋_GB2312"/>
          <w:sz w:val="32"/>
          <w:szCs w:val="32"/>
        </w:rPr>
        <w:t>81.9</w:t>
      </w:r>
      <w:r>
        <w:rPr>
          <w:rFonts w:hint="eastAsia" w:ascii="仿宋_GB2312" w:eastAsia="仿宋_GB2312" w:cs="仿宋_GB2312"/>
          <w:sz w:val="32"/>
          <w:szCs w:val="32"/>
        </w:rPr>
        <w:t>%。主要原因是</w:t>
      </w:r>
      <w:r>
        <w:rPr>
          <w:rFonts w:ascii="仿宋_GB2312" w:eastAsia="仿宋_GB2312" w:cs="仿宋_GB2312"/>
          <w:sz w:val="32"/>
          <w:szCs w:val="32"/>
        </w:rPr>
        <w:t>项目和人员的增加</w:t>
      </w:r>
      <w:r>
        <w:rPr>
          <w:rFonts w:hint="eastAsia" w:ascii="仿宋_GB2312" w:eastAsia="仿宋_GB2312" w:cs="仿宋_GB2312"/>
          <w:sz w:val="32"/>
          <w:szCs w:val="32"/>
        </w:rPr>
        <w:t>。</w:t>
      </w:r>
    </w:p>
    <w:p w14:paraId="6C244BA0">
      <w:pPr>
        <w:keepNext/>
        <w:keepLines/>
        <w:widowControl w:val="0"/>
        <w:snapToGrid w:val="0"/>
        <w:spacing w:line="600" w:lineRule="exact"/>
        <w:ind w:firstLine="640" w:firstLineChars="200"/>
        <w:outlineLvl w:val="2"/>
        <w:rPr>
          <w:rFonts w:ascii="仿宋_GB2312" w:eastAsia="仿宋_GB2312" w:cs="仿宋_GB2312"/>
          <w:sz w:val="32"/>
          <w:szCs w:val="32"/>
        </w:rPr>
      </w:pPr>
      <w:r>
        <w:rPr>
          <w:rFonts w:hint="eastAsia" w:ascii="仿宋_GB2312" w:eastAsia="仿宋_GB2312" w:cs="仿宋_GB2312"/>
          <w:sz w:val="32"/>
          <w:szCs w:val="32"/>
        </w:rPr>
        <w:t>八、政府采购情况</w:t>
      </w:r>
    </w:p>
    <w:p w14:paraId="41310B50">
      <w:pPr>
        <w:snapToGrid w:val="0"/>
        <w:spacing w:line="600" w:lineRule="exact"/>
        <w:ind w:firstLine="640" w:firstLineChars="200"/>
        <w:jc w:val="left"/>
        <w:rPr>
          <w:rFonts w:ascii="仿宋_GB2312" w:eastAsia="仿宋_GB2312" w:cs="仿宋_GB2312"/>
          <w:sz w:val="32"/>
          <w:szCs w:val="32"/>
          <w:highlight w:val="yellow"/>
        </w:rPr>
      </w:pPr>
      <w:r>
        <w:rPr>
          <w:rFonts w:hint="eastAsia" w:ascii="仿宋_GB2312" w:eastAsia="仿宋_GB2312" w:cs="仿宋_GB2312"/>
          <w:sz w:val="32"/>
          <w:szCs w:val="32"/>
        </w:rPr>
        <w:t>本部门2020年度政府采购支出总额</w:t>
      </w:r>
      <w:r>
        <w:rPr>
          <w:rFonts w:ascii="仿宋_GB2312" w:eastAsia="仿宋_GB2312" w:cs="仿宋_GB2312"/>
          <w:sz w:val="32"/>
          <w:szCs w:val="32"/>
        </w:rPr>
        <w:t>0</w:t>
      </w:r>
      <w:r>
        <w:rPr>
          <w:rFonts w:hint="eastAsia" w:ascii="仿宋_GB2312" w:eastAsia="仿宋_GB2312" w:cs="仿宋_GB2312"/>
          <w:sz w:val="32"/>
          <w:szCs w:val="32"/>
        </w:rPr>
        <w:t>万元，从采购类型来看，</w:t>
      </w:r>
      <w:r>
        <w:rPr>
          <w:rFonts w:hint="eastAsia" w:ascii="仿宋_GB2312" w:eastAsia="仿宋_GB2312" w:cs="仿宋_GB2312"/>
          <w:color w:val="000000"/>
          <w:kern w:val="0"/>
          <w:sz w:val="32"/>
          <w:szCs w:val="32"/>
        </w:rPr>
        <w:t>政府采购货物支出</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万元、政府采购工程支出</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 xml:space="preserve">万元、政府采购服务支出 </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万元。授予中小企业合同金</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万元，占政府采购支出总额的</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%，其中授予小微企业合同金额</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 xml:space="preserve">万元，占政府采购支出总额的 </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w:t>
      </w:r>
    </w:p>
    <w:p w14:paraId="75F2724C">
      <w:pPr>
        <w:keepNext/>
        <w:keepLines/>
        <w:widowControl w:val="0"/>
        <w:snapToGrid w:val="0"/>
        <w:spacing w:line="600" w:lineRule="exact"/>
        <w:ind w:firstLine="640" w:firstLineChars="200"/>
        <w:outlineLvl w:val="2"/>
        <w:rPr>
          <w:rFonts w:ascii="黑体" w:eastAsia="黑体" w:cs="黑体"/>
          <w:sz w:val="32"/>
          <w:szCs w:val="32"/>
        </w:rPr>
      </w:pPr>
      <w:r>
        <w:rPr>
          <w:rFonts w:hint="eastAsia" w:ascii="黑体" w:eastAsia="黑体" w:cs="黑体"/>
          <w:sz w:val="32"/>
          <w:szCs w:val="32"/>
        </w:rPr>
        <w:t>九、国有资产占用情况</w:t>
      </w:r>
    </w:p>
    <w:p w14:paraId="5A016DD7">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截至2020年12月31日，本部门共有车辆</w:t>
      </w:r>
      <w:r>
        <w:rPr>
          <w:rFonts w:ascii="仿宋_GB2312" w:eastAsia="仿宋_GB2312" w:cs="仿宋_GB2312"/>
          <w:sz w:val="32"/>
          <w:szCs w:val="32"/>
        </w:rPr>
        <w:t>1</w:t>
      </w:r>
      <w:r>
        <w:rPr>
          <w:rFonts w:hint="eastAsia" w:ascii="仿宋_GB2312" w:eastAsia="仿宋_GB2312" w:cs="仿宋_GB2312"/>
          <w:sz w:val="32"/>
          <w:szCs w:val="32"/>
        </w:rPr>
        <w:t>辆，比上年增加</w:t>
      </w:r>
      <w:r>
        <w:rPr>
          <w:rFonts w:ascii="仿宋_GB2312" w:eastAsia="仿宋_GB2312" w:cs="仿宋_GB2312"/>
          <w:sz w:val="32"/>
          <w:szCs w:val="32"/>
        </w:rPr>
        <w:t>1</w:t>
      </w:r>
      <w:r>
        <w:rPr>
          <w:rFonts w:hint="eastAsia" w:ascii="仿宋_GB2312" w:eastAsia="仿宋_GB2312" w:cs="仿宋_GB2312"/>
          <w:sz w:val="32"/>
          <w:szCs w:val="32"/>
        </w:rPr>
        <w:t>辆，主要是</w:t>
      </w:r>
      <w:r>
        <w:rPr>
          <w:rFonts w:ascii="仿宋_GB2312" w:eastAsia="仿宋_GB2312" w:cs="仿宋_GB2312"/>
          <w:sz w:val="32"/>
          <w:szCs w:val="32"/>
        </w:rPr>
        <w:t>因为工作需要，新购置一辆公务用车</w:t>
      </w:r>
      <w:r>
        <w:rPr>
          <w:rFonts w:hint="eastAsia" w:ascii="仿宋_GB2312" w:eastAsia="仿宋_GB2312" w:cs="仿宋_GB2312"/>
          <w:sz w:val="32"/>
          <w:szCs w:val="32"/>
        </w:rPr>
        <w:t>。其中，副部（省）级及以上领导用车</w:t>
      </w:r>
      <w:r>
        <w:rPr>
          <w:rFonts w:ascii="仿宋_GB2312" w:eastAsia="仿宋_GB2312" w:cs="仿宋_GB2312"/>
          <w:sz w:val="32"/>
          <w:szCs w:val="32"/>
        </w:rPr>
        <w:t>0</w:t>
      </w:r>
      <w:r>
        <w:rPr>
          <w:rFonts w:hint="eastAsia" w:ascii="仿宋_GB2312" w:eastAsia="仿宋_GB2312" w:cs="仿宋_GB2312"/>
          <w:sz w:val="32"/>
          <w:szCs w:val="32"/>
        </w:rPr>
        <w:t>辆，主要领导干部用车</w:t>
      </w:r>
      <w:r>
        <w:rPr>
          <w:rFonts w:ascii="仿宋_GB2312" w:eastAsia="仿宋_GB2312" w:cs="仿宋_GB2312"/>
          <w:sz w:val="32"/>
          <w:szCs w:val="32"/>
        </w:rPr>
        <w:t>0</w:t>
      </w:r>
      <w:r>
        <w:rPr>
          <w:rFonts w:hint="eastAsia" w:ascii="仿宋_GB2312" w:eastAsia="仿宋_GB2312" w:cs="仿宋_GB2312"/>
          <w:sz w:val="32"/>
          <w:szCs w:val="32"/>
        </w:rPr>
        <w:t>辆，机要通信用车</w:t>
      </w:r>
      <w:r>
        <w:rPr>
          <w:rFonts w:ascii="仿宋_GB2312" w:eastAsia="仿宋_GB2312" w:cs="仿宋_GB2312"/>
          <w:sz w:val="32"/>
          <w:szCs w:val="32"/>
        </w:rPr>
        <w:t>0</w:t>
      </w:r>
      <w:r>
        <w:rPr>
          <w:rFonts w:hint="eastAsia" w:ascii="仿宋_GB2312" w:eastAsia="仿宋_GB2312" w:cs="仿宋_GB2312"/>
          <w:sz w:val="32"/>
          <w:szCs w:val="32"/>
        </w:rPr>
        <w:t>辆，应急保障用车</w:t>
      </w:r>
      <w:r>
        <w:rPr>
          <w:rFonts w:ascii="仿宋_GB2312" w:eastAsia="仿宋_GB2312" w:cs="仿宋_GB2312"/>
          <w:sz w:val="32"/>
          <w:szCs w:val="32"/>
        </w:rPr>
        <w:t>0</w:t>
      </w:r>
      <w:r>
        <w:rPr>
          <w:rFonts w:hint="eastAsia" w:ascii="仿宋_GB2312" w:eastAsia="仿宋_GB2312" w:cs="仿宋_GB2312"/>
          <w:sz w:val="32"/>
          <w:szCs w:val="32"/>
        </w:rPr>
        <w:t>辆，执法执勤用车</w:t>
      </w:r>
      <w:r>
        <w:rPr>
          <w:rFonts w:ascii="仿宋_GB2312" w:eastAsia="仿宋_GB2312" w:cs="仿宋_GB2312"/>
          <w:sz w:val="32"/>
          <w:szCs w:val="32"/>
        </w:rPr>
        <w:t>0</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辆，离退休干部用车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ascii="仿宋_GB2312" w:eastAsia="仿宋_GB2312" w:cs="仿宋_GB2312"/>
          <w:sz w:val="32"/>
          <w:szCs w:val="32"/>
        </w:rPr>
        <w:t>1</w:t>
      </w:r>
      <w:r>
        <w:rPr>
          <w:rFonts w:hint="eastAsia" w:ascii="仿宋_GB2312" w:eastAsia="仿宋_GB2312" w:cs="仿宋_GB2312"/>
          <w:sz w:val="32"/>
          <w:szCs w:val="32"/>
        </w:rPr>
        <w:t>辆，其他用车主要是</w:t>
      </w:r>
      <w:r>
        <w:rPr>
          <w:rFonts w:ascii="仿宋_GB2312" w:eastAsia="仿宋_GB2312" w:cs="仿宋_GB2312"/>
          <w:sz w:val="32"/>
          <w:szCs w:val="32"/>
        </w:rPr>
        <w:t>单位的公务用车</w:t>
      </w:r>
      <w:r>
        <w:rPr>
          <w:rFonts w:hint="eastAsia" w:ascii="仿宋_GB2312" w:eastAsia="仿宋_GB2312" w:cs="仿宋_GB2312"/>
          <w:sz w:val="32"/>
          <w:szCs w:val="32"/>
        </w:rPr>
        <w:t>；</w:t>
      </w:r>
    </w:p>
    <w:p w14:paraId="6D4932E3">
      <w:pPr>
        <w:adjustRightInd w:val="0"/>
        <w:snapToGrid w:val="0"/>
        <w:spacing w:line="600" w:lineRule="exact"/>
        <w:ind w:firstLine="640" w:firstLineChars="200"/>
        <w:rPr>
          <w:rFonts w:ascii="仿宋_GB2312" w:eastAsia="仿宋_GB2312" w:cs="仿宋_GB2312"/>
          <w:b/>
          <w:bCs/>
          <w:sz w:val="32"/>
          <w:szCs w:val="32"/>
        </w:rPr>
      </w:pPr>
      <w:r>
        <w:rPr>
          <w:rFonts w:hint="eastAsia" w:ascii="仿宋_GB2312" w:eastAsia="仿宋_GB2312" w:cs="仿宋_GB2312"/>
          <w:sz w:val="32"/>
          <w:szCs w:val="32"/>
        </w:rPr>
        <w:t>单位价值50万元以上通用设备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套，单位价值100万元以上专用设备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w:t>
      </w:r>
      <w:r>
        <w:rPr>
          <w:rFonts w:ascii="仿宋_GB2312" w:eastAsia="仿宋_GB2312" w:cs="仿宋_GB2312"/>
          <w:sz w:val="32"/>
          <w:szCs w:val="32"/>
        </w:rPr>
        <w:t>。</w:t>
      </w:r>
    </w:p>
    <w:p w14:paraId="01527E8D">
      <w:pPr>
        <w:keepNext/>
        <w:keepLines/>
        <w:widowControl w:val="0"/>
        <w:snapToGrid w:val="0"/>
        <w:spacing w:line="600" w:lineRule="exact"/>
        <w:ind w:firstLine="640" w:firstLineChars="200"/>
        <w:outlineLvl w:val="2"/>
        <w:rPr>
          <w:rFonts w:ascii="黑体" w:eastAsia="黑体" w:cs="黑体"/>
          <w:sz w:val="32"/>
          <w:szCs w:val="32"/>
        </w:rPr>
      </w:pPr>
      <w:r>
        <w:rPr>
          <w:rFonts w:hint="eastAsia" w:ascii="黑体" w:eastAsia="黑体" w:cs="黑体"/>
          <w:sz w:val="32"/>
          <w:szCs w:val="32"/>
        </w:rPr>
        <w:t>十、其他需要说明的情况</w:t>
      </w:r>
    </w:p>
    <w:p w14:paraId="13B2134C">
      <w:pPr>
        <w:adjustRightInd w:val="0"/>
        <w:snapToGrid w:val="0"/>
        <w:spacing w:line="600" w:lineRule="exact"/>
        <w:ind w:firstLine="640" w:firstLineChars="200"/>
        <w:rPr>
          <w:rFonts w:ascii="仿宋_GB2312" w:eastAsia="仿宋_GB2312" w:cs="仿宋_GB2312"/>
          <w:sz w:val="32"/>
          <w:szCs w:val="32"/>
          <w:shd w:val="solid" w:color="FFFFFF" w:fill="FFFFFF"/>
        </w:rPr>
      </w:pPr>
      <w:r>
        <w:rPr>
          <w:rFonts w:hint="eastAsia" w:ascii="仿宋_GB2312" w:eastAsia="仿宋_GB2312" w:cs="仿宋_GB2312"/>
          <w:sz w:val="32"/>
          <w:szCs w:val="32"/>
        </w:rPr>
        <w:t>1. 本部门2020年度未发生</w:t>
      </w:r>
      <w:r>
        <w:rPr>
          <w:rFonts w:ascii="仿宋_GB2312" w:eastAsia="仿宋_GB2312" w:cs="仿宋_GB2312"/>
          <w:sz w:val="32"/>
          <w:szCs w:val="32"/>
        </w:rPr>
        <w:t>政府性基金预算、国有资金经营预算</w:t>
      </w:r>
      <w:r>
        <w:rPr>
          <w:rFonts w:hint="eastAsia" w:ascii="仿宋_GB2312" w:eastAsia="仿宋_GB2312" w:cs="仿宋_GB2312"/>
          <w:sz w:val="32"/>
          <w:szCs w:val="32"/>
          <w:shd w:val="solid" w:color="FFFFFF" w:fill="FFFFFF"/>
        </w:rPr>
        <w:t>收支及结转结余情况，以空表列示。</w:t>
      </w:r>
    </w:p>
    <w:p w14:paraId="629278BD">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45B692E4">
      <w:pPr>
        <w:rPr>
          <w:rFonts w:ascii="仿宋_GB2312" w:eastAsia="仿宋_GB2312" w:cs="Arial Black"/>
          <w:sz w:val="32"/>
          <w:szCs w:val="32"/>
        </w:rPr>
      </w:pPr>
    </w:p>
    <w:p w14:paraId="6849546A">
      <w:pPr>
        <w:rPr>
          <w:rFonts w:ascii="仿宋_GB2312" w:eastAsia="仿宋_GB2312" w:cs="Arial Black"/>
          <w:sz w:val="32"/>
          <w:szCs w:val="32"/>
        </w:rPr>
      </w:pPr>
    </w:p>
    <w:p w14:paraId="1BEB70E4">
      <w:pPr>
        <w:rPr>
          <w:rFonts w:hint="eastAsia" w:ascii="仿宋_GB2312" w:eastAsia="仿宋_GB2312" w:cs="Arial Black"/>
          <w:sz w:val="32"/>
          <w:szCs w:val="32"/>
        </w:rPr>
      </w:pPr>
    </w:p>
    <w:p w14:paraId="45D41F11">
      <w:pPr>
        <w:rPr>
          <w:rFonts w:ascii="仿宋_GB2312" w:eastAsia="仿宋_GB2312" w:cs="Arial Black"/>
          <w:sz w:val="32"/>
          <w:szCs w:val="32"/>
        </w:rPr>
      </w:pPr>
    </w:p>
    <w:p w14:paraId="6C7D9883">
      <w:pPr>
        <w:rPr>
          <w:rFonts w:ascii="仿宋_GB2312" w:eastAsia="仿宋_GB2312" w:cs="Arial Black"/>
          <w:sz w:val="32"/>
          <w:szCs w:val="32"/>
        </w:rPr>
      </w:pPr>
    </w:p>
    <w:p w14:paraId="04A00285">
      <w:pPr>
        <w:rPr>
          <w:rFonts w:ascii="仿宋_GB2312" w:eastAsia="仿宋_GB2312" w:cs="Arial Black"/>
          <w:sz w:val="32"/>
          <w:szCs w:val="32"/>
        </w:rPr>
      </w:pPr>
    </w:p>
    <w:p w14:paraId="635A5FB3">
      <w:pPr>
        <w:rPr>
          <w:rFonts w:ascii="仿宋_GB2312" w:eastAsia="仿宋_GB2312" w:cs="Arial Black"/>
          <w:sz w:val="32"/>
          <w:szCs w:val="32"/>
        </w:rPr>
      </w:pPr>
    </w:p>
    <w:p w14:paraId="573AE2F8">
      <w:pPr>
        <w:rPr>
          <w:rFonts w:ascii="仿宋_GB2312" w:eastAsia="仿宋_GB2312" w:cs="Arial Black"/>
          <w:sz w:val="32"/>
          <w:szCs w:val="32"/>
        </w:rPr>
      </w:pPr>
    </w:p>
    <w:p w14:paraId="5D308131">
      <w:pPr>
        <w:rPr>
          <w:rFonts w:ascii="仿宋_GB2312" w:eastAsia="仿宋_GB2312" w:cs="Arial Black"/>
          <w:sz w:val="32"/>
          <w:szCs w:val="32"/>
        </w:rPr>
      </w:pPr>
    </w:p>
    <w:p w14:paraId="6FE724D2">
      <w:pPr>
        <w:rPr>
          <w:rFonts w:ascii="仿宋_GB2312" w:eastAsia="仿宋_GB2312" w:cs="Arial Black"/>
          <w:sz w:val="32"/>
          <w:szCs w:val="32"/>
        </w:rPr>
      </w:pPr>
    </w:p>
    <w:p w14:paraId="7EB08C1B">
      <w:pPr>
        <w:rPr>
          <w:rFonts w:ascii="仿宋_GB2312" w:eastAsia="仿宋_GB2312" w:cs="Arial Black"/>
          <w:sz w:val="32"/>
          <w:szCs w:val="32"/>
        </w:rPr>
      </w:pPr>
    </w:p>
    <w:p w14:paraId="15C355D5">
      <w:pPr>
        <w:rPr>
          <w:rFonts w:ascii="仿宋_GB2312" w:eastAsia="仿宋_GB2312" w:cs="Arial Black"/>
          <w:sz w:val="32"/>
          <w:szCs w:val="32"/>
        </w:rPr>
      </w:pPr>
    </w:p>
    <w:p w14:paraId="647073A6">
      <w:pPr>
        <w:rPr>
          <w:rFonts w:ascii="仿宋_GB2312" w:eastAsia="仿宋_GB2312" w:cs="Arial Black"/>
          <w:sz w:val="32"/>
          <w:szCs w:val="32"/>
        </w:rPr>
      </w:pPr>
    </w:p>
    <w:p w14:paraId="3679C820">
      <w:pPr>
        <w:rPr>
          <w:rFonts w:ascii="仿宋_GB2312" w:eastAsia="仿宋_GB2312" w:cs="Arial Black"/>
          <w:sz w:val="32"/>
          <w:szCs w:val="32"/>
        </w:rPr>
      </w:pPr>
    </w:p>
    <w:p w14:paraId="5F52955C">
      <w:pPr>
        <w:rPr>
          <w:rFonts w:ascii="仿宋_GB2312" w:eastAsia="仿宋_GB2312" w:cs="Arial Black"/>
          <w:sz w:val="32"/>
          <w:szCs w:val="32"/>
        </w:rPr>
      </w:pPr>
    </w:p>
    <w:p w14:paraId="6C027F89">
      <w:pPr>
        <w:rPr>
          <w:rFonts w:ascii="仿宋_GB2312" w:eastAsia="仿宋_GB2312" w:cs="Arial Black"/>
          <w:sz w:val="32"/>
          <w:szCs w:val="32"/>
        </w:rPr>
      </w:pPr>
    </w:p>
    <w:p w14:paraId="71A845C9">
      <w:pPr>
        <w:rPr>
          <w:rFonts w:ascii="仿宋_GB2312" w:eastAsia="仿宋_GB2312" w:cs="Arial Black"/>
          <w:sz w:val="32"/>
          <w:szCs w:val="32"/>
        </w:rPr>
      </w:pPr>
    </w:p>
    <w:p w14:paraId="79175A88">
      <w:pPr>
        <w:rPr>
          <w:rFonts w:ascii="仿宋_GB2312" w:eastAsia="仿宋_GB2312" w:cs="Arial Black"/>
          <w:sz w:val="32"/>
          <w:szCs w:val="32"/>
        </w:rPr>
      </w:pPr>
    </w:p>
    <w:p w14:paraId="37B68988">
      <w:pPr>
        <w:rPr>
          <w:rFonts w:ascii="仿宋_GB2312" w:eastAsia="仿宋_GB2312" w:cs="Arial Black"/>
          <w:sz w:val="32"/>
          <w:szCs w:val="32"/>
        </w:rPr>
      </w:pPr>
    </w:p>
    <w:p w14:paraId="7B899621">
      <w:pPr>
        <w:rPr>
          <w:rFonts w:ascii="仿宋_GB2312" w:eastAsia="仿宋_GB2312" w:cs="Arial Black"/>
          <w:sz w:val="32"/>
          <w:szCs w:val="32"/>
        </w:rPr>
      </w:pPr>
    </w:p>
    <w:p w14:paraId="0761620D">
      <w:pPr>
        <w:rPr>
          <w:rFonts w:ascii="仿宋_GB2312" w:eastAsia="仿宋_GB2312" w:cs="Arial Black"/>
          <w:sz w:val="32"/>
          <w:szCs w:val="32"/>
        </w:rPr>
      </w:pPr>
      <w:r>
        <w:rPr>
          <w:rFonts w:ascii="Calibri" w:hAnsi="Calibri" w:eastAsia="宋体" w:cs="Arial"/>
          <w:kern w:val="2"/>
          <w:sz w:val="72"/>
          <w:szCs w:val="24"/>
          <w:lang w:val="en-US" w:eastAsia="zh-CN" w:bidi="ar-SA"/>
        </w:rPr>
        <w:pict>
          <v:rect id="矩形 30" o:spid="_x0000_s1035" o:spt="1" style="position:absolute;left:0pt;margin-left:-80.5pt;margin-top:15.9pt;height:263.1pt;width:613.65pt;z-index:251661312;mso-width-relative:page;mso-height-relative:page;" fillcolor="#FFFFFF" filled="t" o:preferrelative="t" stroked="t" coordsize="21600,21600">
            <v:path/>
            <v:fill type="tile" on="t" color2="#FFFFFF" focussize="0,0" r:id="rId14"/>
            <v:stroke weight="0.5pt" color="#7F7F7F" color2="#FFFFFF" miterlimit="2"/>
            <v:imagedata gain="65536f" blacklevel="0f" gamma="0" o:title=""/>
            <o:lock v:ext="edit" position="f" selection="f" grouping="f" rotation="f" cropping="f" text="f" aspectratio="f"/>
            <v:textbox>
              <w:txbxContent>
                <w:p w14:paraId="4C28D2AE">
                  <w:pPr>
                    <w:widowControl/>
                    <w:jc w:val="center"/>
                  </w:pPr>
                  <w:r>
                    <w:rPr>
                      <w:rFonts w:hint="eastAsia" w:ascii="黑体" w:eastAsia="黑体" w:cs="黑体"/>
                      <w:color w:val="000000"/>
                      <w:sz w:val="90"/>
                      <w:szCs w:val="90"/>
                    </w:rPr>
                    <w:t>第三部分 相关名词解释</w:t>
                  </w:r>
                </w:p>
              </w:txbxContent>
            </v:textbox>
          </v:rect>
        </w:pict>
      </w:r>
    </w:p>
    <w:p w14:paraId="47BC74AE">
      <w:pPr>
        <w:rPr>
          <w:rFonts w:ascii="仿宋_GB2312" w:eastAsia="仿宋_GB2312" w:cs="Arial Black"/>
          <w:sz w:val="32"/>
          <w:szCs w:val="32"/>
        </w:rPr>
      </w:pPr>
    </w:p>
    <w:p w14:paraId="382D0CBC">
      <w:pPr>
        <w:rPr>
          <w:rFonts w:ascii="仿宋_GB2312" w:eastAsia="仿宋_GB2312" w:cs="Arial Black"/>
          <w:sz w:val="32"/>
          <w:szCs w:val="32"/>
        </w:rPr>
      </w:pPr>
    </w:p>
    <w:p w14:paraId="4EF174A3">
      <w:pPr>
        <w:rPr>
          <w:rFonts w:ascii="仿宋_GB2312" w:eastAsia="仿宋_GB2312" w:cs="Arial Black"/>
          <w:sz w:val="32"/>
          <w:szCs w:val="32"/>
        </w:rPr>
      </w:pPr>
    </w:p>
    <w:p w14:paraId="6F929492">
      <w:pPr>
        <w:rPr>
          <w:rFonts w:ascii="仿宋_GB2312" w:eastAsia="仿宋_GB2312" w:cs="Arial Black"/>
          <w:sz w:val="32"/>
          <w:szCs w:val="32"/>
        </w:rPr>
      </w:pPr>
    </w:p>
    <w:p w14:paraId="0391A0FB">
      <w:pPr>
        <w:rPr>
          <w:rFonts w:ascii="仿宋_GB2312" w:eastAsia="仿宋_GB2312" w:cs="Arial Black"/>
          <w:sz w:val="32"/>
          <w:szCs w:val="32"/>
          <w:highlight w:val="yellow"/>
        </w:rPr>
      </w:pPr>
      <w:r>
        <w:rPr>
          <w:rFonts w:hint="eastAsia" w:ascii="仿宋_GB2312" w:eastAsia="仿宋_GB2312" w:cs="Arial Black"/>
          <w:sz w:val="32"/>
          <w:szCs w:val="32"/>
          <w:highlight w:val="yellow"/>
        </w:rPr>
        <w:br w:type="page"/>
      </w:r>
    </w:p>
    <w:p w14:paraId="2550F8B0">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（一）财政拨款收入：</w:t>
      </w:r>
      <w:r>
        <w:rPr>
          <w:rFonts w:hint="eastAsia" w:ascii="仿宋_GB2312" w:eastAsia="仿宋_GB2312" w:cs="Times New Roman"/>
          <w:color w:val="000000"/>
          <w:kern w:val="0"/>
          <w:sz w:val="32"/>
          <w:szCs w:val="32"/>
        </w:rPr>
        <w:t>本年度从本级财政部门取得的财政拨款，包括一般公共预算财政拨款和政府性基金预算财政拨款。</w:t>
      </w:r>
    </w:p>
    <w:p w14:paraId="37661C51">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（二）事业收入：</w:t>
      </w:r>
      <w:r>
        <w:rPr>
          <w:rFonts w:hint="eastAsia" w:ascii="仿宋_GB2312" w:eastAsia="仿宋_GB2312" w:cs="Times New Roman"/>
          <w:color w:val="000000"/>
          <w:kern w:val="0"/>
          <w:sz w:val="32"/>
          <w:szCs w:val="32"/>
        </w:rPr>
        <w:t>指事业单位开展专业业务活动及辅助活动所取得的收入。</w:t>
      </w:r>
    </w:p>
    <w:p w14:paraId="4B48239E">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（三）其他收入：</w:t>
      </w:r>
      <w:r>
        <w:rPr>
          <w:rFonts w:hint="eastAsia" w:ascii="仿宋_GB2312" w:eastAsia="仿宋_GB2312" w:cs="Times New Roman"/>
          <w:color w:val="000000"/>
          <w:kern w:val="0"/>
          <w:sz w:val="32"/>
          <w:szCs w:val="32"/>
        </w:rPr>
        <w:t>指除上述“财政拨款收入”“事业收入”“经营收入”等以外的收入。</w:t>
      </w:r>
    </w:p>
    <w:p w14:paraId="4865152F">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（四）年初结转和结余：</w:t>
      </w:r>
      <w:r>
        <w:rPr>
          <w:rFonts w:hint="eastAsia" w:ascii="仿宋_GB2312" w:eastAsia="仿宋_GB2312" w:cs="Times New Roman"/>
          <w:color w:val="000000"/>
          <w:kern w:val="0"/>
          <w:sz w:val="32"/>
          <w:szCs w:val="32"/>
        </w:rPr>
        <w:t>指以前年度尚未完成、结转到本年仍按原规定用途继续使用的资金，或项目已完成等产生的结余资金。</w:t>
      </w:r>
    </w:p>
    <w:p w14:paraId="5EA4D759">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（五）结余分配：</w:t>
      </w:r>
      <w:r>
        <w:rPr>
          <w:rFonts w:hint="eastAsia" w:ascii="仿宋_GB2312" w:eastAsia="仿宋_GB2312" w:cs="Times New Roman"/>
          <w:color w:val="000000"/>
          <w:kern w:val="0"/>
          <w:sz w:val="32"/>
          <w:szCs w:val="32"/>
        </w:rPr>
        <w:t>指事业单位按照事业单位会计制度的规定从非财政补助结余中分配的事业基金和职工福利基金等。</w:t>
      </w:r>
    </w:p>
    <w:p w14:paraId="0E62A039">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（六）年末结转和结余：</w:t>
      </w:r>
      <w:r>
        <w:rPr>
          <w:rFonts w:hint="eastAsia" w:ascii="仿宋_GB2312" w:eastAsia="仿宋_GB2312" w:cs="Times New Roman"/>
          <w:color w:val="000000"/>
          <w:kern w:val="0"/>
          <w:sz w:val="32"/>
          <w:szCs w:val="32"/>
        </w:rPr>
        <w:t>指单位按有关规定结转到下年或以后年度继续使用的资金，或项目已完成等产生的结余资金。</w:t>
      </w:r>
    </w:p>
    <w:p w14:paraId="14931522">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（七）基本支出：</w:t>
      </w:r>
      <w:r>
        <w:rPr>
          <w:rFonts w:hint="eastAsia" w:ascii="仿宋_GB2312" w:eastAsia="仿宋_GB2312" w:cs="Times New Roman"/>
          <w:color w:val="000000"/>
          <w:kern w:val="0"/>
          <w:sz w:val="32"/>
          <w:szCs w:val="32"/>
        </w:rPr>
        <w:t>填列单位为保障机构正常运转、完成日常工作任务而发生的各项支出。</w:t>
      </w:r>
    </w:p>
    <w:p w14:paraId="6B17E11A">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（八）项目支出：</w:t>
      </w:r>
      <w:r>
        <w:rPr>
          <w:rFonts w:hint="eastAsia" w:ascii="仿宋_GB2312" w:eastAsia="仿宋_GB2312" w:cs="Times New Roman"/>
          <w:color w:val="000000"/>
          <w:kern w:val="0"/>
          <w:sz w:val="32"/>
          <w:szCs w:val="32"/>
        </w:rPr>
        <w:t>填列单位为完成特定的行政工作任务或事业发展目标，在基本支出之外发生的各项支出</w:t>
      </w:r>
    </w:p>
    <w:p w14:paraId="5ED85274">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（九）基本建设支出：</w:t>
      </w:r>
      <w:r>
        <w:rPr>
          <w:rFonts w:hint="eastAsia" w:ascii="仿宋_GB2312"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35254971">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（十）其他资本性支出：</w:t>
      </w:r>
      <w:r>
        <w:rPr>
          <w:rFonts w:hint="eastAsia" w:ascii="仿宋_GB2312"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9920D07">
      <w:pPr>
        <w:snapToGrid w:val="0"/>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（十一）“三公”经费：</w:t>
      </w:r>
      <w:r>
        <w:rPr>
          <w:rFonts w:hint="eastAsia" w:ascii="仿宋_GB2312"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F1F7A53">
      <w:pPr>
        <w:snapToGrid w:val="0"/>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（十二）其他交通费用：</w:t>
      </w:r>
      <w:r>
        <w:rPr>
          <w:rFonts w:hint="eastAsia" w:ascii="仿宋_GB2312"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291C40B">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（十三）公务用车购置：</w:t>
      </w:r>
      <w:r>
        <w:rPr>
          <w:rFonts w:hint="eastAsia" w:ascii="仿宋_GB2312" w:eastAsia="仿宋_GB2312" w:cs="Times New Roman"/>
          <w:color w:val="000000"/>
          <w:kern w:val="0"/>
          <w:sz w:val="32"/>
          <w:szCs w:val="32"/>
        </w:rPr>
        <w:t>填列单位公务用车车辆购置支出（含车辆购置税、牌照费）。</w:t>
      </w:r>
    </w:p>
    <w:p w14:paraId="657FB584">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（十四）其他交通工具购置：</w:t>
      </w:r>
      <w:r>
        <w:rPr>
          <w:rFonts w:hint="eastAsia" w:ascii="仿宋_GB2312" w:eastAsia="仿宋_GB2312" w:cs="Times New Roman"/>
          <w:color w:val="000000"/>
          <w:kern w:val="0"/>
          <w:sz w:val="32"/>
          <w:szCs w:val="32"/>
        </w:rPr>
        <w:t>填列单位除公务用车外的其他各类交通工具（如船舶、飞机等）购置支出（含车辆购置税、牌照费）。</w:t>
      </w:r>
    </w:p>
    <w:p w14:paraId="3165CACE">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（十五）机关运行经费：</w:t>
      </w:r>
      <w:r>
        <w:rPr>
          <w:rFonts w:hint="eastAsia" w:ascii="仿宋_GB2312"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84B1734">
      <w:pPr>
        <w:tabs>
          <w:tab w:val="left" w:pos="235"/>
        </w:tabs>
        <w:spacing w:line="600" w:lineRule="exact"/>
        <w:ind w:firstLine="643" w:firstLineChars="200"/>
        <w:jc w:val="left"/>
        <w:rPr>
          <w:rFonts w:ascii="仿宋_GB2312" w:eastAsia="仿宋_GB2312" w:cs="Arial Black"/>
          <w:kern w:val="0"/>
          <w:sz w:val="32"/>
          <w:szCs w:val="32"/>
        </w:rPr>
      </w:pPr>
      <w:r>
        <w:rPr>
          <w:rFonts w:hint="eastAsia" w:ascii="仿宋_GB2312" w:eastAsia="仿宋_GB2312" w:cs="Times New Roman"/>
          <w:b/>
          <w:bCs/>
          <w:color w:val="000000"/>
          <w:kern w:val="0"/>
          <w:sz w:val="32"/>
          <w:szCs w:val="32"/>
        </w:rPr>
        <w:t>（十六）经费形式:</w:t>
      </w:r>
      <w:r>
        <w:rPr>
          <w:rFonts w:hint="eastAsia" w:ascii="仿宋_GB2312" w:eastAsia="仿宋_GB2312" w:cs="Times New Roman"/>
          <w:color w:val="000000"/>
          <w:kern w:val="0"/>
          <w:sz w:val="32"/>
          <w:szCs w:val="32"/>
        </w:rPr>
        <w:t>按照经费来源，</w:t>
      </w:r>
      <w:r>
        <w:rPr>
          <w:rFonts w:hint="eastAsia" w:ascii="仿宋_GB2312" w:eastAsia="仿宋_GB2312" w:cs="Arial Black"/>
          <w:kern w:val="0"/>
          <w:sz w:val="32"/>
          <w:szCs w:val="32"/>
        </w:rPr>
        <w:t>可分为财政拨款、财政性资金基本保证、财政性资金定额或定项补助、财政性资金零补助四类。</w:t>
      </w:r>
    </w:p>
    <w:p w14:paraId="35468B21">
      <w:pPr>
        <w:tabs>
          <w:tab w:val="left" w:pos="235"/>
        </w:tabs>
        <w:spacing w:line="600" w:lineRule="exact"/>
        <w:ind w:firstLine="640" w:firstLineChars="200"/>
        <w:jc w:val="left"/>
        <w:rPr>
          <w:rFonts w:ascii="仿宋_GB2312" w:eastAsia="仿宋_GB2312" w:cs="Arial Black"/>
          <w:kern w:val="0"/>
          <w:sz w:val="32"/>
          <w:szCs w:val="32"/>
        </w:rPr>
      </w:pPr>
    </w:p>
    <w:p w14:paraId="41477396">
      <w:pPr>
        <w:tabs>
          <w:tab w:val="left" w:pos="235"/>
        </w:tabs>
        <w:spacing w:line="600" w:lineRule="exact"/>
        <w:ind w:firstLine="640" w:firstLineChars="200"/>
        <w:jc w:val="left"/>
        <w:rPr>
          <w:rFonts w:ascii="仿宋_GB2312" w:eastAsia="仿宋_GB2312" w:cs="Arial Black"/>
          <w:kern w:val="0"/>
          <w:sz w:val="32"/>
          <w:szCs w:val="32"/>
        </w:rPr>
      </w:pPr>
    </w:p>
    <w:p w14:paraId="11793F9C">
      <w:pPr>
        <w:tabs>
          <w:tab w:val="left" w:pos="235"/>
        </w:tabs>
        <w:spacing w:line="600" w:lineRule="exact"/>
        <w:ind w:firstLine="640" w:firstLineChars="200"/>
        <w:jc w:val="left"/>
        <w:rPr>
          <w:rFonts w:ascii="仿宋_GB2312" w:eastAsia="仿宋_GB2312" w:cs="Arial Black"/>
          <w:kern w:val="0"/>
          <w:sz w:val="32"/>
          <w:szCs w:val="32"/>
        </w:rPr>
      </w:pPr>
    </w:p>
    <w:p w14:paraId="7EC9C12C">
      <w:pPr>
        <w:tabs>
          <w:tab w:val="left" w:pos="235"/>
        </w:tabs>
        <w:spacing w:line="600" w:lineRule="exact"/>
        <w:ind w:firstLine="640" w:firstLineChars="200"/>
        <w:jc w:val="left"/>
        <w:rPr>
          <w:rFonts w:ascii="仿宋_GB2312" w:eastAsia="仿宋_GB2312" w:cs="Arial Black"/>
          <w:kern w:val="0"/>
          <w:sz w:val="32"/>
          <w:szCs w:val="32"/>
        </w:rPr>
      </w:pPr>
    </w:p>
    <w:p w14:paraId="04A6E585">
      <w:pPr>
        <w:tabs>
          <w:tab w:val="left" w:pos="235"/>
        </w:tabs>
        <w:spacing w:line="600" w:lineRule="exact"/>
        <w:ind w:firstLine="640" w:firstLineChars="200"/>
        <w:jc w:val="left"/>
        <w:rPr>
          <w:rFonts w:ascii="仿宋_GB2312" w:eastAsia="仿宋_GB2312" w:cs="Arial Black"/>
          <w:kern w:val="0"/>
          <w:sz w:val="32"/>
          <w:szCs w:val="32"/>
        </w:rPr>
      </w:pPr>
    </w:p>
    <w:p w14:paraId="42E2F80B">
      <w:pPr>
        <w:tabs>
          <w:tab w:val="left" w:pos="235"/>
        </w:tabs>
        <w:spacing w:line="600" w:lineRule="exact"/>
        <w:ind w:firstLine="640" w:firstLineChars="200"/>
        <w:jc w:val="left"/>
        <w:rPr>
          <w:rFonts w:ascii="仿宋_GB2312" w:eastAsia="仿宋_GB2312" w:cs="Arial Black"/>
          <w:kern w:val="0"/>
          <w:sz w:val="32"/>
          <w:szCs w:val="32"/>
        </w:rPr>
      </w:pPr>
    </w:p>
    <w:p w14:paraId="2A4C0A33">
      <w:pPr>
        <w:tabs>
          <w:tab w:val="left" w:pos="235"/>
        </w:tabs>
        <w:spacing w:line="600" w:lineRule="exact"/>
        <w:ind w:firstLine="640" w:firstLineChars="200"/>
        <w:jc w:val="left"/>
        <w:rPr>
          <w:rFonts w:ascii="仿宋_GB2312" w:eastAsia="仿宋_GB2312" w:cs="Arial Black"/>
          <w:kern w:val="0"/>
          <w:sz w:val="32"/>
          <w:szCs w:val="32"/>
        </w:rPr>
      </w:pPr>
    </w:p>
    <w:p w14:paraId="0FC25C71">
      <w:pPr>
        <w:tabs>
          <w:tab w:val="left" w:pos="235"/>
        </w:tabs>
        <w:spacing w:line="600" w:lineRule="exact"/>
        <w:ind w:firstLine="640" w:firstLineChars="200"/>
        <w:jc w:val="left"/>
        <w:rPr>
          <w:rFonts w:ascii="仿宋_GB2312" w:eastAsia="仿宋_GB2312" w:cs="Arial Black"/>
          <w:kern w:val="0"/>
          <w:sz w:val="32"/>
          <w:szCs w:val="32"/>
        </w:rPr>
      </w:pPr>
    </w:p>
    <w:p w14:paraId="2EF69AA4">
      <w:pPr>
        <w:tabs>
          <w:tab w:val="left" w:pos="235"/>
        </w:tabs>
        <w:spacing w:line="600" w:lineRule="exact"/>
        <w:ind w:firstLine="640" w:firstLineChars="200"/>
        <w:jc w:val="left"/>
        <w:rPr>
          <w:rFonts w:ascii="仿宋_GB2312" w:eastAsia="仿宋_GB2312" w:cs="Arial Black"/>
          <w:kern w:val="0"/>
          <w:sz w:val="32"/>
          <w:szCs w:val="32"/>
        </w:rPr>
      </w:pPr>
    </w:p>
    <w:p w14:paraId="0A6997EE">
      <w:pPr>
        <w:tabs>
          <w:tab w:val="left" w:pos="235"/>
        </w:tabs>
        <w:spacing w:line="600" w:lineRule="exact"/>
        <w:ind w:firstLine="640" w:firstLineChars="200"/>
        <w:jc w:val="left"/>
        <w:rPr>
          <w:rFonts w:ascii="仿宋_GB2312" w:eastAsia="仿宋_GB2312" w:cs="Arial Black"/>
          <w:kern w:val="0"/>
          <w:sz w:val="32"/>
          <w:szCs w:val="32"/>
        </w:rPr>
      </w:pPr>
    </w:p>
    <w:p w14:paraId="56B4744F">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14:paraId="2490D878">
      <w:pPr>
        <w:rPr>
          <w:rFonts w:ascii="黑体" w:eastAsia="黑体" w:cs="黑体"/>
          <w:sz w:val="56"/>
          <w:szCs w:val="72"/>
        </w:rPr>
        <w:sectPr>
          <w:type w:val="continuous"/>
          <w:pgSz w:w="11906" w:h="16838"/>
          <w:pgMar w:top="2098" w:right="1531" w:bottom="1984" w:left="1531" w:header="851" w:footer="992" w:gutter="0"/>
          <w:pgNumType w:fmt="numberInDash"/>
          <w:cols w:space="720" w:num="1"/>
          <w:titlePg/>
          <w:docGrid w:type="lines" w:linePitch="312" w:charSpace="0"/>
        </w:sectPr>
      </w:pPr>
      <w:r>
        <w:rPr>
          <w:rFonts w:ascii="Calibri" w:hAnsi="Calibri" w:eastAsia="宋体" w:cs="Arial"/>
          <w:kern w:val="2"/>
          <w:sz w:val="72"/>
          <w:szCs w:val="24"/>
          <w:lang w:val="en-US" w:eastAsia="zh-CN" w:bidi="ar-SA"/>
        </w:rPr>
        <w:pict>
          <v:rect id="矩形 34" o:spid="_x0000_s1036" o:spt="1" style="position:absolute;left:0pt;margin-left:-80.9pt;margin-top:90.65pt;height:263.1pt;width:613.65pt;z-index:251665408;mso-width-relative:page;mso-height-relative:page;" fillcolor="#FFFFFF" filled="t" o:preferrelative="t" stroked="t" coordsize="21600,21600">
            <v:path/>
            <v:fill type="tile" on="t" color2="#FFFFFF" focussize="0,0" r:id="rId14"/>
            <v:stroke weight="1pt" color="#A5A5A5" color2="#FFFFFF" miterlimit="2"/>
            <v:imagedata gain="65536f" blacklevel="0f" gamma="0" o:title=""/>
            <o:lock v:ext="edit" position="f" selection="f" grouping="f" rotation="f" cropping="f" text="f" aspectratio="f"/>
            <v:textbox>
              <w:txbxContent>
                <w:p w14:paraId="3C4B44D3">
                  <w:pPr>
                    <w:widowControl/>
                    <w:jc w:val="center"/>
                    <w:rPr>
                      <w:rFonts w:ascii="黑体" w:eastAsia="黑体" w:cs="黑体"/>
                      <w:color w:val="000000"/>
                      <w:sz w:val="90"/>
                      <w:szCs w:val="90"/>
                    </w:rPr>
                  </w:pPr>
                  <w:r>
                    <w:rPr>
                      <w:rFonts w:hint="eastAsia" w:ascii="黑体" w:eastAsia="黑体" w:cs="黑体"/>
                      <w:color w:val="000000"/>
                      <w:sz w:val="90"/>
                      <w:szCs w:val="90"/>
                    </w:rPr>
                    <w:t xml:space="preserve">第四部分 </w:t>
                  </w:r>
                </w:p>
                <w:p w14:paraId="1D1BD335">
                  <w:pPr>
                    <w:widowControl/>
                    <w:jc w:val="center"/>
                  </w:pPr>
                  <w:r>
                    <w:rPr>
                      <w:rFonts w:hint="eastAsia" w:ascii="黑体" w:eastAsia="黑体" w:cs="黑体"/>
                      <w:color w:val="000000"/>
                      <w:sz w:val="90"/>
                      <w:szCs w:val="90"/>
                    </w:rPr>
                    <w:t>2020年度部门决算报表</w:t>
                  </w:r>
                </w:p>
                <w:p w14:paraId="1EFE077A"/>
              </w:txbxContent>
            </v:textbox>
          </v:rect>
        </w:pict>
      </w:r>
    </w:p>
    <w:p w14:paraId="5CD4FB46">
      <w:pPr>
        <w:tabs>
          <w:tab w:val="left" w:pos="235"/>
        </w:tabs>
        <w:spacing w:line="600" w:lineRule="exact"/>
        <w:ind w:firstLine="640" w:firstLineChars="200"/>
        <w:jc w:val="left"/>
        <w:rPr>
          <w:rFonts w:ascii="仿宋_GB2312" w:eastAsia="仿宋_GB2312" w:cs="Arial Black"/>
          <w:kern w:val="0"/>
          <w:sz w:val="32"/>
          <w:szCs w:val="32"/>
        </w:rPr>
      </w:pPr>
      <w:r>
        <w:rPr>
          <w:rFonts w:ascii="Calibri" w:hAnsi="Calibri" w:eastAsia="宋体" w:cs="Arial"/>
          <w:kern w:val="2"/>
          <w:sz w:val="32"/>
          <w:szCs w:val="24"/>
          <w:lang w:val="en-US" w:eastAsia="zh-CN" w:bidi="ar-SA"/>
        </w:rPr>
        <w:pict>
          <v:rect id="矩形 38" o:spid="_x0000_s1037" o:spt="1" style="position:absolute;left:0pt;margin-left:-78.2pt;margin-top:-106.6pt;height:842.2pt;width:601pt;z-index:251664384;mso-width-relative:page;mso-height-relative:page;" fillcolor="#BDD7EE" filled="t" o:preferrelative="t" stroked="f" coordsize="21600,21600">
            <v:path/>
            <v:fill on="t" focussize="0,0"/>
            <v:stroke on="f"/>
            <v:imagedata gain="65536f" blacklevel="0f" gamma="0" o:title=""/>
            <o:lock v:ext="edit" position="f" selection="f" grouping="f" rotation="f" cropping="f" text="f" aspectratio="f"/>
          </v:rect>
        </w:pic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Black">
    <w:panose1 w:val="020B0A04020102020204"/>
    <w:charset w:val="00"/>
    <w:family w:val="auto"/>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auto"/>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56F66">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324F4">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977A83">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91465">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B04B5">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69127">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DD80A">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4FC21">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7DF74">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954E4A"/>
    <w:multiLevelType w:val="multilevel"/>
    <w:tmpl w:val="14954E4A"/>
    <w:lvl w:ilvl="0" w:tentative="0">
      <w:start w:val="1"/>
      <w:numFmt w:val="decimal"/>
      <w:lvlText w:val="%1."/>
      <w:lvlJc w:val="left"/>
      <w:pPr>
        <w:tabs>
          <w:tab w:val="left" w:pos="0"/>
        </w:tabs>
        <w:ind w:left="1000" w:hanging="360"/>
      </w:pPr>
      <w:rPr>
        <w:rFonts w:hint="default" w:ascii="楷体_GB2312" w:hAnsi="楷体_GB2312" w:eastAsia="楷体_GB2312" w:cs="Mongolian Baiti"/>
        <w:b/>
        <w:bCs/>
        <w:i w:val="0"/>
        <w:iCs w:val="0"/>
      </w:rPr>
    </w:lvl>
    <w:lvl w:ilvl="1" w:tentative="0">
      <w:start w:val="1"/>
      <w:numFmt w:val="lowerLetter"/>
      <w:lvlText w:val="%2)"/>
      <w:lvlJc w:val="left"/>
      <w:pPr>
        <w:tabs>
          <w:tab w:val="left" w:pos="0"/>
        </w:tabs>
        <w:ind w:left="1480" w:hanging="420"/>
      </w:pPr>
    </w:lvl>
    <w:lvl w:ilvl="2" w:tentative="0">
      <w:start w:val="1"/>
      <w:numFmt w:val="lowerRoman"/>
      <w:lvlText w:val="%3."/>
      <w:lvlJc w:val="right"/>
      <w:pPr>
        <w:tabs>
          <w:tab w:val="left" w:pos="0"/>
        </w:tabs>
        <w:ind w:left="1900" w:hanging="420"/>
      </w:pPr>
    </w:lvl>
    <w:lvl w:ilvl="3" w:tentative="0">
      <w:start w:val="1"/>
      <w:numFmt w:val="decimal"/>
      <w:lvlText w:val="%4."/>
      <w:lvlJc w:val="left"/>
      <w:pPr>
        <w:tabs>
          <w:tab w:val="left" w:pos="0"/>
        </w:tabs>
        <w:ind w:left="2320" w:hanging="420"/>
      </w:pPr>
    </w:lvl>
    <w:lvl w:ilvl="4" w:tentative="0">
      <w:start w:val="1"/>
      <w:numFmt w:val="lowerLetter"/>
      <w:lvlText w:val="%5)"/>
      <w:lvlJc w:val="left"/>
      <w:pPr>
        <w:tabs>
          <w:tab w:val="left" w:pos="0"/>
        </w:tabs>
        <w:ind w:left="2740" w:hanging="420"/>
      </w:pPr>
    </w:lvl>
    <w:lvl w:ilvl="5" w:tentative="0">
      <w:start w:val="1"/>
      <w:numFmt w:val="lowerRoman"/>
      <w:lvlText w:val="%6."/>
      <w:lvlJc w:val="right"/>
      <w:pPr>
        <w:tabs>
          <w:tab w:val="left" w:pos="0"/>
        </w:tabs>
        <w:ind w:left="3160" w:hanging="420"/>
      </w:pPr>
    </w:lvl>
    <w:lvl w:ilvl="6" w:tentative="0">
      <w:start w:val="1"/>
      <w:numFmt w:val="decimal"/>
      <w:lvlText w:val="%7."/>
      <w:lvlJc w:val="left"/>
      <w:pPr>
        <w:tabs>
          <w:tab w:val="left" w:pos="0"/>
        </w:tabs>
        <w:ind w:left="3580" w:hanging="420"/>
      </w:pPr>
    </w:lvl>
    <w:lvl w:ilvl="7" w:tentative="0">
      <w:start w:val="1"/>
      <w:numFmt w:val="lowerLetter"/>
      <w:lvlText w:val="%8)"/>
      <w:lvlJc w:val="left"/>
      <w:pPr>
        <w:tabs>
          <w:tab w:val="left" w:pos="0"/>
        </w:tabs>
        <w:ind w:left="4000" w:hanging="420"/>
      </w:pPr>
    </w:lvl>
    <w:lvl w:ilvl="8" w:tentative="0">
      <w:start w:val="1"/>
      <w:numFmt w:val="lowerRoman"/>
      <w:lvlText w:val="%9."/>
      <w:lvlJc w:val="right"/>
      <w:pPr>
        <w:tabs>
          <w:tab w:val="left" w:pos="0"/>
        </w:tabs>
        <w:ind w:left="4420" w:hanging="420"/>
      </w:pPr>
    </w:lvl>
  </w:abstractNum>
  <w:abstractNum w:abstractNumId="1">
    <w:nsid w:val="19594D9E"/>
    <w:multiLevelType w:val="multilevel"/>
    <w:tmpl w:val="19594D9E"/>
    <w:lvl w:ilvl="0" w:tentative="0">
      <w:start w:val="1"/>
      <w:numFmt w:val="decimal"/>
      <w:lvlText w:val="%1）"/>
      <w:lvlJc w:val="left"/>
      <w:pPr>
        <w:tabs>
          <w:tab w:val="left" w:pos="0"/>
        </w:tabs>
        <w:ind w:left="1127" w:hanging="487"/>
      </w:pPr>
    </w:lvl>
    <w:lvl w:ilvl="1" w:tentative="0">
      <w:start w:val="1"/>
      <w:numFmt w:val="lowerLetter"/>
      <w:lvlText w:val="%2)"/>
      <w:lvlJc w:val="left"/>
      <w:pPr>
        <w:tabs>
          <w:tab w:val="left" w:pos="0"/>
        </w:tabs>
        <w:ind w:left="1480" w:hanging="420"/>
      </w:pPr>
    </w:lvl>
    <w:lvl w:ilvl="2" w:tentative="0">
      <w:start w:val="1"/>
      <w:numFmt w:val="lowerRoman"/>
      <w:lvlText w:val="%3."/>
      <w:lvlJc w:val="right"/>
      <w:pPr>
        <w:tabs>
          <w:tab w:val="left" w:pos="0"/>
        </w:tabs>
        <w:ind w:left="1900" w:hanging="420"/>
      </w:pPr>
    </w:lvl>
    <w:lvl w:ilvl="3" w:tentative="0">
      <w:start w:val="1"/>
      <w:numFmt w:val="decimal"/>
      <w:lvlText w:val="%4."/>
      <w:lvlJc w:val="left"/>
      <w:pPr>
        <w:tabs>
          <w:tab w:val="left" w:pos="0"/>
        </w:tabs>
        <w:ind w:left="2320" w:hanging="420"/>
      </w:pPr>
    </w:lvl>
    <w:lvl w:ilvl="4" w:tentative="0">
      <w:start w:val="1"/>
      <w:numFmt w:val="lowerLetter"/>
      <w:lvlText w:val="%5)"/>
      <w:lvlJc w:val="left"/>
      <w:pPr>
        <w:tabs>
          <w:tab w:val="left" w:pos="0"/>
        </w:tabs>
        <w:ind w:left="2740" w:hanging="420"/>
      </w:pPr>
    </w:lvl>
    <w:lvl w:ilvl="5" w:tentative="0">
      <w:start w:val="1"/>
      <w:numFmt w:val="lowerRoman"/>
      <w:lvlText w:val="%6."/>
      <w:lvlJc w:val="right"/>
      <w:pPr>
        <w:tabs>
          <w:tab w:val="left" w:pos="0"/>
        </w:tabs>
        <w:ind w:left="3160" w:hanging="420"/>
      </w:pPr>
    </w:lvl>
    <w:lvl w:ilvl="6" w:tentative="0">
      <w:start w:val="1"/>
      <w:numFmt w:val="decimal"/>
      <w:lvlText w:val="%7."/>
      <w:lvlJc w:val="left"/>
      <w:pPr>
        <w:tabs>
          <w:tab w:val="left" w:pos="0"/>
        </w:tabs>
        <w:ind w:left="3580" w:hanging="420"/>
      </w:pPr>
    </w:lvl>
    <w:lvl w:ilvl="7" w:tentative="0">
      <w:start w:val="1"/>
      <w:numFmt w:val="lowerLetter"/>
      <w:lvlText w:val="%8)"/>
      <w:lvlJc w:val="left"/>
      <w:pPr>
        <w:tabs>
          <w:tab w:val="left" w:pos="0"/>
        </w:tabs>
        <w:ind w:left="4000" w:hanging="420"/>
      </w:pPr>
    </w:lvl>
    <w:lvl w:ilvl="8" w:tentative="0">
      <w:start w:val="1"/>
      <w:numFmt w:val="lowerRoman"/>
      <w:lvlText w:val="%9."/>
      <w:lvlJc w:val="right"/>
      <w:pPr>
        <w:tabs>
          <w:tab w:val="left" w:pos="0"/>
        </w:tabs>
        <w:ind w:left="4420" w:hanging="420"/>
      </w:pPr>
    </w:lvl>
  </w:abstractNum>
  <w:abstractNum w:abstractNumId="2">
    <w:nsid w:val="436BA9AD"/>
    <w:multiLevelType w:val="multilevel"/>
    <w:tmpl w:val="436BA9AD"/>
    <w:lvl w:ilvl="0" w:tentative="0">
      <w:start w:val="1"/>
      <w:numFmt w:val="decimal"/>
      <w:lvlText w:val="%1."/>
      <w:lvlJc w:val="left"/>
      <w:pPr>
        <w:tabs>
          <w:tab w:val="left" w:pos="0"/>
        </w:tabs>
        <w:ind w:left="360" w:hanging="360"/>
      </w:p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abstractNum w:abstractNumId="3">
    <w:nsid w:val="45DB9A87"/>
    <w:multiLevelType w:val="singleLevel"/>
    <w:tmpl w:val="45DB9A87"/>
    <w:lvl w:ilvl="0" w:tentative="0">
      <w:start w:val="3"/>
      <w:numFmt w:val="chineseCounting"/>
      <w:suff w:val="nothing"/>
      <w:lvlText w:val="（%1）"/>
      <w:lvlJc w:val="left"/>
      <w:pPr>
        <w:tabs>
          <w:tab w:val="left" w:pos="0"/>
        </w:tabs>
        <w:ind w:left="0" w:firstLine="0"/>
      </w:pPr>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growAutofit/>
    <w:useFELayout/>
    <w:useNormalStyleForList/>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1F4710A3"/>
    <w:rsid w:val="799B431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widowControl w:val="0"/>
      <w:spacing w:before="340" w:after="330" w:line="578" w:lineRule="auto"/>
      <w:outlineLvl w:val="0"/>
    </w:pPr>
    <w:rPr>
      <w:b/>
      <w:bCs/>
      <w:kern w:val="44"/>
      <w:sz w:val="44"/>
      <w:szCs w:val="44"/>
    </w:rPr>
  </w:style>
  <w:style w:type="character" w:default="1" w:styleId="6">
    <w:name w:val="Default Paragraph Font"/>
    <w:uiPriority w:val="0"/>
  </w:style>
  <w:style w:type="table" w:default="1" w:styleId="5">
    <w:name w:val="Normal Table"/>
    <w:unhideWhenUsed/>
    <w:uiPriority w:val="99"/>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5"/>
    <customShpInfo spid="_x0000_s1036"/>
    <customShpInfo spid="_x0000_s103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22</Pages>
  <Words>1926</Words>
  <Characters>2220</Characters>
  <Lines>462</Lines>
  <Paragraphs>159</Paragraphs>
  <TotalTime>1</TotalTime>
  <ScaleCrop>false</ScaleCrop>
  <LinksUpToDate>false</LinksUpToDate>
  <CharactersWithSpaces>2243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沫小兜</cp:lastModifiedBy>
  <dcterms:modified xsi:type="dcterms:W3CDTF">2026-06-03T02:17:38Z</dcterms:modified>
  <dc:title>_x000F_</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65FA352BAB5146309CB066C800874C19</vt:lpwstr>
  </property>
  <property fmtid="{D5CDD505-2E9C-101B-9397-08002B2CF9AE}" pid="4" name="KSOTemplateDocerSaveRecord">
    <vt:lpwstr>eyJoZGlkIjoiODgxYmVkZTJkNjdhMGRkODUyNjAxZGY4N2ExYzQyNzUiLCJ1c2VySWQiOiI2NTEyNzM5NjgifQ==</vt:lpwstr>
  </property>
</Properties>
</file>