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DB9770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</w:p>
    <w:p w14:paraId="5CD365FA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</w:p>
    <w:p w14:paraId="7503FC7B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8"/>
          <w:rFonts w:hint="default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val="en-US" w:eastAsia="zh-CN"/>
        </w:rPr>
      </w:pPr>
      <w:r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  <w:t>石家庄</w:t>
      </w:r>
      <w:r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val="en-US" w:eastAsia="zh-CN"/>
        </w:rPr>
        <w:t>市栾城区人力资源和社会保障局</w:t>
      </w:r>
    </w:p>
    <w:p w14:paraId="21AC56BF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  <w:r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  <w:lang w:val="en-US" w:eastAsia="zh-CN"/>
        </w:rPr>
        <w:t>监管工作实施方案</w:t>
      </w:r>
    </w:p>
    <w:p w14:paraId="5AF099D3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/>
          <w:i w:val="0"/>
          <w:iCs w:val="0"/>
          <w:caps w:val="0"/>
          <w:color w:val="0F1115"/>
          <w:spacing w:val="0"/>
          <w:sz w:val="44"/>
          <w:szCs w:val="44"/>
          <w:shd w:val="clear" w:fill="FFFFFF"/>
        </w:rPr>
      </w:pPr>
    </w:p>
    <w:p w14:paraId="4657D24D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bookmarkStart w:id="0" w:name="_GoBack"/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为深入贯彻落实党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中央、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国务院、省委省政府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市委市政府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和区委区政府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关于优化营商环境的决策部署，全面落实《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石家庄市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2026年“双随机、一公开”监管工作实施方案》各项要求，进一步规范涉企行政检查，提升监管效能，营造公平有序的市场环境，结合我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区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实际，制定本方案。</w:t>
      </w:r>
    </w:p>
    <w:p w14:paraId="40B55008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8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一、工作目标</w:t>
      </w:r>
    </w:p>
    <w:p w14:paraId="253181AA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 xml:space="preserve">持续规范人社领域涉企行政检查，提升劳动保障监察、用工监管等行政检查效能，深入推进人社领域“双随机、一公开”监管常态化、精细化。推动人社局内部业务联合抽查和跨部门联合监管抽查常态化落地，彻底规避重复检查、多头检查、随意检查问题；大力推行非现场监管检查，最大限度减少入企现场检查频次；深化用人单位信用风险分类管理，精准实施差异化、靶向化抽查监管，严格落实监管容错与惩戒机制，切实实现对守法守信企业“无事不扰”，对违法失信企业“无处不在、从严监管”，持续优化辖区营商环境，规范人力资源市场秩序。 </w:t>
      </w:r>
    </w:p>
    <w:p w14:paraId="4F757D70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8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二、主要任务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 xml:space="preserve"> </w:t>
      </w:r>
    </w:p>
    <w:p w14:paraId="0ADC7F22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（一）优化完善工作平台运用</w:t>
      </w:r>
    </w:p>
    <w:p w14:paraId="40CED139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加强河北省双随机执法监管平台（以下简称省监管平台）实操培训，覆盖全局所有执法检查、稽核经办人员，确保人社领域劳动用工检查、劳务派遣监管、人力资源服务机构检查等所有行政检查流程全过程规范、高效、准确录入。实现检查发现问题、整改处置、违法查处、结果公示、信用惩戒、信用修复等各环节无缝衔接，构建“检查—处置—公示—整改—修复”的全流程闭环监管体系，提升人社监管规范化、数字化水平。</w:t>
      </w:r>
    </w:p>
    <w:p w14:paraId="29275F4A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（二）规范管理“一单两库”</w:t>
      </w:r>
    </w:p>
    <w:p w14:paraId="198660B0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1. 动态更新抽查事项清单：严格依据人社领域法律法规立改废释、上级清单调整情况，动态梳理、调整并公示本级人社系统随机抽查事项清单。重点明确劳动保障监察、社会保险参保缴费、工资支付、劳务派遣经营、职业培训、人力资源服务等抽查事项的法定依据、检查内容、核查标准、工作要求，确保清单合法合规、贴合辖区监管实际。</w:t>
      </w:r>
    </w:p>
    <w:p w14:paraId="09A3A81C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2. 精准维护检查对象名录库：及时在省监管平台认领辖区新增企业、个体工商户、劳务派遣机构、人力资源服务机构、培训机构等监管对象，实行分类、标签化精细化管理。结合用人单位劳动保障信用风险分类、历年违法违规记录、行业风险等级进行精准标注，实现监管对象快速检索、精准分类、靶向监管。</w:t>
      </w:r>
    </w:p>
    <w:p w14:paraId="4F11D0F4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3. 优化执法人员名录库：常态化更新人社执法检查、稽核工作人员信息，根据劳动用工监察、社保稽核、新业态监管、劳务派遣核查等业务专长、执法资质、岗位权限、执法回避范围进行精细化分类标注，实现抽查任务与执法人员“人岗匹配、专事专办”，提升检查专业性和精准度。</w:t>
      </w:r>
    </w:p>
    <w:p w14:paraId="161D883D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（三）科学制定与实施抽查计划</w:t>
      </w:r>
    </w:p>
    <w:p w14:paraId="391A6AD3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1. 统筹制定计划：严格依据市局工作部署、人社法定监管职责，结合辖区企业行业分布、用工规模、劳资纠纷发生率、社保风险隐患等实际情况，科学制定年度“双随机、一公开”抽查工作计划，并及时向社会公开公示。辖区企业年度抽查比例不低于全区企业总数的3%，个体工商户、民办培训机构等主体抽查比例结合年度重点工作、风险形势合理确定。</w:t>
      </w:r>
    </w:p>
    <w:p w14:paraId="4479FAAB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2. 规范组织实施：严格落实入企检查规范，全面执行“扫码入企”制度，执法人员持证上岗、亮证执法，主动告知企业检查事项、依据、权利义务，自觉接受企业监督评价。严格对照年度抽查计划时限要求推进检查工作，压实工作责任，杜绝抽查任务超期积压、拖延滞后等问题。</w:t>
      </w:r>
    </w:p>
    <w:p w14:paraId="65D505EE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3. 强化结果处置与闭环衔接：对用工检查、社保稽核等检查结果严格依法依规认定，做到事实清楚、证据确凿、程序规范、定性准确。重点规范经营异常、用工异常、社保异常、失联企业的核查认定流程，严格按照人社执法相关规章标准完成核查、记录、公示工作。对检查发现的拖欠工资、未参保缴费、违规用工、劳务派遣不规范等违法行为，依法督促整改、立案查处，同步落实信用公示、联合惩戒、后续跟踪监管措施，实现监管闭环管理。</w:t>
      </w:r>
    </w:p>
    <w:p w14:paraId="2BBD59D1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（四）深化联合抽查与差异化监管</w:t>
      </w:r>
    </w:p>
    <w:p w14:paraId="6A31CD64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坚持“应合尽合、应联尽联”工作原则，统筹推进局内劳动监察、就业培训等业务股室联合抽查，积极对接市场监管、行政审批、住建等部门开展跨部门联合监管。深化“一业一查”联合监管模式，减少多头入户检查。严格依据用人单位劳动保障信用风险分类结果实施差异化监管：对信用等级高、无违法违规记录、用工规范的企业，除法定专项检查外，本年度原则上不重复抽查；对信用风险较高、劳资投诉多发、社保违规频发、存在重大用工隐患的企业，大幅提高抽查比例、增加检查频次，实施重点监管。</w:t>
      </w:r>
    </w:p>
    <w:p w14:paraId="2FFF2286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（五）推行非现场检查</w:t>
      </w:r>
    </w:p>
    <w:p w14:paraId="5014230E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针对社会保险参保缴费核查、用工台账核查、工资支付台账核验、公示信息核查等可依托数据监管的事项，全面推行非现场检查监管模式。依托社保大数据、用工备案系统、投诉举报数据等资源，通过远程数据比对、系统自动校验、风险数据预警、线上资料审核等方式开展监管核查。逐步健全人社领域非现场检查工作流程、核查标准和管理规则，持</w:t>
      </w:r>
    </w:p>
    <w:p w14:paraId="5F510291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续降低现场检查占比，最大限度减少对企业正常生产经营的干扰。</w:t>
      </w:r>
    </w:p>
    <w:p w14:paraId="5E89AABE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 xml:space="preserve">（六）开展风险靶向抽查 </w:t>
      </w:r>
    </w:p>
    <w:p w14:paraId="2708846F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 xml:space="preserve">聚焦劳资纠纷投诉举报、日常监管排查发现的高频、多发人社领域风险隐患，常态化开展靶向专项抽查。重点紧盯零申报社保、用工台账缺失、工资支付异常、建筑行业欠薪风险、劳务派遣违规经营、新业态用工不规范等重点风险线索，依法从严开展核查处置、整改督办和信用惩戒，有效防范化解辖区劳资领域区域性、行业性风险隐患。 </w:t>
      </w:r>
    </w:p>
    <w:p w14:paraId="0B17A7F5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 w:firstLine="640" w:firstLineChars="200"/>
        <w:textAlignment w:val="auto"/>
        <w:rPr>
          <w:rStyle w:val="8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</w:pPr>
      <w:r>
        <w:rPr>
          <w:rStyle w:val="8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 xml:space="preserve">三、工作要求 </w:t>
      </w:r>
    </w:p>
    <w:p w14:paraId="49356631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（一）加强统筹协调与督导</w:t>
      </w:r>
    </w:p>
    <w:p w14:paraId="0DE1BDC1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 xml:space="preserve">定期开展人社领域双随机抽查回访、基层调研和工作督导。对抽查工作流于形式、核查走过场、检查结果随意录入、问题处置不到位等问题，依规通报并督促限期整改。局机关各业务股室需强化本条线抽查工作业务指导，常态化梳理工作难点、解答基层疑问，统筹推进全局双随机监管工作提质增效。 </w:t>
      </w:r>
    </w:p>
    <w:p w14:paraId="56B6BEF0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 xml:space="preserve">（二）严肃检查纪律 </w:t>
      </w:r>
    </w:p>
    <w:p w14:paraId="37B483BA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 xml:space="preserve">严格落实涉企行政检查“五个严禁”“八个不得”工作要求，坚决杜绝任性执法、选择性检查、运动式检查、变相多头检查等违规行为。对随意录入、擅自修改检查结果、超期未完成抽查任务、执法不规范的股室及个人，将按照省市局工作要求依规约谈提醒、追责问责，筑牢人社公正规范执法底线。 </w:t>
      </w:r>
    </w:p>
    <w:p w14:paraId="1FDC8E2D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 xml:space="preserve">（三）及时反馈报送 </w:t>
      </w:r>
    </w:p>
    <w:p w14:paraId="7695D317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严格对照市、区局工作部署和时限要求，常态化梳理汇总双随机抽查工作进展、检查数据、问题整改情况、典型执法案例和创新经验做法，按时保质完成材料报送工作。对监管平台使用、抽查流程实施、日常监管中发现的难点问题、漏洞短板及优化建议，及时梳理汇总、向上级主管部门反馈，持续优化完善人社领域双随机监管工作机制。</w:t>
      </w:r>
    </w:p>
    <w:p w14:paraId="721818DA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</w:p>
    <w:p w14:paraId="200987BE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</w:p>
    <w:p w14:paraId="43090E17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2240" w:firstLineChars="700"/>
        <w:jc w:val="righ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石家庄市栾城区人力资源和社会保障局</w:t>
      </w:r>
    </w:p>
    <w:p w14:paraId="1F596D89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3840" w:firstLineChars="1200"/>
        <w:jc w:val="righ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 xml:space="preserve">2026年5月11日       </w:t>
      </w:r>
    </w:p>
    <w:bookmarkEnd w:id="0"/>
    <w:p w14:paraId="7657D893">
      <w:pPr>
        <w:pStyle w:val="5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5A7F5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F00DDF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CF00DDF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ZjY2UzZWFhNzI0NDM1NzYxNTU4OGJiNGExYWY2NDQifQ=="/>
  </w:docVars>
  <w:rsids>
    <w:rsidRoot w:val="4E1F3198"/>
    <w:rsid w:val="0E1D4B35"/>
    <w:rsid w:val="0E945A78"/>
    <w:rsid w:val="1E237E7E"/>
    <w:rsid w:val="24647022"/>
    <w:rsid w:val="24845F66"/>
    <w:rsid w:val="26E47F8F"/>
    <w:rsid w:val="39A673A1"/>
    <w:rsid w:val="3CFE3C20"/>
    <w:rsid w:val="46580B41"/>
    <w:rsid w:val="4E1F3198"/>
    <w:rsid w:val="51611D91"/>
    <w:rsid w:val="552E632C"/>
    <w:rsid w:val="5A6331F7"/>
    <w:rsid w:val="5E2152FD"/>
    <w:rsid w:val="601F7341"/>
    <w:rsid w:val="623C2A2E"/>
    <w:rsid w:val="6682703B"/>
    <w:rsid w:val="6B1B3A43"/>
    <w:rsid w:val="72414F83"/>
    <w:rsid w:val="72606732"/>
    <w:rsid w:val="72B6017C"/>
    <w:rsid w:val="76101441"/>
    <w:rsid w:val="79052B9F"/>
    <w:rsid w:val="7CDD2B6E"/>
    <w:rsid w:val="7D0E7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rPr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2584</Words>
  <Characters>2598</Characters>
  <Lines>0</Lines>
  <Paragraphs>0</Paragraphs>
  <TotalTime>1</TotalTime>
  <ScaleCrop>false</ScaleCrop>
  <LinksUpToDate>false</LinksUpToDate>
  <CharactersWithSpaces>2613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2026-02-04T02:48:00Z</dcterms:created>
  <dc:creator>宁森淼</dc:creator>
  <cp:lastModifiedBy>ZLA</cp:lastModifiedBy>
  <cp:lastPrinted>2026-02-11T01:12:00Z</cp:lastPrinted>
  <dcterms:modified xsi:type="dcterms:W3CDTF">2026-06-04T03:34:13Z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4F025488FFD14C499FB636E0CE01F3A8_13</vt:lpwstr>
  </property>
  <property fmtid="{D5CDD505-2E9C-101B-9397-08002B2CF9AE}" pid="4" name="KSOTemplateDocerSaveRecord">
    <vt:lpwstr>eyJoZGlkIjoiODlkYTk3ODA0MjI3YWI1NTExODY0YmIxOTc2Y2RhMGYiLCJ1c2VySWQiOiI0Mzg2ODM4NjAifQ==</vt:lpwstr>
  </property>
</Properties>
</file>