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wmf" ContentType="image/wmf"/>
  <Default Extension="bin" ContentType="application/vnd.openxmlformats-officedocument.oleObject"/>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val="0"/>
        <w:snapToGrid w:val="0"/>
        <w:spacing w:line="288" w:lineRule="auto"/>
        <w:ind w:firstLineChars="0" w:firstLine="0"/>
        <w:jc w:val="center"/>
        <w:textAlignment w:val="auto"/>
        <w:rPr>
          <w:rFonts w:eastAsia="华文仿宋"/>
          <w:color w:val="auto"/>
          <w:kern w:val="44"/>
          <w:sz w:val="44"/>
          <w:szCs w:val="44"/>
        </w:rPr>
      </w:pPr>
    </w:p>
    <w:p>
      <w:pPr>
        <w:keepNext w:val="0"/>
        <w:keepLines w:val="0"/>
        <w:pageBreakBefore w:val="0"/>
        <w:widowControl w:val="0"/>
        <w:kinsoku/>
        <w:wordWrap/>
        <w:overflowPunct/>
        <w:topLinePunct w:val="0"/>
        <w:autoSpaceDE/>
        <w:autoSpaceDN/>
        <w:bidi w:val="0"/>
        <w:adjustRightInd w:val="0"/>
        <w:snapToGrid w:val="0"/>
        <w:spacing w:line="288" w:lineRule="auto"/>
        <w:ind w:firstLineChars="0" w:firstLine="0"/>
        <w:jc w:val="center"/>
        <w:textAlignment w:val="auto"/>
        <w:rPr>
          <w:rFonts w:eastAsia="华文仿宋"/>
          <w:color w:val="auto"/>
          <w:kern w:val="44"/>
          <w:sz w:val="44"/>
          <w:szCs w:val="44"/>
        </w:rPr>
      </w:pPr>
    </w:p>
    <w:p>
      <w:pPr>
        <w:keepNext w:val="0"/>
        <w:keepLines w:val="0"/>
        <w:pageBreakBefore w:val="0"/>
        <w:widowControl w:val="0"/>
        <w:kinsoku/>
        <w:wordWrap/>
        <w:overflowPunct/>
        <w:topLinePunct w:val="0"/>
        <w:autoSpaceDE/>
        <w:autoSpaceDN/>
        <w:bidi w:val="0"/>
        <w:adjustRightInd w:val="0"/>
        <w:snapToGrid w:val="0"/>
        <w:ind w:firstLineChars="0" w:firstLine="0"/>
        <w:jc w:val="center"/>
        <w:textAlignment w:val="auto"/>
        <w:outlineLvl w:val="0"/>
        <w:rPr>
          <w:rFonts w:ascii="宋体" w:cs="宋体" w:hAnsi="宋体"/>
          <w:bCs/>
          <w:color w:val="auto"/>
          <w:sz w:val="72"/>
          <w:szCs w:val="72"/>
        </w:rPr>
      </w:pPr>
      <w:r>
        <w:rPr>
          <w:rFonts w:ascii="宋体" w:cs="宋体" w:hAnsi="宋体" w:hint="eastAsia"/>
          <w:bCs/>
          <w:color w:val="auto"/>
          <w:sz w:val="72"/>
          <w:szCs w:val="72"/>
        </w:rPr>
        <w:t>建设项目环境影响报告表</w:t>
      </w:r>
    </w:p>
    <w:p>
      <w:pPr>
        <w:keepNext w:val="0"/>
        <w:keepLines w:val="0"/>
        <w:pageBreakBefore w:val="0"/>
        <w:widowControl w:val="0"/>
        <w:kinsoku/>
        <w:wordWrap/>
        <w:overflowPunct/>
        <w:topLinePunct w:val="0"/>
        <w:autoSpaceDE/>
        <w:autoSpaceDN/>
        <w:bidi w:val="0"/>
        <w:adjustRightInd w:val="0"/>
        <w:snapToGrid w:val="0"/>
        <w:spacing w:beforeLines="80" w:before="192"/>
        <w:ind w:firstLineChars="0" w:firstLine="0"/>
        <w:jc w:val="center"/>
        <w:textAlignment w:val="auto"/>
        <w:rPr>
          <w:rFonts w:eastAsia="楷体_GB2312"/>
          <w:bCs/>
          <w:color w:val="auto"/>
          <w:sz w:val="48"/>
          <w:szCs w:val="48"/>
        </w:rPr>
      </w:pPr>
      <w:r>
        <w:rPr>
          <w:rFonts w:eastAsia="楷体_GB2312"/>
          <w:bCs/>
          <w:color w:val="auto"/>
          <w:sz w:val="48"/>
          <w:szCs w:val="48"/>
        </w:rPr>
        <w:t>（污染影响类）</w:t>
      </w:r>
    </w:p>
    <w:p>
      <w:pPr>
        <w:keepNext w:val="0"/>
        <w:keepLines w:val="0"/>
        <w:pageBreakBefore w:val="0"/>
        <w:widowControl w:val="0"/>
        <w:kinsoku/>
        <w:wordWrap/>
        <w:overflowPunct/>
        <w:topLinePunct w:val="0"/>
        <w:autoSpaceDE/>
        <w:autoSpaceDN/>
        <w:bidi w:val="0"/>
        <w:adjustRightInd w:val="0"/>
        <w:snapToGrid w:val="0"/>
        <w:spacing w:line="288" w:lineRule="auto"/>
        <w:ind w:firstLineChars="0" w:firstLine="0"/>
        <w:jc w:val="center"/>
        <w:textAlignment w:val="auto"/>
        <w:rPr>
          <w:rFonts w:eastAsia="华文仿宋"/>
          <w:color w:val="auto"/>
          <w:kern w:val="44"/>
          <w:sz w:val="44"/>
          <w:szCs w:val="44"/>
        </w:rPr>
      </w:pPr>
    </w:p>
    <w:p>
      <w:pPr>
        <w:keepNext w:val="0"/>
        <w:keepLines w:val="0"/>
        <w:pageBreakBefore w:val="0"/>
        <w:widowControl w:val="0"/>
        <w:kinsoku/>
        <w:wordWrap/>
        <w:overflowPunct/>
        <w:topLinePunct w:val="0"/>
        <w:autoSpaceDE/>
        <w:autoSpaceDN/>
        <w:bidi w:val="0"/>
        <w:ind w:firstLineChars="0" w:firstLine="0"/>
        <w:jc w:val="center"/>
        <w:textAlignment w:val="auto"/>
        <w:rPr>
          <w:rFonts w:eastAsia="仿宋"/>
          <w:color w:val="auto"/>
          <w:sz w:val="52"/>
          <w:szCs w:val="52"/>
        </w:rPr>
      </w:pPr>
    </w:p>
    <w:p>
      <w:pPr>
        <w:keepNext w:val="0"/>
        <w:keepLines w:val="0"/>
        <w:pageBreakBefore w:val="0"/>
        <w:widowControl w:val="0"/>
        <w:kinsoku/>
        <w:wordWrap/>
        <w:overflowPunct/>
        <w:topLinePunct w:val="0"/>
        <w:autoSpaceDE/>
        <w:autoSpaceDN/>
        <w:bidi w:val="0"/>
        <w:ind w:firstLineChars="0" w:firstLine="0"/>
        <w:textAlignment w:val="auto"/>
        <w:rPr>
          <w:rFonts w:ascii="Times New Roman" w:cs="Times New Roman" w:hAnsi="Times New Roman"/>
          <w:color w:val="auto"/>
        </w:rPr>
      </w:pPr>
    </w:p>
    <w:p>
      <w:pPr>
        <w:keepNext w:val="0"/>
        <w:keepLines w:val="0"/>
        <w:pageBreakBefore w:val="0"/>
        <w:widowControl w:val="0"/>
        <w:kinsoku/>
        <w:wordWrap/>
        <w:overflowPunct/>
        <w:topLinePunct w:val="0"/>
        <w:autoSpaceDE/>
        <w:autoSpaceDN/>
        <w:bidi w:val="0"/>
        <w:ind w:firstLineChars="0" w:firstLine="0"/>
        <w:textAlignment w:val="auto"/>
        <w:rPr>
          <w:rFonts w:eastAsia="仿宋"/>
          <w:color w:val="auto"/>
          <w:sz w:val="44"/>
          <w:szCs w:val="44"/>
        </w:rPr>
      </w:pPr>
    </w:p>
    <w:p>
      <w:pPr>
        <w:keepNext w:val="0"/>
        <w:keepLines w:val="0"/>
        <w:pageBreakBefore w:val="0"/>
        <w:widowControl w:val="0"/>
        <w:kinsoku/>
        <w:wordWrap/>
        <w:overflowPunct/>
        <w:topLinePunct w:val="0"/>
        <w:autoSpaceDE/>
        <w:autoSpaceDN/>
        <w:bidi w:val="0"/>
        <w:ind w:firstLineChars="0" w:firstLine="0"/>
        <w:textAlignment w:val="auto"/>
        <w:rPr>
          <w:color w:val="auto"/>
        </w:rPr>
      </w:pPr>
    </w:p>
    <w:p>
      <w:pPr>
        <w:keepNext w:val="0"/>
        <w:keepLines w:val="0"/>
        <w:pageBreakBefore w:val="0"/>
        <w:widowControl w:val="0"/>
        <w:kinsoku/>
        <w:wordWrap/>
        <w:overflowPunct/>
        <w:topLinePunct w:val="0"/>
        <w:autoSpaceDE/>
        <w:autoSpaceDN/>
        <w:bidi w:val="0"/>
        <w:ind w:firstLineChars="0" w:firstLine="0"/>
        <w:textAlignment w:val="auto"/>
        <w:rPr>
          <w:rFonts w:eastAsia="仿宋"/>
          <w:color w:val="auto"/>
          <w:sz w:val="44"/>
          <w:szCs w:val="44"/>
        </w:rPr>
      </w:pPr>
    </w:p>
    <w:p>
      <w:pPr>
        <w:keepNext w:val="0"/>
        <w:keepLines w:val="0"/>
        <w:pageBreakBefore w:val="0"/>
        <w:widowControl w:val="0"/>
        <w:kinsoku/>
        <w:wordWrap/>
        <w:overflowPunct/>
        <w:topLinePunct w:val="0"/>
        <w:autoSpaceDE/>
        <w:autoSpaceDN/>
        <w:bidi w:val="0"/>
        <w:adjustRightInd w:val="0"/>
        <w:snapToGrid w:val="0"/>
        <w:spacing w:line="360" w:lineRule="auto"/>
        <w:ind w:left="1800" w:hangingChars="500" w:hanging="1800"/>
        <w:textAlignment w:val="auto"/>
        <w:rPr>
          <w:rFonts w:eastAsia="仿宋_GB2312"/>
          <w:color w:val="auto"/>
          <w:sz w:val="36"/>
          <w:szCs w:val="36"/>
          <w:u w:val="single"/>
          <w:lang w:val="en-US"/>
        </w:rPr>
      </w:pPr>
      <w:bookmarkStart w:id="0" w:name="_Hlk57884087"/>
      <w:r>
        <w:rPr>
          <w:rFonts w:eastAsia="仿宋_GB2312"/>
          <w:color w:val="auto"/>
          <w:sz w:val="36"/>
          <w:szCs w:val="36"/>
        </w:rPr>
        <w:t>项目名称：</w:t>
      </w:r>
      <w:r>
        <w:rPr>
          <w:rFonts w:eastAsia="仿宋_GB2312" w:hint="eastAsia"/>
          <w:color w:val="auto"/>
          <w:sz w:val="36"/>
          <w:szCs w:val="36"/>
          <w:u w:val="single"/>
        </w:rPr>
        <w:t xml:space="preserve"> </w:t>
      </w:r>
      <w:r>
        <w:rPr>
          <w:rFonts w:eastAsia="仿宋_GB2312" w:hint="eastAsia"/>
          <w:color w:val="auto"/>
          <w:sz w:val="36"/>
          <w:szCs w:val="36"/>
          <w:u w:val="single"/>
          <w:lang w:val="en-US" w:eastAsia="zh-CN"/>
          <w:highlight w:val="none"/>
        </w:rPr>
        <w:t>年产200t果蔬汁（浆）、150t浓缩果蔬汁（浆）扩建项目</w:t>
      </w:r>
      <w:r>
        <w:rPr>
          <w:rFonts w:eastAsia="仿宋_GB2312" w:hint="eastAsia"/>
          <w:color w:val="auto"/>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Chars="0" w:firstLine="0"/>
        <w:textAlignment w:val="auto"/>
        <w:rPr>
          <w:rFonts w:eastAsia="仿宋_GB2312"/>
          <w:color w:val="auto"/>
          <w:sz w:val="36"/>
          <w:szCs w:val="36"/>
          <w:lang w:val="en-US"/>
        </w:rPr>
      </w:pPr>
      <w:r>
        <w:rPr>
          <w:rFonts w:eastAsia="仿宋_GB2312"/>
          <w:color w:val="auto"/>
          <w:sz w:val="36"/>
          <w:szCs w:val="36"/>
        </w:rPr>
        <w:t>建设单位（盖章）：</w:t>
      </w:r>
      <w:r>
        <w:rPr>
          <w:rFonts w:eastAsia="仿宋_GB2312" w:hint="eastAsia"/>
          <w:color w:val="auto"/>
          <w:sz w:val="36"/>
          <w:szCs w:val="36"/>
          <w:u w:val="single"/>
          <w:lang w:val="en-US" w:eastAsia="zh-CN"/>
        </w:rPr>
        <w:t xml:space="preserve"> 华百仕（河北）食品科技有限公司 </w:t>
      </w:r>
    </w:p>
    <w:p>
      <w:pPr>
        <w:keepNext w:val="0"/>
        <w:keepLines w:val="0"/>
        <w:pageBreakBefore w:val="0"/>
        <w:widowControl w:val="0"/>
        <w:kinsoku/>
        <w:wordWrap/>
        <w:overflowPunct/>
        <w:topLinePunct w:val="0"/>
        <w:autoSpaceDE/>
        <w:autoSpaceDN/>
        <w:bidi w:val="0"/>
        <w:adjustRightInd w:val="0"/>
        <w:snapToGrid w:val="0"/>
        <w:spacing w:line="360" w:lineRule="auto"/>
        <w:ind w:firstLineChars="0" w:firstLine="0"/>
        <w:textAlignment w:val="auto"/>
        <w:rPr>
          <w:rFonts w:eastAsia="仿宋_GB2312"/>
          <w:color w:val="auto"/>
          <w:sz w:val="36"/>
          <w:szCs w:val="36"/>
          <w:u w:val="single"/>
          <w:lang w:val="en-US" w:eastAsia="zh-CN"/>
        </w:rPr>
      </w:pPr>
      <w:r>
        <w:rPr>
          <w:rFonts w:eastAsia="仿宋_GB2312"/>
          <w:color w:val="auto"/>
          <w:sz w:val="36"/>
          <w:szCs w:val="36"/>
        </w:rPr>
        <w:t>编制日期：</w:t>
      </w:r>
      <w:r>
        <w:rPr>
          <w:rFonts w:eastAsia="仿宋_GB2312" w:hint="eastAsia"/>
          <w:color w:val="auto"/>
          <w:sz w:val="36"/>
          <w:szCs w:val="36"/>
          <w:u w:val="single"/>
        </w:rPr>
        <w:t xml:space="preserve">          </w:t>
      </w:r>
      <w:r>
        <w:rPr>
          <w:rFonts w:eastAsia="仿宋_GB2312" w:hint="eastAsia"/>
          <w:color w:val="auto"/>
          <w:sz w:val="36"/>
          <w:szCs w:val="36"/>
          <w:u w:val="single"/>
          <w:lang w:val="en-US" w:eastAsia="zh-CN"/>
        </w:rPr>
        <w:t xml:space="preserve">  </w:t>
      </w:r>
      <w:r>
        <w:rPr>
          <w:rFonts w:eastAsia="仿宋_GB2312" w:hint="eastAsia"/>
          <w:color w:val="auto"/>
          <w:sz w:val="36"/>
          <w:szCs w:val="36"/>
          <w:u w:val="single"/>
        </w:rPr>
        <w:t xml:space="preserve">   </w:t>
      </w:r>
      <w:r>
        <w:rPr>
          <w:rFonts w:eastAsia="仿宋_GB2312"/>
          <w:color w:val="auto"/>
          <w:sz w:val="36"/>
          <w:szCs w:val="36"/>
          <w:u w:val="single"/>
        </w:rPr>
        <w:t>202</w:t>
      </w:r>
      <w:r>
        <w:rPr>
          <w:rFonts w:eastAsia="仿宋_GB2312" w:hint="eastAsia"/>
          <w:color w:val="auto"/>
          <w:sz w:val="36"/>
          <w:szCs w:val="36"/>
          <w:u w:val="single"/>
          <w:lang w:val="en-US" w:eastAsia="zh-CN"/>
        </w:rPr>
        <w:t>6</w:t>
      </w:r>
      <w:r>
        <w:rPr>
          <w:rFonts w:eastAsia="仿宋_GB2312"/>
          <w:color w:val="auto"/>
          <w:sz w:val="36"/>
          <w:szCs w:val="36"/>
          <w:u w:val="single"/>
        </w:rPr>
        <w:t>年</w:t>
      </w:r>
      <w:r>
        <w:rPr>
          <w:rFonts w:eastAsia="仿宋_GB2312" w:hint="eastAsia"/>
          <w:color w:val="auto"/>
          <w:sz w:val="36"/>
          <w:szCs w:val="36"/>
          <w:u w:val="single"/>
          <w:lang w:val="en-US" w:eastAsia="zh-CN"/>
        </w:rPr>
        <w:t>8</w:t>
      </w:r>
      <w:r>
        <w:rPr>
          <w:rFonts w:eastAsia="仿宋_GB2312"/>
          <w:color w:val="auto"/>
          <w:sz w:val="36"/>
          <w:szCs w:val="36"/>
          <w:u w:val="single"/>
        </w:rPr>
        <w:t>月</w:t>
      </w:r>
      <w:r>
        <w:rPr>
          <w:rFonts w:eastAsia="仿宋_GB2312" w:hint="eastAsia"/>
          <w:color w:val="auto"/>
          <w:sz w:val="36"/>
          <w:szCs w:val="36"/>
          <w:u w:val="single"/>
        </w:rPr>
        <w:t xml:space="preserve">            </w:t>
      </w:r>
      <w:r>
        <w:rPr>
          <w:rFonts w:eastAsia="仿宋_GB2312" w:hint="eastAsia"/>
          <w:color w:val="auto"/>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88" w:lineRule="auto"/>
        <w:ind w:firstLineChars="0" w:firstLine="0"/>
        <w:textAlignment w:val="auto"/>
        <w:rPr>
          <w:rFonts w:eastAsia="仿宋_GB2312"/>
          <w:color w:val="auto"/>
          <w:sz w:val="36"/>
          <w:szCs w:val="36"/>
        </w:rPr>
      </w:pPr>
    </w:p>
    <w:p>
      <w:pPr>
        <w:keepNext w:val="0"/>
        <w:keepLines w:val="0"/>
        <w:pageBreakBefore w:val="0"/>
        <w:widowControl w:val="0"/>
        <w:kinsoku/>
        <w:wordWrap/>
        <w:overflowPunct/>
        <w:topLinePunct w:val="0"/>
        <w:autoSpaceDE/>
        <w:autoSpaceDN/>
        <w:bidi w:val="0"/>
        <w:ind w:firstLineChars="0" w:firstLine="0"/>
        <w:textAlignment w:val="auto"/>
        <w:rPr>
          <w:rFonts w:ascii="Times New Roman" w:eastAsia="仿宋_GB2312" w:cs="Times New Roman" w:hAnsi="Times New Roman"/>
          <w:color w:val="auto"/>
          <w:sz w:val="36"/>
          <w:szCs w:val="36"/>
        </w:rPr>
      </w:pPr>
    </w:p>
    <w:p>
      <w:pPr>
        <w:keepNext w:val="0"/>
        <w:keepLines w:val="0"/>
        <w:pageBreakBefore w:val="0"/>
        <w:widowControl w:val="0"/>
        <w:kinsoku/>
        <w:wordWrap/>
        <w:overflowPunct/>
        <w:topLinePunct w:val="0"/>
        <w:autoSpaceDE/>
        <w:autoSpaceDN/>
        <w:bidi w:val="0"/>
        <w:ind w:firstLineChars="0" w:firstLine="0"/>
        <w:textAlignment w:val="auto"/>
        <w:rPr>
          <w:rFonts w:eastAsia="仿宋_GB2312"/>
          <w:color w:val="auto"/>
          <w:sz w:val="36"/>
          <w:szCs w:val="36"/>
        </w:rPr>
      </w:pPr>
    </w:p>
    <w:p>
      <w:pPr>
        <w:keepNext w:val="0"/>
        <w:keepLines w:val="0"/>
        <w:pageBreakBefore w:val="0"/>
        <w:widowControl w:val="0"/>
        <w:kinsoku/>
        <w:wordWrap/>
        <w:overflowPunct/>
        <w:topLinePunct w:val="0"/>
        <w:autoSpaceDE/>
        <w:autoSpaceDN/>
        <w:bidi w:val="0"/>
        <w:ind w:firstLineChars="0" w:firstLine="0"/>
        <w:textAlignment w:val="auto"/>
        <w:rPr>
          <w:color w:val="auto"/>
        </w:rPr>
      </w:pPr>
    </w:p>
    <w:p>
      <w:pPr>
        <w:keepNext w:val="0"/>
        <w:keepLines w:val="0"/>
        <w:pageBreakBefore w:val="0"/>
        <w:widowControl w:val="0"/>
        <w:kinsoku/>
        <w:wordWrap/>
        <w:overflowPunct/>
        <w:topLinePunct w:val="0"/>
        <w:autoSpaceDE/>
        <w:autoSpaceDN/>
        <w:bidi w:val="0"/>
        <w:ind w:firstLineChars="0" w:firstLine="0"/>
        <w:textAlignment w:val="auto"/>
        <w:rPr>
          <w:rFonts w:ascii="Times New Roman" w:eastAsia="仿宋_GB2312" w:cs="Times New Roman" w:hAnsi="Times New Roman"/>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line="288" w:lineRule="auto"/>
        <w:ind w:firstLineChars="0" w:firstLine="0"/>
        <w:jc w:val="center"/>
        <w:textAlignment w:val="auto"/>
        <w:rPr>
          <w:rFonts w:eastAsia="楷体_GB2312"/>
          <w:color w:val="auto"/>
          <w:sz w:val="36"/>
          <w:szCs w:val="36"/>
        </w:rPr>
      </w:pPr>
      <w:bookmarkEnd w:id="0"/>
      <w:r>
        <w:rPr>
          <w:rFonts w:eastAsia="楷体_GB2312"/>
          <w:color w:val="auto"/>
          <w:sz w:val="36"/>
          <w:szCs w:val="36"/>
        </w:rPr>
        <w:t>中华人民共和国生态环境部制</w:t>
      </w:r>
    </w:p>
    <w:p>
      <w:pPr>
        <w:keepNext w:val="0"/>
        <w:keepLines w:val="0"/>
        <w:pageBreakBefore w:val="0"/>
        <w:widowControl w:val="0"/>
        <w:kinsoku/>
        <w:wordWrap/>
        <w:overflowPunct/>
        <w:topLinePunct w:val="0"/>
        <w:autoSpaceDE/>
        <w:autoSpaceDN/>
        <w:bidi w:val="0"/>
        <w:adjustRightInd w:val="0"/>
        <w:snapToGrid w:val="0"/>
        <w:spacing w:line="288" w:lineRule="auto"/>
        <w:ind w:firstLineChars="0" w:firstLine="0"/>
        <w:textAlignment w:val="auto"/>
        <w:rPr>
          <w:rFonts w:eastAsia="仿宋_GB2312"/>
          <w:color w:val="auto"/>
          <w:sz w:val="36"/>
          <w:szCs w:val="36"/>
        </w:rPr>
        <w:sectPr>
          <w:footerReference w:type="default" r:id="rId2"/>
          <w:footerReference w:type="even" r:id="rId3"/>
          <w:pgSz w:w="11906" w:h="16838"/>
          <w:pgMar w:top="1417" w:right="1417" w:bottom="1417" w:left="1417" w:header="851" w:footer="1077" w:gutter="0"/>
          <w:pgNumType w:start="3"/>
          <w:cols w:num="1" w:space="720"/>
          <w:docGrid w:linePitch="312" w:charSpace="0"/>
        </w:sectPr>
      </w:pPr>
    </w:p>
    <w:p>
      <w:pPr>
        <w:ind w:left="0"/>
        <w:jc w:val="both"/>
        <w:rPr>
          <w:color w:val="auto"/>
        </w:rPr>
      </w:pPr>
    </w:p>
    <w:p>
      <w:pPr>
        <w:ind w:left="0"/>
        <w:jc w:val="both"/>
        <w:rPr>
          <w:color w:val="auto"/>
        </w:rPr>
        <w:sectPr>
          <w:pgSz w:w="11906" w:h="16838"/>
          <w:pgMar w:top="1417" w:right="1417" w:bottom="1417" w:left="1417" w:header="851" w:footer="1077" w:gutter="0"/>
          <w:pgNumType w:start="3"/>
          <w:cols w:num="1" w:space="720"/>
          <w:docGrid w:linePitch="312" w:charSpace="0"/>
        </w:sectPr>
      </w:pPr>
    </w:p>
    <w:p>
      <w:pPr>
        <w:keepNext w:val="0"/>
        <w:keepLines w:val="0"/>
        <w:pageBreakBefore w:val="0"/>
        <w:widowControl w:val="0"/>
        <w:numPr>
          <w:ilvl w:val="0"/>
          <w:numId w:val="1"/>
        </w:numPr>
        <w:kinsoku/>
        <w:wordWrap/>
        <w:overflowPunct/>
        <w:topLinePunct w:val="0"/>
        <w:autoSpaceDE/>
        <w:autoSpaceDN/>
        <w:bidi w:val="0"/>
        <w:adjustRightInd/>
        <w:snapToGrid/>
        <w:ind w:left="0" w:firstLineChars="0" w:firstLine="0"/>
        <w:jc w:val="center"/>
        <w:textAlignment w:val="auto"/>
        <w:outlineLvl w:val="0"/>
        <w:rPr>
          <w:rFonts w:ascii="Times New Roman" w:eastAsia="黑体" w:hAnsi="Times New Roman"/>
          <w:b/>
          <w:bCs/>
          <w:snapToGrid w:val="0"/>
          <w:color w:val="auto"/>
          <w:sz w:val="30"/>
          <w:szCs w:val="30"/>
        </w:rPr>
      </w:pPr>
      <w:r>
        <w:rPr>
          <w:rFonts w:ascii="Times New Roman" w:eastAsia="黑体" w:hAnsi="Times New Roman"/>
          <w:b/>
          <w:bCs/>
          <w:snapToGrid w:val="0"/>
          <w:color w:val="auto"/>
          <w:sz w:val="30"/>
          <w:szCs w:val="30"/>
        </w:rPr>
        <w:t>建设项目基本情况</w:t>
      </w:r>
    </w:p>
    <w:tbl>
      <w:tblPr>
        <w:jc w:val="center"/>
        <w:tblW w:w="495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535"/>
        <w:gridCol w:w="1977"/>
        <w:gridCol w:w="1905"/>
        <w:gridCol w:w="3601"/>
      </w:tblGrid>
      <w:tr>
        <w:trPr>
          <w:trHeight w:val="518"/>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建设项目名称</w:t>
            </w:r>
          </w:p>
        </w:tc>
        <w:tc>
          <w:tcPr>
            <w:tcW w:w="4148" w:type="pct"/>
            <w:gridSpan w:val="3"/>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rFonts w:hint="eastAsia"/>
                <w:color w:val="auto"/>
                <w:sz w:val="24"/>
                <w:lang w:val="en-US" w:eastAsia="zh-CN"/>
              </w:rPr>
              <w:t>年产200t果蔬汁（浆）、150t浓缩果蔬汁（浆）扩建项目</w:t>
            </w:r>
          </w:p>
        </w:tc>
      </w:tr>
      <w:tr>
        <w:trPr>
          <w:trHeight w:val="497"/>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项目代码</w:t>
            </w:r>
          </w:p>
        </w:tc>
        <w:tc>
          <w:tcPr>
            <w:tcW w:w="4148" w:type="pct"/>
            <w:gridSpan w:val="3"/>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2512-130168-89-05-243953</w:t>
            </w:r>
          </w:p>
        </w:tc>
      </w:tr>
      <w:tr>
        <w:trPr>
          <w:trHeight w:val="497"/>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建设单位联系人</w:t>
            </w:r>
          </w:p>
        </w:tc>
        <w:tc>
          <w:tcPr>
            <w:tcW w:w="1096" w:type="pct"/>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rFonts w:eastAsia="宋体" w:hint="eastAsia"/>
                <w:color w:val="auto"/>
                <w:sz w:val="24"/>
                <w:lang w:val="en-US" w:eastAsia="zh-CN"/>
              </w:rPr>
            </w:pPr>
            <w:r>
              <w:rPr>
                <w:color w:val="auto"/>
                <w:sz w:val="24"/>
                <w:lang w:val="en-US" w:eastAsia="zh-CN"/>
              </w:rPr>
              <w:t>***</w:t>
            </w:r>
          </w:p>
        </w:tc>
        <w:tc>
          <w:tcPr>
            <w:tcW w:w="1056" w:type="pct"/>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联系方式</w:t>
            </w:r>
          </w:p>
        </w:tc>
        <w:tc>
          <w:tcPr>
            <w:tcW w:w="1995" w:type="pct"/>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w:t>
            </w:r>
          </w:p>
        </w:tc>
      </w:tr>
      <w:tr>
        <w:trPr>
          <w:trHeight w:val="497"/>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建设地点</w:t>
            </w:r>
          </w:p>
        </w:tc>
        <w:tc>
          <w:tcPr>
            <w:tcW w:w="4148" w:type="pct"/>
            <w:gridSpan w:val="3"/>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rFonts w:hint="eastAsia"/>
                <w:color w:val="auto"/>
                <w:sz w:val="24"/>
                <w:lang w:val="en-US" w:eastAsia="zh-CN"/>
              </w:rPr>
              <w:t>河北省石家庄市栾城区栾城镇环城南路11号</w:t>
            </w:r>
          </w:p>
        </w:tc>
      </w:tr>
      <w:tr>
        <w:trPr>
          <w:trHeight w:val="497"/>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地理坐标</w:t>
            </w:r>
          </w:p>
        </w:tc>
        <w:tc>
          <w:tcPr>
            <w:tcW w:w="4148" w:type="pct"/>
            <w:gridSpan w:val="3"/>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rFonts w:ascii="Times New Roman" w:cs="Times New Roman" w:hAnsi="Times New Roman"/>
                <w:color w:val="auto"/>
                <w:sz w:val="24"/>
                <w:lang w:val="en-US" w:eastAsia="zh-CN"/>
              </w:rPr>
              <w:t>东经</w:t>
            </w:r>
            <w:r>
              <w:rPr>
                <w:rFonts w:ascii="Times New Roman" w:cs="Times New Roman" w:hAnsi="Times New Roman"/>
                <w:color w:val="auto"/>
                <w:sz w:val="24"/>
              </w:rPr>
              <w:t>114°38′10.971″</w:t>
            </w:r>
            <w:r>
              <w:rPr>
                <w:rFonts w:ascii="Times New Roman" w:cs="Times New Roman" w:hAnsi="Times New Roman" w:hint="eastAsia"/>
                <w:color w:val="auto"/>
                <w:sz w:val="24"/>
                <w:lang w:eastAsia="zh-CN"/>
              </w:rPr>
              <w:t>，</w:t>
            </w:r>
            <w:r>
              <w:rPr>
                <w:rFonts w:ascii="Times New Roman" w:cs="Times New Roman" w:hAnsi="Times New Roman" w:hint="eastAsia"/>
                <w:color w:val="auto"/>
                <w:sz w:val="24"/>
                <w:lang w:val="en-US" w:eastAsia="zh-CN"/>
              </w:rPr>
              <w:t>北纬</w:t>
            </w:r>
            <w:r>
              <w:rPr>
                <w:rFonts w:ascii="Times New Roman" w:cs="Times New Roman" w:hAnsi="Times New Roman"/>
                <w:color w:val="auto"/>
                <w:sz w:val="24"/>
              </w:rPr>
              <w:t>37°52′7.110″</w:t>
            </w:r>
          </w:p>
        </w:tc>
      </w:tr>
      <w:tr>
        <w:trPr>
          <w:trHeight w:val="561"/>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国民经济</w:t>
            </w:r>
          </w:p>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行业类别</w:t>
            </w:r>
          </w:p>
        </w:tc>
        <w:tc>
          <w:tcPr>
            <w:tcW w:w="1096" w:type="pct"/>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rFonts w:hint="eastAsia"/>
                <w:color w:val="auto"/>
                <w:sz w:val="24"/>
                <w:lang w:val="en-US" w:eastAsia="zh-CN"/>
              </w:rPr>
            </w:pPr>
            <w:r>
              <w:rPr>
                <w:rFonts w:hint="eastAsia"/>
                <w:color w:val="auto"/>
                <w:sz w:val="24"/>
                <w:lang w:val="en-US" w:eastAsia="zh-CN"/>
              </w:rPr>
              <w:t>C1523果菜汁及果菜汁饮料制造</w:t>
            </w:r>
          </w:p>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lang w:val="en-US" w:eastAsia="zh-CN"/>
              </w:rPr>
            </w:pPr>
            <w:r>
              <w:rPr>
                <w:rFonts w:hint="eastAsia"/>
                <w:color w:val="auto"/>
                <w:sz w:val="24"/>
                <w:lang w:val="en-US" w:eastAsia="zh-CN"/>
              </w:rPr>
              <w:t>C1495食品及饲料添加剂制造</w:t>
            </w:r>
          </w:p>
        </w:tc>
        <w:tc>
          <w:tcPr>
            <w:tcW w:w="1056" w:type="pct"/>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建设项目行业类别</w:t>
            </w:r>
          </w:p>
        </w:tc>
        <w:tc>
          <w:tcPr>
            <w:tcW w:w="1995" w:type="pct"/>
            <w:tcBorders>
              <w:left w:val="single" w:sz="4" w:space="0" w:color="auto"/>
            </w:tcBorders>
            <w:vAlign w:val="center"/>
          </w:tcPr>
          <w:p>
            <w:pPr>
              <w:keepNext w:val="0"/>
              <w:keepLines w:val="0"/>
              <w:pageBreakBefore w:val="0"/>
              <w:widowControl/>
              <w:kinsoku/>
              <w:wordWrap/>
              <w:overflowPunct/>
              <w:topLinePunct w:val="0"/>
              <w:autoSpaceDE/>
              <w:autoSpaceDN/>
              <w:bidi w:val="0"/>
              <w:spacing w:line="240" w:lineRule="auto"/>
              <w:ind w:firstLineChars="0" w:firstLine="0"/>
              <w:jc w:val="center"/>
              <w:textAlignment w:val="auto"/>
              <w:rPr>
                <w:rFonts w:hint="eastAsia"/>
                <w:color w:val="auto"/>
                <w:sz w:val="24"/>
                <w:lang w:val="en-US" w:eastAsia="zh-CN"/>
              </w:rPr>
            </w:pPr>
            <w:r>
              <w:rPr>
                <w:color w:val="auto"/>
                <w:sz w:val="24"/>
                <w:lang w:val="en-US" w:eastAsia="zh-CN"/>
              </w:rPr>
              <w:t>十二、酒、饮料制造业15</w:t>
            </w:r>
            <w:r>
              <w:rPr>
                <w:rFonts w:hint="eastAsia"/>
                <w:color w:val="auto"/>
                <w:sz w:val="24"/>
                <w:lang w:val="en-US" w:eastAsia="zh-CN"/>
              </w:rPr>
              <w:t>-26饮料制造152-有发酵工艺、原汁生产的；</w:t>
            </w:r>
          </w:p>
          <w:p>
            <w:pPr>
              <w:keepNext w:val="0"/>
              <w:keepLines w:val="0"/>
              <w:pageBreakBefore w:val="0"/>
              <w:widowControl/>
              <w:kinsoku/>
              <w:wordWrap/>
              <w:overflowPunct/>
              <w:topLinePunct w:val="0"/>
              <w:autoSpaceDE/>
              <w:autoSpaceDN/>
              <w:bidi w:val="0"/>
              <w:spacing w:line="240" w:lineRule="auto"/>
              <w:ind w:firstLineChars="0" w:firstLine="0"/>
              <w:jc w:val="center"/>
              <w:textAlignment w:val="auto"/>
              <w:rPr>
                <w:rFonts w:hint="eastAsia"/>
                <w:color w:val="auto"/>
                <w:sz w:val="24"/>
                <w:lang w:val="en-US" w:eastAsia="zh-CN"/>
              </w:rPr>
            </w:pPr>
            <w:r>
              <w:rPr>
                <w:color w:val="auto"/>
                <w:sz w:val="24"/>
                <w:lang w:val="en-US" w:eastAsia="zh-CN"/>
              </w:rPr>
              <w:t>十一、食品制造业</w:t>
            </w:r>
            <w:r>
              <w:rPr>
                <w:rFonts w:hint="eastAsia"/>
                <w:color w:val="auto"/>
                <w:sz w:val="24"/>
                <w:lang w:val="en-US" w:eastAsia="zh-CN"/>
              </w:rPr>
              <w:t>14-24-其他食品制造149-盐加工；营养食品制造、保健食品制造、冷冻饮品及食用冰</w:t>
            </w:r>
          </w:p>
          <w:p>
            <w:pPr>
              <w:keepNext w:val="0"/>
              <w:keepLines w:val="0"/>
              <w:pageBreakBefore w:val="0"/>
              <w:widowControl/>
              <w:kinsoku/>
              <w:wordWrap/>
              <w:overflowPunct/>
              <w:topLinePunct w:val="0"/>
              <w:autoSpaceDE/>
              <w:autoSpaceDN/>
              <w:bidi w:val="0"/>
              <w:spacing w:line="240" w:lineRule="auto"/>
              <w:ind w:firstLineChars="0" w:firstLine="0"/>
              <w:jc w:val="center"/>
              <w:textAlignment w:val="auto"/>
              <w:rPr>
                <w:color w:val="auto"/>
                <w:sz w:val="24"/>
                <w:lang w:val="en-US" w:eastAsia="zh-CN"/>
              </w:rPr>
            </w:pPr>
            <w:r>
              <w:rPr>
                <w:rFonts w:hint="eastAsia"/>
                <w:color w:val="auto"/>
                <w:sz w:val="24"/>
                <w:lang w:val="en-US" w:eastAsia="zh-CN"/>
              </w:rPr>
              <w:t>制造、无发酵工艺的食品及饲料添加剂制造、其他未列明食品制造</w:t>
            </w:r>
          </w:p>
        </w:tc>
      </w:tr>
      <w:tr>
        <w:trPr>
          <w:trHeight w:val="90"/>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建设性质</w:t>
            </w:r>
          </w:p>
        </w:tc>
        <w:tc>
          <w:tcPr>
            <w:tcW w:w="1096" w:type="pct"/>
            <w:tcBorders>
              <w:left w:val="single" w:sz="4" w:space="0" w:color="auto"/>
            </w:tcBorders>
            <w:vAlign w:val="center"/>
          </w:tcPr>
          <w:p>
            <w:pPr>
              <w:keepNext w:val="0"/>
              <w:keepLines w:val="0"/>
              <w:pageBreakBefore w:val="0"/>
              <w:kinsoku/>
              <w:wordWrap/>
              <w:overflowPunct/>
              <w:topLinePunct w:val="0"/>
              <w:autoSpaceDE/>
              <w:autoSpaceDN/>
              <w:bidi w:val="0"/>
              <w:spacing w:line="240" w:lineRule="auto"/>
              <w:ind w:firstLineChars="0" w:firstLine="0"/>
              <w:jc w:val="left"/>
              <w:textAlignment w:val="auto"/>
              <w:rPr>
                <w:color w:val="auto"/>
                <w:sz w:val="24"/>
              </w:rPr>
            </w:pPr>
            <w:r>
              <w:rPr>
                <w:rFonts w:hint="eastAsia"/>
                <w:color w:val="auto"/>
                <w:sz w:val="24"/>
                <w:lang w:eastAsia="zh-CN"/>
              </w:rPr>
              <w:t>□</w:t>
            </w:r>
            <w:r>
              <w:rPr>
                <w:color w:val="auto"/>
                <w:sz w:val="24"/>
              </w:rPr>
              <w:t>新建（迁建）</w:t>
            </w:r>
          </w:p>
          <w:p>
            <w:pPr>
              <w:keepNext w:val="0"/>
              <w:keepLines w:val="0"/>
              <w:pageBreakBefore w:val="0"/>
              <w:kinsoku/>
              <w:wordWrap/>
              <w:overflowPunct/>
              <w:topLinePunct w:val="0"/>
              <w:autoSpaceDE/>
              <w:autoSpaceDN/>
              <w:bidi w:val="0"/>
              <w:spacing w:line="240" w:lineRule="auto"/>
              <w:ind w:firstLineChars="0" w:firstLine="0"/>
              <w:jc w:val="left"/>
              <w:textAlignment w:val="auto"/>
              <w:rPr>
                <w:color w:val="auto"/>
                <w:sz w:val="24"/>
              </w:rPr>
            </w:pPr>
            <w:r>
              <w:rPr>
                <w:rFonts w:hint="eastAsia"/>
                <w:color w:val="auto"/>
                <w:sz w:val="24"/>
                <w:lang w:eastAsia="zh-CN"/>
              </w:rPr>
              <w:t>□</w:t>
            </w:r>
            <w:r>
              <w:rPr>
                <w:color w:val="auto"/>
                <w:sz w:val="24"/>
              </w:rPr>
              <w:t>改建</w:t>
            </w:r>
          </w:p>
          <w:p>
            <w:pPr>
              <w:keepNext w:val="0"/>
              <w:keepLines w:val="0"/>
              <w:pageBreakBefore w:val="0"/>
              <w:kinsoku/>
              <w:wordWrap/>
              <w:overflowPunct/>
              <w:topLinePunct w:val="0"/>
              <w:autoSpaceDE/>
              <w:autoSpaceDN/>
              <w:bidi w:val="0"/>
              <w:spacing w:line="240" w:lineRule="auto"/>
              <w:ind w:firstLineChars="0" w:firstLine="0"/>
              <w:jc w:val="left"/>
              <w:textAlignment w:val="auto"/>
              <w:rPr>
                <w:color w:val="auto"/>
                <w:sz w:val="24"/>
              </w:rPr>
            </w:pPr>
            <w:r>
              <w:rPr>
                <w:rFonts w:hint="eastAsia"/>
                <w:color w:val="auto"/>
                <w:sz w:val="24"/>
                <w:lang w:eastAsia="zh-CN"/>
              </w:rPr>
              <w:t>☑</w:t>
            </w:r>
            <w:r>
              <w:rPr>
                <w:color w:val="auto"/>
                <w:sz w:val="24"/>
              </w:rPr>
              <w:t>扩建</w:t>
            </w:r>
          </w:p>
          <w:p>
            <w:pPr>
              <w:keepNext w:val="0"/>
              <w:keepLines w:val="0"/>
              <w:pageBreakBefore w:val="0"/>
              <w:kinsoku/>
              <w:wordWrap/>
              <w:overflowPunct/>
              <w:topLinePunct w:val="0"/>
              <w:autoSpaceDE/>
              <w:autoSpaceDN/>
              <w:bidi w:val="0"/>
              <w:adjustRightInd w:val="0"/>
              <w:snapToGrid w:val="0"/>
              <w:spacing w:line="240" w:lineRule="auto"/>
              <w:ind w:firstLineChars="0" w:firstLine="0"/>
              <w:textAlignment w:val="auto"/>
              <w:rPr>
                <w:color w:val="auto"/>
                <w:sz w:val="24"/>
              </w:rPr>
            </w:pPr>
            <w:r>
              <w:rPr>
                <w:rFonts w:hint="eastAsia"/>
                <w:color w:val="auto"/>
                <w:sz w:val="24"/>
                <w:lang w:eastAsia="zh-CN"/>
              </w:rPr>
              <w:t>☑</w:t>
            </w:r>
            <w:r>
              <w:rPr>
                <w:color w:val="auto"/>
                <w:sz w:val="24"/>
              </w:rPr>
              <w:t>技术改造</w:t>
            </w:r>
          </w:p>
        </w:tc>
        <w:tc>
          <w:tcPr>
            <w:tcW w:w="1056" w:type="pct"/>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建设项目</w:t>
            </w:r>
          </w:p>
          <w:p>
            <w:pPr>
              <w:keepNext w:val="0"/>
              <w:keepLines w:val="0"/>
              <w:pageBreakBefore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申报情形</w:t>
            </w:r>
          </w:p>
        </w:tc>
        <w:tc>
          <w:tcPr>
            <w:tcW w:w="1995" w:type="pct"/>
            <w:tcBorders>
              <w:left w:val="single" w:sz="4" w:space="0" w:color="auto"/>
            </w:tcBorders>
            <w:vAlign w:val="center"/>
          </w:tcPr>
          <w:p>
            <w:pPr>
              <w:keepNext w:val="0"/>
              <w:keepLines w:val="0"/>
              <w:pageBreakBefore w:val="0"/>
              <w:kinsoku/>
              <w:wordWrap/>
              <w:overflowPunct/>
              <w:topLinePunct w:val="0"/>
              <w:autoSpaceDE/>
              <w:autoSpaceDN/>
              <w:bidi w:val="0"/>
              <w:spacing w:line="240" w:lineRule="auto"/>
              <w:ind w:firstLineChars="0" w:firstLine="0"/>
              <w:jc w:val="left"/>
              <w:textAlignment w:val="auto"/>
              <w:rPr>
                <w:color w:val="auto"/>
                <w:sz w:val="24"/>
              </w:rPr>
            </w:pPr>
            <w:r>
              <w:rPr>
                <w:color w:val="auto"/>
                <w:sz w:val="24"/>
              </w:rPr>
              <w:t>☑首次申报项目</w:t>
            </w:r>
          </w:p>
          <w:p>
            <w:pPr>
              <w:keepNext w:val="0"/>
              <w:keepLines w:val="0"/>
              <w:pageBreakBefore w:val="0"/>
              <w:kinsoku/>
              <w:wordWrap/>
              <w:overflowPunct/>
              <w:topLinePunct w:val="0"/>
              <w:autoSpaceDE/>
              <w:autoSpaceDN/>
              <w:bidi w:val="0"/>
              <w:spacing w:line="240" w:lineRule="auto"/>
              <w:ind w:firstLineChars="0" w:firstLine="0"/>
              <w:jc w:val="left"/>
              <w:textAlignment w:val="auto"/>
              <w:rPr>
                <w:color w:val="auto"/>
                <w:sz w:val="24"/>
              </w:rPr>
            </w:pPr>
            <w:r>
              <w:rPr>
                <w:rFonts w:ascii="宋体" w:eastAsia="宋体" w:cs="宋体" w:hAnsi="宋体" w:hint="eastAsia"/>
                <w:color w:val="auto"/>
                <w:sz w:val="24"/>
              </w:rPr>
              <w:t>□</w:t>
            </w:r>
            <w:r>
              <w:rPr>
                <w:color w:val="auto"/>
                <w:sz w:val="24"/>
              </w:rPr>
              <w:t>不予批准后再次申报项目</w:t>
            </w:r>
          </w:p>
          <w:p>
            <w:pPr>
              <w:keepNext w:val="0"/>
              <w:keepLines w:val="0"/>
              <w:pageBreakBefore w:val="0"/>
              <w:kinsoku/>
              <w:wordWrap/>
              <w:overflowPunct/>
              <w:topLinePunct w:val="0"/>
              <w:autoSpaceDE/>
              <w:autoSpaceDN/>
              <w:bidi w:val="0"/>
              <w:spacing w:line="240" w:lineRule="auto"/>
              <w:ind w:firstLineChars="0" w:firstLine="0"/>
              <w:jc w:val="left"/>
              <w:textAlignment w:val="auto"/>
              <w:rPr>
                <w:color w:val="auto"/>
                <w:sz w:val="24"/>
              </w:rPr>
            </w:pPr>
            <w:r>
              <w:rPr>
                <w:rFonts w:ascii="宋体" w:eastAsia="宋体" w:cs="宋体" w:hAnsi="宋体" w:hint="eastAsia"/>
                <w:color w:val="auto"/>
                <w:sz w:val="24"/>
                <w:szCs w:val="24"/>
              </w:rPr>
              <w:t>□</w:t>
            </w:r>
            <w:r>
              <w:rPr>
                <w:color w:val="auto"/>
                <w:sz w:val="24"/>
              </w:rPr>
              <w:t>超五年重新审核项目</w:t>
            </w:r>
          </w:p>
          <w:p>
            <w:pPr>
              <w:keepNext w:val="0"/>
              <w:keepLines w:val="0"/>
              <w:pageBreakBefore w:val="0"/>
              <w:kinsoku/>
              <w:wordWrap/>
              <w:overflowPunct/>
              <w:topLinePunct w:val="0"/>
              <w:autoSpaceDE/>
              <w:autoSpaceDN/>
              <w:bidi w:val="0"/>
              <w:adjustRightInd w:val="0"/>
              <w:snapToGrid w:val="0"/>
              <w:spacing w:line="240" w:lineRule="auto"/>
              <w:ind w:firstLineChars="0" w:firstLine="0"/>
              <w:textAlignment w:val="auto"/>
              <w:rPr>
                <w:color w:val="auto"/>
                <w:sz w:val="24"/>
              </w:rPr>
            </w:pPr>
            <w:r>
              <w:rPr>
                <w:color w:val="auto"/>
                <w:sz w:val="24"/>
              </w:rPr>
              <w:sym w:font="Wingdings 2" w:char="A3"/>
            </w:r>
            <w:r>
              <w:rPr>
                <w:color w:val="auto"/>
                <w:sz w:val="24"/>
              </w:rPr>
              <w:t>重大变动重新报批项目</w:t>
            </w:r>
          </w:p>
        </w:tc>
      </w:tr>
      <w:tr>
        <w:trPr>
          <w:trHeight w:val="851"/>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项目审批（核准/备案）部门（选填）</w:t>
            </w:r>
          </w:p>
        </w:tc>
        <w:tc>
          <w:tcPr>
            <w:tcW w:w="1096" w:type="pc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firstLineChars="0" w:firstLine="0"/>
              <w:jc w:val="center"/>
              <w:textAlignment w:val="auto"/>
              <w:rPr>
                <w:color w:val="auto"/>
                <w:sz w:val="24"/>
              </w:rPr>
            </w:pPr>
            <w:r>
              <w:rPr>
                <w:color w:val="auto"/>
                <w:sz w:val="24"/>
              </w:rPr>
              <w:t>河北石家庄装备制造产业园管理委员会</w:t>
            </w:r>
          </w:p>
        </w:tc>
        <w:tc>
          <w:tcPr>
            <w:tcW w:w="1056"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项目审批（核准/</w:t>
            </w:r>
          </w:p>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备案）文号（选填）</w:t>
            </w:r>
          </w:p>
        </w:tc>
        <w:tc>
          <w:tcPr>
            <w:tcW w:w="199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rFonts w:hint="eastAsia"/>
                <w:color w:val="auto"/>
                <w:sz w:val="24"/>
                <w:lang w:val="en-US" w:eastAsia="zh-CN"/>
              </w:rPr>
              <w:t>装管委投资备字〔2026〕38号</w:t>
            </w:r>
          </w:p>
        </w:tc>
      </w:tr>
      <w:tr>
        <w:trPr>
          <w:trHeight w:val="497"/>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总投资（万元）</w:t>
            </w:r>
          </w:p>
        </w:tc>
        <w:tc>
          <w:tcPr>
            <w:tcW w:w="1096"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eastAsia="宋体"/>
                <w:color w:val="auto"/>
                <w:sz w:val="24"/>
                <w:lang w:val="en-US" w:eastAsia="zh-CN"/>
              </w:rPr>
            </w:pPr>
            <w:r>
              <w:rPr>
                <w:rFonts w:hint="eastAsia"/>
                <w:color w:val="auto"/>
                <w:sz w:val="24"/>
                <w:lang w:val="en-US" w:eastAsia="zh-CN"/>
              </w:rPr>
              <w:t>300</w:t>
            </w:r>
          </w:p>
        </w:tc>
        <w:tc>
          <w:tcPr>
            <w:tcW w:w="1056" w:type="pct"/>
            <w:tcBorders>
              <w:left w:val="single" w:sz="4" w:space="0" w:color="auto"/>
            </w:tcBorders>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color w:val="auto"/>
                <w:sz w:val="24"/>
              </w:rPr>
            </w:pPr>
            <w:r>
              <w:rPr>
                <w:color w:val="auto"/>
                <w:sz w:val="24"/>
              </w:rPr>
              <w:t>环保投资（万元）</w:t>
            </w:r>
          </w:p>
        </w:tc>
        <w:tc>
          <w:tcPr>
            <w:tcW w:w="199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eastAsia="宋体"/>
                <w:color w:val="auto"/>
                <w:sz w:val="24"/>
                <w:lang w:val="en-US" w:eastAsia="zh-CN"/>
              </w:rPr>
            </w:pPr>
            <w:r>
              <w:rPr>
                <w:rFonts w:hint="eastAsia"/>
                <w:color w:val="auto"/>
                <w:sz w:val="24"/>
                <w:lang w:val="en-US" w:eastAsia="zh-CN"/>
              </w:rPr>
              <w:t>30</w:t>
            </w:r>
          </w:p>
        </w:tc>
      </w:tr>
      <w:tr>
        <w:trPr>
          <w:trHeight w:val="497"/>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环保投资占比（%）</w:t>
            </w:r>
          </w:p>
        </w:tc>
        <w:tc>
          <w:tcPr>
            <w:tcW w:w="1096"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eastAsia="宋体"/>
                <w:color w:val="auto"/>
                <w:sz w:val="24"/>
                <w:lang w:val="en-US" w:eastAsia="zh-CN"/>
              </w:rPr>
            </w:pPr>
            <w:r>
              <w:rPr>
                <w:rFonts w:hint="eastAsia"/>
                <w:color w:val="auto"/>
                <w:sz w:val="24"/>
                <w:lang w:val="en-US" w:eastAsia="zh-CN"/>
              </w:rPr>
              <w:t>10</w:t>
            </w:r>
          </w:p>
        </w:tc>
        <w:tc>
          <w:tcPr>
            <w:tcW w:w="1056" w:type="pct"/>
            <w:tcBorders>
              <w:left w:val="single" w:sz="4" w:space="0" w:color="auto"/>
            </w:tcBorders>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施工工期</w:t>
            </w:r>
          </w:p>
        </w:tc>
        <w:tc>
          <w:tcPr>
            <w:tcW w:w="199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rFonts w:hint="eastAsia"/>
                <w:color w:val="auto"/>
                <w:sz w:val="24"/>
                <w:lang w:val="en-US" w:eastAsia="zh-CN"/>
              </w:rPr>
              <w:t>6</w:t>
            </w:r>
            <w:r>
              <w:rPr>
                <w:color w:val="auto"/>
                <w:sz w:val="24"/>
              </w:rPr>
              <w:t>月</w:t>
            </w:r>
          </w:p>
        </w:tc>
      </w:tr>
      <w:tr>
        <w:trPr>
          <w:trHeight w:val="841"/>
        </w:trPr>
        <w:tc>
          <w:tcPr>
            <w:tcW w:w="851" w:type="pct"/>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是否开工建设</w:t>
            </w:r>
          </w:p>
        </w:tc>
        <w:tc>
          <w:tcPr>
            <w:tcW w:w="1096"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4"/>
              </w:rPr>
            </w:pPr>
            <w:r>
              <w:rPr>
                <w:color w:val="auto"/>
                <w:sz w:val="24"/>
              </w:rPr>
              <w:t>☑否</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4"/>
              </w:rPr>
            </w:pPr>
            <w:r>
              <w:rPr>
                <w:rFonts w:hint="eastAsia"/>
                <w:color w:val="auto"/>
                <w:sz w:val="24"/>
                <w:lang w:eastAsia="zh-CN"/>
              </w:rPr>
              <w:t>□</w:t>
            </w:r>
            <w:r>
              <w:rPr>
                <w:color w:val="auto"/>
                <w:sz w:val="24"/>
              </w:rPr>
              <w:t>是：</w:t>
            </w:r>
          </w:p>
        </w:tc>
        <w:tc>
          <w:tcPr>
            <w:tcW w:w="1056" w:type="pct"/>
            <w:tcBorders>
              <w:left w:val="single" w:sz="4" w:space="0" w:color="auto"/>
            </w:tcBorders>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用地（用海）</w:t>
            </w:r>
          </w:p>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sz w:val="24"/>
              </w:rPr>
            </w:pPr>
            <w:r>
              <w:rPr>
                <w:color w:val="auto"/>
                <w:sz w:val="24"/>
              </w:rPr>
              <w:t>面积（</w:t>
            </w:r>
            <w:r>
              <w:rPr>
                <w:rFonts w:hint="eastAsia"/>
                <w:color w:val="auto"/>
                <w:sz w:val="24"/>
                <w:lang w:val="en-US" w:eastAsia="zh-CN"/>
              </w:rPr>
              <w:t>㎡</w:t>
            </w:r>
            <w:r>
              <w:rPr>
                <w:color w:val="auto"/>
                <w:sz w:val="24"/>
              </w:rPr>
              <w:t>）</w:t>
            </w:r>
          </w:p>
        </w:tc>
        <w:tc>
          <w:tcPr>
            <w:tcW w:w="199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lang w:val="en-US"/>
              </w:rPr>
            </w:pPr>
            <w:r>
              <w:rPr>
                <w:rFonts w:hint="eastAsia"/>
                <w:color w:val="auto"/>
                <w:sz w:val="24"/>
                <w:lang w:val="en-US" w:eastAsia="zh-CN"/>
              </w:rPr>
              <w:t>0</w:t>
            </w:r>
          </w:p>
        </w:tc>
      </w:tr>
      <w:tr>
        <w:trPr>
          <w:trHeight w:val="212"/>
        </w:trPr>
        <w:tc>
          <w:tcPr>
            <w:tcW w:w="851" w:type="pct"/>
            <w:tcMar>
              <w:left w:w="10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Chars="0" w:firstLine="0"/>
              <w:jc w:val="center"/>
              <w:textAlignment w:val="auto"/>
              <w:rPr>
                <w:color w:val="auto"/>
                <w:kern w:val="0"/>
                <w:sz w:val="24"/>
              </w:rPr>
            </w:pPr>
            <w:r>
              <w:rPr>
                <w:color w:val="auto"/>
                <w:kern w:val="0"/>
                <w:sz w:val="24"/>
              </w:rPr>
              <w:t>专项评价设置情况</w:t>
            </w:r>
          </w:p>
        </w:tc>
        <w:tc>
          <w:tcPr>
            <w:tcW w:w="4148" w:type="pct"/>
            <w:gridSpan w:val="3"/>
            <w:tcBorders>
              <w:left w:val="single" w:sz="4" w:space="0" w:color="auto"/>
            </w:tcBorders>
            <w:tcMar>
              <w:left w:w="108" w:type="dxa"/>
            </w:tcMar>
            <w:vAlign w:val="center"/>
          </w:tcPr>
          <w:p>
            <w:pPr>
              <w:keepNext w:val="0"/>
              <w:keepLines w:val="0"/>
              <w:pageBreakBefore w:val="0"/>
              <w:widowControl w:val="0"/>
              <w:kinsoku/>
              <w:wordWrap/>
              <w:overflowPunct/>
              <w:topLinePunct w:val="0"/>
              <w:autoSpaceDE w:val="0"/>
              <w:autoSpaceDN w:val="0"/>
              <w:bidi w:val="0"/>
              <w:adjustRightInd w:val="0"/>
              <w:snapToGrid w:val="0"/>
              <w:ind w:left="0" w:right="0" w:firstLineChars="0" w:firstLine="0"/>
              <w:jc w:val="center"/>
              <w:textAlignment w:val="auto"/>
              <w:rPr>
                <w:color w:val="auto"/>
                <w:kern w:val="0"/>
                <w:sz w:val="24"/>
              </w:rPr>
            </w:pPr>
            <w:r>
              <w:rPr>
                <w:color w:val="auto"/>
                <w:kern w:val="0"/>
                <w:sz w:val="24"/>
              </w:rPr>
              <w:t>无</w:t>
            </w:r>
          </w:p>
        </w:tc>
      </w:tr>
      <w:tr>
        <w:trPr>
          <w:trHeight w:val="1505"/>
        </w:trPr>
        <w:tc>
          <w:tcPr>
            <w:tcW w:w="851" w:type="pct"/>
            <w:tcMar>
              <w:left w:w="108" w:type="dxa"/>
            </w:tcMar>
            <w:vAlign w:val="center"/>
          </w:tcPr>
          <w:p>
            <w:pPr>
              <w:keepNext w:val="0"/>
              <w:keepLines w:val="0"/>
              <w:pageBreakBefore w:val="0"/>
              <w:widowControl w:val="0"/>
              <w:kinsoku/>
              <w:wordWrap/>
              <w:overflowPunct/>
              <w:topLinePunct w:val="0"/>
              <w:autoSpaceDE w:val="0"/>
              <w:autoSpaceDN w:val="0"/>
              <w:bidi w:val="0"/>
              <w:adjustRightInd w:val="0"/>
              <w:snapToGrid w:val="0"/>
              <w:ind w:firstLineChars="0" w:firstLine="0"/>
              <w:jc w:val="center"/>
              <w:textAlignment w:val="auto"/>
              <w:rPr>
                <w:color w:val="auto"/>
                <w:kern w:val="0"/>
                <w:sz w:val="24"/>
              </w:rPr>
            </w:pPr>
            <w:r>
              <w:rPr>
                <w:color w:val="auto"/>
                <w:sz w:val="24"/>
              </w:rPr>
              <w:t>规划情况</w:t>
            </w:r>
          </w:p>
        </w:tc>
        <w:tc>
          <w:tcPr>
            <w:tcW w:w="4148" w:type="pct"/>
            <w:gridSpan w:val="3"/>
            <w:tcBorders>
              <w:left w:val="single" w:sz="4" w:space="0" w:color="auto"/>
            </w:tcBorders>
            <w:tcMar>
              <w:left w:w="108" w:type="dxa"/>
            </w:tcMar>
            <w:vAlign w:val="center"/>
          </w:tcPr>
          <w:p>
            <w:pPr>
              <w:bidi w:val="0"/>
              <w:ind w:left="0" w:right="0" w:firstLineChars="0" w:firstLine="0"/>
              <w:jc w:val="center"/>
              <w:rPr>
                <w:color w:val="auto"/>
                <w:kern w:val="0"/>
              </w:rPr>
            </w:pPr>
            <w:r>
              <w:rPr>
                <w:rFonts w:hint="eastAsia"/>
                <w:color w:val="auto"/>
                <w:kern w:val="0"/>
                <w:lang w:val="en-US" w:eastAsia="zh-CN"/>
              </w:rPr>
              <w:t>《河北石家庄装备制造产业园总体规划（2022-2030年）》</w:t>
            </w:r>
          </w:p>
        </w:tc>
      </w:tr>
      <w:tr>
        <w:trPr>
          <w:trHeight w:val="3246"/>
        </w:trPr>
        <w:tc>
          <w:tcPr>
            <w:tcW w:w="851" w:type="pct"/>
            <w:tcMar>
              <w:left w:w="108" w:type="dxa"/>
            </w:tcMar>
            <w:vAlign w:val="center"/>
          </w:tcPr>
          <w:p>
            <w:pPr>
              <w:keepNext w:val="0"/>
              <w:keepLines w:val="0"/>
              <w:pageBreakBefore w:val="0"/>
              <w:widowControl w:val="0"/>
              <w:kinsoku/>
              <w:wordWrap/>
              <w:overflowPunct/>
              <w:topLinePunct w:val="0"/>
              <w:bidi w:val="0"/>
              <w:adjustRightInd w:val="0"/>
              <w:snapToGrid w:val="0"/>
              <w:spacing w:line="240" w:lineRule="auto"/>
              <w:ind w:firstLineChars="0" w:firstLine="0"/>
              <w:jc w:val="center"/>
              <w:textAlignment w:val="auto"/>
              <w:rPr>
                <w:color w:val="auto"/>
                <w:kern w:val="0"/>
                <w:sz w:val="24"/>
              </w:rPr>
            </w:pPr>
            <w:r>
              <w:rPr>
                <w:color w:val="auto"/>
                <w:sz w:val="24"/>
              </w:rPr>
              <w:t>规划环境影响评价情况</w:t>
            </w:r>
          </w:p>
        </w:tc>
        <w:tc>
          <w:tcPr>
            <w:tcW w:w="4148" w:type="pct"/>
            <w:gridSpan w:val="3"/>
            <w:tcBorders>
              <w:left w:val="single" w:sz="4" w:space="0" w:color="auto"/>
            </w:tcBorders>
            <w:tcMar>
              <w:left w:w="108" w:type="dxa"/>
            </w:tcMar>
            <w:vAlign w:val="center"/>
          </w:tcPr>
          <w:p>
            <w:pPr>
              <w:autoSpaceDE w:val="0"/>
              <w:autoSpaceDN w:val="0"/>
              <w:spacing w:line="360" w:lineRule="auto"/>
              <w:ind w:left="0" w:right="0" w:firstLineChars="0" w:firstLine="0"/>
              <w:jc w:val="left"/>
              <w:rPr>
                <w:rFonts w:hint="eastAsia"/>
                <w:color w:val="auto"/>
                <w:kern w:val="0"/>
                <w:sz w:val="24"/>
                <w:lang w:val="en-US" w:eastAsia="zh-CN"/>
              </w:rPr>
            </w:pPr>
            <w:r>
              <w:rPr>
                <w:rFonts w:hint="eastAsia"/>
                <w:color w:val="auto"/>
                <w:kern w:val="0"/>
                <w:sz w:val="24"/>
                <w:lang w:val="en-US" w:eastAsia="zh-CN"/>
              </w:rPr>
              <w:t>规划环境影响评价文件名称：《河北石家庄装备制造产业园总体规划（2022-2030年）环境影响报告书》；</w:t>
            </w:r>
          </w:p>
          <w:p>
            <w:pPr>
              <w:autoSpaceDE w:val="0"/>
              <w:autoSpaceDN w:val="0"/>
              <w:spacing w:line="360" w:lineRule="auto"/>
              <w:ind w:left="0" w:right="0" w:firstLineChars="0" w:firstLine="0"/>
              <w:jc w:val="left"/>
              <w:rPr>
                <w:rFonts w:hint="eastAsia"/>
                <w:color w:val="auto"/>
                <w:kern w:val="0"/>
                <w:sz w:val="24"/>
                <w:lang w:val="en-US" w:eastAsia="zh-CN"/>
              </w:rPr>
            </w:pPr>
            <w:r>
              <w:rPr>
                <w:rFonts w:hint="eastAsia"/>
                <w:color w:val="auto"/>
                <w:kern w:val="0"/>
                <w:sz w:val="24"/>
                <w:lang w:val="en-US" w:eastAsia="zh-CN"/>
              </w:rPr>
              <w:t>审查机关：河北省生态环境厅；</w:t>
            </w:r>
          </w:p>
          <w:p>
            <w:pPr>
              <w:autoSpaceDE w:val="0"/>
              <w:autoSpaceDN w:val="0"/>
              <w:spacing w:line="360" w:lineRule="auto"/>
              <w:ind w:left="0" w:right="0" w:firstLineChars="0" w:firstLine="0"/>
              <w:jc w:val="left"/>
              <w:rPr>
                <w:color w:val="auto"/>
                <w:kern w:val="0"/>
                <w:sz w:val="24"/>
              </w:rPr>
            </w:pPr>
            <w:r>
              <w:rPr>
                <w:rFonts w:hint="eastAsia"/>
                <w:color w:val="auto"/>
                <w:kern w:val="0"/>
                <w:sz w:val="24"/>
                <w:lang w:val="en-US" w:eastAsia="zh-CN"/>
              </w:rPr>
              <w:t>审查文件名称及文号：《河北省生态环境厅关于&lt;河北石家庄装备制造产业园总体规划（2022-2030年）环境影响报告书&gt;的审查意见的函》（冀环环评函[2025]1839号）。</w:t>
            </w:r>
          </w:p>
        </w:tc>
      </w:tr>
      <w:tr>
        <w:trPr>
          <w:trHeight w:val="420"/>
        </w:trPr>
        <w:tc>
          <w:tcPr>
            <w:tcW w:w="851" w:type="pct"/>
            <w:tcMar>
              <w:left w:w="10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Chars="0" w:firstLine="0"/>
              <w:jc w:val="center"/>
              <w:textAlignment w:val="auto"/>
              <w:rPr>
                <w:color w:val="auto"/>
                <w:kern w:val="0"/>
                <w:sz w:val="24"/>
              </w:rPr>
            </w:pPr>
            <w:r>
              <w:rPr>
                <w:color w:val="auto"/>
                <w:kern w:val="0"/>
                <w:sz w:val="24"/>
              </w:rPr>
              <w:t>规划及规划环境影响评价符合性分析</w:t>
            </w:r>
          </w:p>
        </w:tc>
        <w:tc>
          <w:tcPr>
            <w:tcW w:w="4148" w:type="pct"/>
            <w:gridSpan w:val="3"/>
            <w:tcBorders>
              <w:left w:val="single" w:sz="4" w:space="0" w:color="auto"/>
            </w:tcBorders>
            <w:tcMar>
              <w:left w:w="108" w:type="dxa"/>
            </w:tcMar>
            <w:vAlign w:val="center"/>
          </w:tcPr>
          <w:p>
            <w:pPr>
              <w:autoSpaceDE w:val="0"/>
              <w:autoSpaceDN w:val="0"/>
              <w:spacing w:line="360" w:lineRule="auto"/>
              <w:ind w:firstLineChars="200" w:firstLine="480"/>
              <w:rPr>
                <w:color w:val="auto"/>
                <w:sz w:val="24"/>
              </w:rPr>
            </w:pPr>
            <w:r>
              <w:rPr>
                <w:b/>
                <w:bCs/>
                <w:color w:val="auto"/>
                <w:sz w:val="24"/>
              </w:rPr>
              <w:t>1、与河北石家庄装备制造产业园生物医药聚集区规划符合性分析</w:t>
            </w:r>
          </w:p>
          <w:p>
            <w:pPr>
              <w:spacing w:line="360" w:lineRule="auto"/>
              <w:ind w:firstLineChars="200" w:firstLine="480"/>
              <w:rPr>
                <w:rFonts w:hint="eastAsia"/>
                <w:color w:val="auto"/>
                <w:sz w:val="24"/>
              </w:rPr>
            </w:pPr>
            <w:r>
              <w:rPr>
                <w:rFonts w:hint="eastAsia"/>
                <w:color w:val="auto"/>
                <w:sz w:val="24"/>
                <w:lang w:val="en-US" w:eastAsia="zh-CN"/>
              </w:rPr>
              <w:t>1、与</w:t>
            </w:r>
            <w:r>
              <w:rPr>
                <w:rFonts w:hint="eastAsia"/>
                <w:color w:val="auto"/>
                <w:sz w:val="24"/>
                <w:lang w:eastAsia="zh-CN"/>
              </w:rPr>
              <w:t>园区</w:t>
            </w:r>
            <w:r>
              <w:rPr>
                <w:rFonts w:hint="eastAsia"/>
                <w:color w:val="auto"/>
                <w:sz w:val="24"/>
              </w:rPr>
              <w:t>规划定位、规划范围、规划用地布局</w:t>
            </w:r>
            <w:r>
              <w:rPr>
                <w:rFonts w:hint="eastAsia"/>
                <w:color w:val="auto"/>
                <w:sz w:val="24"/>
                <w:lang w:eastAsia="zh-CN"/>
              </w:rPr>
              <w:t>、产业发展</w:t>
            </w:r>
            <w:r>
              <w:rPr>
                <w:rFonts w:hint="eastAsia"/>
                <w:color w:val="auto"/>
                <w:sz w:val="24"/>
              </w:rPr>
              <w:t>规划</w:t>
            </w:r>
            <w:r>
              <w:rPr>
                <w:rFonts w:hint="eastAsia"/>
                <w:color w:val="auto"/>
                <w:sz w:val="24"/>
                <w:lang w:eastAsia="zh-CN"/>
              </w:rPr>
              <w:t>符合性如下</w:t>
            </w:r>
            <w:r>
              <w:rPr>
                <w:rFonts w:hint="eastAsia"/>
                <w:color w:val="auto"/>
                <w:sz w:val="24"/>
              </w:rPr>
              <w:t>：</w:t>
            </w:r>
          </w:p>
          <w:p>
            <w:pPr>
              <w:spacing w:line="360" w:lineRule="auto"/>
              <w:ind w:firstLineChars="200" w:firstLine="480"/>
              <w:rPr>
                <w:rFonts w:hint="eastAsia"/>
                <w:color w:val="auto"/>
                <w:sz w:val="24"/>
              </w:rPr>
            </w:pPr>
            <w:r>
              <w:rPr>
                <w:rFonts w:hint="eastAsia"/>
                <w:color w:val="auto"/>
                <w:sz w:val="24"/>
              </w:rPr>
              <w:t>①规划定位：</w:t>
            </w:r>
            <w:r>
              <w:rPr>
                <w:rFonts w:hint="eastAsia"/>
                <w:color w:val="auto"/>
                <w:sz w:val="24"/>
                <w:lang w:val="en-US" w:eastAsia="zh-CN"/>
              </w:rPr>
              <w:t>国家外贸转型升级基地，北方地区工业无人机研发、生产基地，河北省装备制造产业聚集区，石家庄市六大产业基地之一，以装备制造产业为主导的集生物医药大健康产业、物流产业、配套服务产业及现代城市居住功能于一体的综合性产业基地。</w:t>
            </w:r>
          </w:p>
          <w:p>
            <w:pPr>
              <w:spacing w:line="360" w:lineRule="auto"/>
              <w:ind w:firstLineChars="200" w:firstLine="480"/>
              <w:rPr>
                <w:rFonts w:hint="eastAsia"/>
                <w:color w:val="auto"/>
                <w:sz w:val="24"/>
              </w:rPr>
            </w:pPr>
            <w:r>
              <w:rPr>
                <w:rFonts w:hint="eastAsia"/>
                <w:color w:val="auto"/>
                <w:sz w:val="24"/>
              </w:rPr>
              <w:t>②规划范围：</w:t>
            </w:r>
            <w:r>
              <w:rPr>
                <w:rFonts w:hint="eastAsia"/>
                <w:color w:val="auto"/>
                <w:sz w:val="24"/>
                <w:lang w:val="en-US" w:eastAsia="zh-CN"/>
              </w:rPr>
              <w:t>河北石家庄装备制造产业园规划总用地面积43.72平方公里，其中栾城境内40.33平方公里、元氏境内3.39平方公里，规划范围北至南三环、西至107国道、南至规划337省道、东至石栾大街。规划范围内包含城镇开发边界36.10平方公里。</w:t>
            </w:r>
          </w:p>
          <w:p>
            <w:pPr>
              <w:spacing w:line="360" w:lineRule="auto"/>
              <w:ind w:firstLineChars="200" w:firstLine="480"/>
              <w:rPr>
                <w:rFonts w:hint="eastAsia"/>
                <w:color w:val="auto"/>
                <w:sz w:val="24"/>
                <w:lang w:val="en-US" w:eastAsia="zh-CN"/>
              </w:rPr>
            </w:pPr>
            <w:r>
              <w:rPr>
                <w:rFonts w:hint="eastAsia"/>
                <w:color w:val="auto"/>
                <w:sz w:val="24"/>
              </w:rPr>
              <w:t>③规划用地布局</w:t>
            </w:r>
            <w:r>
              <w:rPr>
                <w:rFonts w:hint="eastAsia"/>
                <w:color w:val="auto"/>
                <w:sz w:val="24"/>
                <w:lang w:eastAsia="zh-CN"/>
              </w:rPr>
              <w:t>：</w:t>
            </w:r>
            <w:r>
              <w:rPr>
                <w:rFonts w:hint="eastAsia"/>
                <w:color w:val="auto"/>
                <w:sz w:val="24"/>
                <w:lang w:val="en-US" w:eastAsia="zh-CN"/>
              </w:rPr>
              <w:t>规划总用地面积4372.05公顷，其中城镇建设用地3502.78公顷，占总规划用地的80.12%；区域基础设施用地106.76公顷，占总规划用地的2.4%；其他建设用地9.36公顷，占总规划用地的0.21%；非建设用地753.15，占总规划用地的17.23%。</w:t>
            </w:r>
          </w:p>
          <w:p>
            <w:pPr>
              <w:spacing w:line="360" w:lineRule="auto"/>
              <w:ind w:firstLineChars="200" w:firstLine="480"/>
              <w:rPr>
                <w:rFonts w:hint="eastAsia"/>
                <w:color w:val="auto"/>
                <w:sz w:val="24"/>
                <w:lang w:val="en-US" w:eastAsia="zh-CN"/>
              </w:rPr>
            </w:pPr>
            <w:r>
              <w:rPr>
                <w:rFonts w:hint="eastAsia"/>
                <w:color w:val="auto"/>
                <w:sz w:val="24"/>
                <w:lang w:val="en-US" w:eastAsia="zh-CN"/>
              </w:rPr>
              <w:fldChar w:fldCharType="begin"/>
            </w:r>
            <w:r>
              <w:rPr>
                <w:rFonts w:hint="eastAsia"/>
                <w:color w:val="auto"/>
                <w:sz w:val="24"/>
                <w:lang w:val="en-US" w:eastAsia="zh-CN"/>
              </w:rPr>
              <w:instrText xml:space="preserve"> = 4 \* GB3 \* MERGEFORMAT </w:instrText>
            </w:r>
            <w:r>
              <w:rPr>
                <w:rFonts w:hint="eastAsia"/>
                <w:color w:val="auto"/>
                <w:sz w:val="24"/>
                <w:lang w:val="en-US" w:eastAsia="zh-CN"/>
              </w:rPr>
              <w:fldChar w:fldCharType="separate"/>
            </w:r>
            <w:r>
              <w:rPr>
                <w:rFonts w:hint="eastAsia"/>
                <w:color w:val="auto"/>
                <w:sz w:val="24"/>
              </w:rPr>
              <w:t>④</w:t>
            </w:r>
            <w:r>
              <w:rPr>
                <w:rFonts w:hint="eastAsia"/>
                <w:color w:val="auto"/>
                <w:sz w:val="24"/>
                <w:lang w:val="en-US" w:eastAsia="zh-CN"/>
              </w:rPr>
              <w:fldChar w:fldCharType="end"/>
            </w:r>
            <w:r>
              <w:rPr>
                <w:rFonts w:hint="eastAsia"/>
                <w:color w:val="auto"/>
                <w:sz w:val="24"/>
                <w:lang w:val="en-US" w:eastAsia="zh-CN"/>
              </w:rPr>
              <w:t>产业发展：</w:t>
            </w:r>
          </w:p>
          <w:p>
            <w:pPr>
              <w:spacing w:line="360" w:lineRule="auto"/>
              <w:ind w:firstLineChars="200" w:firstLine="480"/>
              <w:rPr>
                <w:color w:val="auto"/>
                <w:sz w:val="24"/>
              </w:rPr>
            </w:pPr>
            <w:r>
              <w:rPr>
                <w:rFonts w:hint="eastAsia"/>
                <w:color w:val="auto"/>
                <w:sz w:val="24"/>
                <w:lang w:val="en-US" w:eastAsia="zh-CN"/>
              </w:rPr>
              <w:t>食品和医药产业园区：位于337省道以北、308国道以东、石栾大街以西、惠源路以南，占地773公顷。规划以医药制造产业和食品制造产业为主，以发展医药制造、食品制造产业配套的包装印刷、橡胶和塑料制品制造为辅，培育发展大健康产业和小微企业孵化。其中，列入重点化工监控点的企业在项目审批、建设和管理方面参照省、市规定执行。其它现有化工企业，允许建设安全、环保、节能和智能化改造项目。</w:t>
            </w:r>
          </w:p>
          <w:p>
            <w:pPr>
              <w:spacing w:line="360" w:lineRule="auto"/>
              <w:ind w:firstLineChars="200" w:firstLine="480"/>
              <w:rPr>
                <w:color w:val="auto"/>
                <w:sz w:val="24"/>
                <w:lang w:val="en-US" w:eastAsia="zh-CN"/>
                <w:highlight w:val="yellow"/>
              </w:rPr>
            </w:pPr>
            <w:r>
              <w:rPr>
                <w:rFonts w:hint="eastAsia"/>
                <w:color w:val="auto"/>
                <w:sz w:val="24"/>
                <w:highlight w:val="none"/>
              </w:rPr>
              <w:t>本项目位于</w:t>
            </w:r>
            <w:r>
              <w:rPr>
                <w:rFonts w:hint="eastAsia"/>
                <w:color w:val="auto"/>
                <w:sz w:val="24"/>
                <w:lang w:val="en-US" w:eastAsia="zh-CN"/>
                <w:highlight w:val="none"/>
              </w:rPr>
              <w:t>河北省石家庄市栾城区栾城镇环城南路11号</w:t>
            </w:r>
            <w:r>
              <w:rPr>
                <w:color w:val="auto"/>
                <w:sz w:val="24"/>
                <w:lang w:val="en-US" w:eastAsia="zh-CN"/>
                <w:highlight w:val="none"/>
              </w:rPr>
              <w:t>华百仕（河北）食品科技有限公司</w:t>
            </w:r>
            <w:r>
              <w:rPr>
                <w:rFonts w:hint="eastAsia"/>
                <w:color w:val="auto"/>
                <w:sz w:val="24"/>
                <w:lang w:val="en-US" w:eastAsia="zh-CN"/>
                <w:highlight w:val="none"/>
              </w:rPr>
              <w:t>现有厂区内</w:t>
            </w:r>
            <w:r>
              <w:rPr>
                <w:color w:val="auto"/>
                <w:sz w:val="24"/>
                <w:highlight w:val="none"/>
              </w:rPr>
              <w:t>，</w:t>
            </w:r>
            <w:r>
              <w:rPr>
                <w:rFonts w:hint="eastAsia"/>
                <w:color w:val="auto"/>
                <w:sz w:val="24"/>
                <w:lang w:val="en-US" w:eastAsia="zh-CN"/>
                <w:highlight w:val="none"/>
              </w:rPr>
              <w:t>不新增占地</w:t>
            </w:r>
            <w:r>
              <w:rPr>
                <w:rFonts w:hint="eastAsia"/>
                <w:color w:val="auto"/>
                <w:sz w:val="24"/>
                <w:highlight w:val="none"/>
              </w:rPr>
              <w:t>，</w:t>
            </w:r>
            <w:r>
              <w:rPr>
                <w:rFonts w:hint="eastAsia"/>
                <w:color w:val="auto"/>
                <w:sz w:val="24"/>
                <w:lang w:val="en-US" w:eastAsia="zh-CN"/>
                <w:highlight w:val="none"/>
              </w:rPr>
              <w:t>本项目已获取土地证（见附件）土地性质为工业用地，对照园区产业布局规划图（见附图6），项目位于食品和医药产业园区，本项目为饮料制造业和食品添加剂制造业，符合河北省装备制造产业聚集区的规划定位以及装备制造产业园区产业发展规划。</w:t>
            </w:r>
          </w:p>
          <w:p>
            <w:pPr>
              <w:autoSpaceDE w:val="0"/>
              <w:autoSpaceDN w:val="0"/>
              <w:spacing w:line="360" w:lineRule="auto"/>
              <w:ind w:firstLineChars="200" w:firstLine="480"/>
              <w:rPr>
                <w:b/>
                <w:bCs/>
                <w:color w:val="auto"/>
                <w:kern w:val="0"/>
                <w:sz w:val="24"/>
              </w:rPr>
            </w:pPr>
            <w:r>
              <w:rPr>
                <w:rFonts w:hint="eastAsia"/>
                <w:b/>
                <w:bCs/>
                <w:color w:val="auto"/>
                <w:kern w:val="0"/>
                <w:sz w:val="24"/>
                <w:lang w:val="en-US" w:eastAsia="zh-CN"/>
              </w:rPr>
              <w:t xml:space="preserve">2、与基础设施规划符合性分析 </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eastAsia="zh-CN"/>
              </w:rPr>
              <w:t>（</w:t>
            </w:r>
            <w:r>
              <w:rPr>
                <w:rFonts w:hint="eastAsia"/>
                <w:color w:val="auto"/>
                <w:kern w:val="0"/>
                <w:sz w:val="24"/>
                <w:lang w:val="en-US" w:eastAsia="zh-CN"/>
              </w:rPr>
              <w:t>1</w:t>
            </w:r>
            <w:r>
              <w:rPr>
                <w:rFonts w:hint="eastAsia"/>
                <w:color w:val="auto"/>
                <w:kern w:val="0"/>
                <w:sz w:val="24"/>
                <w:lang w:eastAsia="zh-CN"/>
              </w:rPr>
              <w:t>）</w:t>
            </w:r>
            <w:r>
              <w:rPr>
                <w:rFonts w:hint="eastAsia"/>
                <w:color w:val="auto"/>
                <w:kern w:val="0"/>
                <w:sz w:val="24"/>
                <w:lang w:val="en-US" w:eastAsia="zh-CN"/>
              </w:rPr>
              <w:t>给水工程</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规划区远期最高日总用水量为14.00万m³/d，其中栾城区境内用水量为13.08万m³/d、元氏县境内用水量为0.92万m³/d。</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规划新建园区东地表水厂，扩建城区地表水厂，保留中瀚水务地表水厂和栾城区第一水厂，将原绿源污水处理厂改建为再生水厂。</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园区方西大街以西栾城区境内由中瀚水务地表水厂、园区东地表水厂联合供给，方西大街以西元氏境内由元氏县华电水厂供给，方西大街以东由城区地表水厂供给，栾城区第一供水厂作为应急水源。</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食品和医药产业园区内建有城区南水北调集中供水厂，于2015年4月开始建设，2016年3月建成，2016年8月开始供水，由栾城区供水服务中心运营。供水工艺为“沉淀—过滤—消毒—供水”。供水厂建成后为栾城城区和规划区供水。目前食品和医药产业园区、通用飞机产业园区工业生产和生活用水实现了集中供水。集中供水厂设计供水规模5万m³/d，实际用水3.89万m³/d。</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本项目供水由园区供水管网提供，项目所在区域已铺设管网，可满足项目用水需求。</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（2）排水工程规划</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根据园区用地特点，采用不同类别用地用水量对污水量进行预测，规划远期园区总污水量约为7.13万m³/d，其中栾城区境内污水量约为6.66万m³/d、元氏县境内污水量约为0.47万m³/d。规划保留洨河西污水处理厂和城区污水处理厂，并在城区污水处理厂内增加提标处理工艺设施。洨河西污水处理厂收水范围为西部工业组团栾城区境内，城区污水 处理厂收水范围为东部工业组团，西部工业组团元氏县境内污水排至元氏县槐东污水厂。</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食品和医药产业园区内现有污水处理厂一座，为德威华泰石家庄市栾城水务有限公司。该污水处理厂于2002年编制了《栾城县污水处理厂环境影响报告书》；2012年编制了《栾城县污水处理厂二期工程环境影响报告表》。2019年编制了《栾城区污水处理厂提标改造项目环境影响报告表》，提标改造后收水范围主要是食品和医药产业园区和通用飞机产业园区排放的达标废水，不再承接石栾大街以东（栾城区主城区生活污水，栾城区主城区生活污水由栾城区城东污水处理厂处理）。该污水处理厂占地面积101亩，采用预处理+双沟式氧化沟+深度处理工艺，设计污水处理规模为6万m³/d，出水最终排入洨河。</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本项目废水经厂区污水处理站处理后经市政管网排入德威华泰石家庄市栾城水务有限公司。</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 xml:space="preserve">（3）供电工程规划 </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园区电力由中节能垃圾焚烧发电厂、冀粤垃圾焚烧发电厂、宏源热电厂、裕华热电厂联合供给。园区电压等级根据国家标准电压等级和上级电网情况，规划为220kV/110kV/10KV/0.4kV的三级电网。以220kV、110kV作为园区的送电电压，中压配电电压为10kV，低压配电电压为0.4kV（220/380V）。规划保留园区范围内220kV龙岗站、110kV栾城站、110kV窦妪站、110kV苏邱站4座变电站，并新建220kV变电站一座、110kV变电站4座。</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本项目由当地电网供电，可满足项目用电需求。</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 xml:space="preserve">（4）供热工程规划 </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 xml:space="preserve">规划远期集中供热总热负荷为1100.01MW，其中栾城区境内采暖热负荷为1047.60MW、元氏县境内采暖热负荷为52.41MW。 </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 xml:space="preserve">规划园区采用集中供热，热源为中节能垃圾焚烧发电厂、宏源热电厂、冀粤垃圾焚烧发电厂、神威热力中心、裕华热电厂及规划新建栾城西中继能源站。 </w:t>
            </w:r>
          </w:p>
          <w:p>
            <w:pPr>
              <w:autoSpaceDE w:val="0"/>
              <w:autoSpaceDN w:val="0"/>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规划中节能垃圾焚烧发电厂供热规模扩建至400t/h，宏源热电厂、冀粤垃圾焚烧发电厂、神威热力中心、裕华热电厂供热规模维持现状，新建栾城西中继能源站。</w:t>
            </w:r>
          </w:p>
          <w:p>
            <w:pPr>
              <w:autoSpaceDE w:val="0"/>
              <w:autoSpaceDN w:val="0"/>
              <w:spacing w:line="360" w:lineRule="auto"/>
              <w:ind w:firstLineChars="200" w:firstLine="480"/>
              <w:rPr>
                <w:rFonts w:hint="eastAsia"/>
                <w:color w:val="auto"/>
                <w:kern w:val="0"/>
                <w:sz w:val="24"/>
                <w:lang w:val="en-US" w:eastAsia="zh-CN"/>
                <w:highlight w:val="none"/>
              </w:rPr>
            </w:pPr>
            <w:r>
              <w:rPr>
                <w:rFonts w:hint="eastAsia"/>
                <w:color w:val="auto"/>
                <w:kern w:val="0"/>
                <w:sz w:val="24"/>
                <w:lang w:val="en-US" w:eastAsia="zh-CN"/>
                <w:highlight w:val="none"/>
              </w:rPr>
              <w:t>集中供热管道提供的蒸汽压力为8Mpa，本企业接入的管道为其他企业使用的主管道，我单位单独使用时蒸汽压力在4-6Mpa，但与其他企业同时使用时蒸汽压力只有2-3Mpa。</w:t>
            </w:r>
          </w:p>
          <w:p>
            <w:pPr>
              <w:autoSpaceDE w:val="0"/>
              <w:autoSpaceDN w:val="0"/>
              <w:spacing w:line="360" w:lineRule="auto"/>
              <w:ind w:firstLineChars="200" w:firstLine="480"/>
              <w:rPr>
                <w:rFonts w:eastAsia="宋体" w:hint="eastAsia"/>
                <w:color w:val="auto"/>
                <w:lang w:eastAsia="zh-CN"/>
              </w:rPr>
            </w:pPr>
            <w:r>
              <w:rPr>
                <w:rFonts w:hint="eastAsia"/>
                <w:color w:val="auto"/>
                <w:kern w:val="0"/>
                <w:sz w:val="24"/>
                <w:lang w:val="en-US" w:eastAsia="zh-CN"/>
                <w:highlight w:val="none"/>
              </w:rPr>
              <w:t>本企业现有工程生产运行所需蒸汽压力为4Mpa，由于蒸汽压力波动会影响现有工程正常生产且本项目新增的杀菌机所需的蒸汽压力为7-8MPa，因此集中供热供给的蒸汽压力无法满足本项目的生产需求。因此本项目拟建设2套2t/h的蒸汽发生器，为本项目及其他生产工序供应蒸汽。</w:t>
            </w:r>
          </w:p>
          <w:p>
            <w:pPr>
              <w:autoSpaceDE w:val="0"/>
              <w:autoSpaceDN w:val="0"/>
              <w:spacing w:line="360" w:lineRule="auto"/>
              <w:ind w:firstLineChars="200" w:firstLine="480"/>
              <w:rPr>
                <w:rFonts w:hint="eastAsia"/>
                <w:b/>
                <w:bCs/>
                <w:color w:val="auto"/>
                <w:sz w:val="24"/>
                <w:lang w:val="en-US" w:eastAsia="zh-CN"/>
              </w:rPr>
            </w:pPr>
            <w:r>
              <w:rPr>
                <w:rFonts w:hint="eastAsia"/>
                <w:b/>
                <w:bCs/>
                <w:color w:val="auto"/>
                <w:sz w:val="24"/>
              </w:rPr>
              <w:t>3</w:t>
            </w:r>
            <w:r>
              <w:rPr>
                <w:b/>
                <w:bCs/>
                <w:color w:val="auto"/>
                <w:sz w:val="24"/>
              </w:rPr>
              <w:t>、</w:t>
            </w:r>
            <w:r>
              <w:rPr>
                <w:rFonts w:hint="eastAsia"/>
                <w:b/>
                <w:bCs/>
                <w:color w:val="auto"/>
                <w:sz w:val="24"/>
                <w:lang w:val="en-US" w:eastAsia="zh-CN"/>
              </w:rPr>
              <w:t>与规划审查意见符合性分析</w:t>
            </w:r>
          </w:p>
          <w:p>
            <w:pPr>
              <w:bidi w:val="0"/>
              <w:rPr>
                <w:rFonts w:hint="eastAsia"/>
                <w:color w:val="auto"/>
                <w:lang w:val="en-US" w:eastAsia="zh-CN"/>
              </w:rPr>
            </w:pPr>
            <w:r>
              <w:rPr>
                <w:rFonts w:hint="eastAsia"/>
                <w:color w:val="auto"/>
                <w:lang w:val="en-US" w:eastAsia="zh-CN"/>
              </w:rPr>
              <w:t>根据《河北省生态环境厅关于&lt;河北石家庄装备制造产业园总体规划（2022-2030年）环境影响报告书&gt;的审查意见的函》（冀环环评函[2025]1839号），对《规划》优化调整和实施过程中的意见如下</w:t>
            </w:r>
          </w:p>
          <w:p>
            <w:pPr>
              <w:pStyle w:val="24"/>
              <w:bidi w:val="0"/>
              <w:rPr>
                <w:color w:val="auto"/>
              </w:rPr>
            </w:pPr>
            <w:r>
              <w:rPr>
                <w:color w:val="auto"/>
              </w:rPr>
              <w:t>表1-</w:t>
            </w:r>
            <w:r>
              <w:rPr>
                <w:rFonts w:hint="eastAsia"/>
                <w:color w:val="auto"/>
                <w:lang w:val="en-US" w:eastAsia="zh-CN"/>
              </w:rPr>
              <w:t xml:space="preserve">1  </w:t>
            </w:r>
            <w:r>
              <w:rPr>
                <w:rFonts w:hint="eastAsia"/>
                <w:color w:val="auto"/>
              </w:rPr>
              <w:t>与</w:t>
            </w:r>
            <w:r>
              <w:rPr>
                <w:rFonts w:hint="eastAsia"/>
                <w:color w:val="auto"/>
                <w:lang w:eastAsia="zh-CN"/>
              </w:rPr>
              <w:t>规划环评</w:t>
            </w:r>
            <w:r>
              <w:rPr>
                <w:rFonts w:hint="eastAsia"/>
                <w:color w:val="auto"/>
                <w:lang w:val="en-US" w:eastAsia="zh-CN"/>
              </w:rPr>
              <w:t>审查意见</w:t>
            </w:r>
            <w:r>
              <w:rPr>
                <w:rFonts w:hint="eastAsia"/>
                <w:color w:val="auto"/>
                <w:lang w:eastAsia="zh-CN"/>
              </w:rPr>
              <w:t>符合性分析</w:t>
            </w:r>
          </w:p>
          <w:tbl>
            <w:tblPr>
              <w:jc w:val="left"/>
              <w:tblInd w:w="0" w:type="dxa"/>
              <w:tblW w:w="7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34"/>
              <w:gridCol w:w="3108"/>
              <w:gridCol w:w="2622"/>
              <w:gridCol w:w="889"/>
            </w:tblGrid>
            <w:tr>
              <w:trPr>
                <w:trHeight w:val="289"/>
              </w:trPr>
              <w:tc>
                <w:tcPr>
                  <w:tcW w:w="634" w:type="dxa"/>
                  <w:tcBorders>
                    <w:tl2br w:val="nil"/>
                    <w:tr2bl w:val="nil"/>
                  </w:tcBorders>
                  <w:vAlign w:val="center"/>
                </w:tcPr>
                <w:p>
                  <w:pPr>
                    <w:pStyle w:val="23"/>
                    <w:bidi w:val="0"/>
                    <w:rPr>
                      <w:color w:val="auto"/>
                    </w:rPr>
                  </w:pPr>
                  <w:r>
                    <w:rPr>
                      <w:color w:val="auto"/>
                    </w:rPr>
                    <w:t>序号</w:t>
                  </w:r>
                </w:p>
              </w:tc>
              <w:tc>
                <w:tcPr>
                  <w:tcW w:w="3108" w:type="dxa"/>
                  <w:tcBorders>
                    <w:tl2br w:val="nil"/>
                    <w:tr2bl w:val="nil"/>
                  </w:tcBorders>
                  <w:shd w:val="clear" w:color="auto" w:fill="auto"/>
                  <w:vAlign w:val="center"/>
                </w:tcPr>
                <w:p>
                  <w:pPr>
                    <w:pStyle w:val="25"/>
                    <w:tabs>
                      <w:tab w:val="left" w:pos="1680"/>
                      <w:tab w:val="left" w:pos="3465"/>
                    </w:tabs>
                    <w:bidi w:val="0"/>
                    <w:rPr>
                      <w:color w:val="auto"/>
                      <w:lang w:val="en-US"/>
                    </w:rPr>
                  </w:pPr>
                  <w:r>
                    <w:rPr>
                      <w:color w:val="auto"/>
                    </w:rPr>
                    <w:t>文件要求</w:t>
                  </w:r>
                </w:p>
              </w:tc>
              <w:tc>
                <w:tcPr>
                  <w:tcW w:w="2622" w:type="dxa"/>
                  <w:tcBorders>
                    <w:tl2br w:val="nil"/>
                    <w:tr2bl w:val="nil"/>
                  </w:tcBorders>
                  <w:shd w:val="clear" w:color="auto" w:fill="auto"/>
                  <w:vAlign w:val="center"/>
                </w:tcPr>
                <w:p>
                  <w:pPr>
                    <w:pStyle w:val="25"/>
                    <w:tabs>
                      <w:tab w:val="left" w:pos="1680"/>
                      <w:tab w:val="left" w:pos="3465"/>
                    </w:tabs>
                    <w:bidi w:val="0"/>
                    <w:rPr>
                      <w:color w:val="auto"/>
                      <w:lang w:val="en-US"/>
                    </w:rPr>
                  </w:pPr>
                  <w:r>
                    <w:rPr>
                      <w:color w:val="auto"/>
                    </w:rPr>
                    <w:t>项目情况</w:t>
                  </w:r>
                </w:p>
              </w:tc>
              <w:tc>
                <w:tcPr>
                  <w:tcW w:w="889" w:type="dxa"/>
                  <w:tcBorders>
                    <w:tl2br w:val="nil"/>
                    <w:tr2bl w:val="nil"/>
                  </w:tcBorders>
                  <w:vAlign w:val="center"/>
                </w:tcPr>
                <w:p>
                  <w:pPr>
                    <w:pStyle w:val="23"/>
                    <w:bidi w:val="0"/>
                    <w:rPr>
                      <w:color w:val="auto"/>
                    </w:rPr>
                  </w:pPr>
                  <w:r>
                    <w:rPr>
                      <w:color w:val="auto"/>
                    </w:rPr>
                    <w:t>符合性</w:t>
                  </w:r>
                </w:p>
              </w:tc>
            </w:tr>
            <w:tr>
              <w:trPr>
                <w:trHeight w:val="3210"/>
              </w:trPr>
              <w:tc>
                <w:tcPr>
                  <w:tcW w:w="634" w:type="dxa"/>
                  <w:tcBorders>
                    <w:tl2br w:val="nil"/>
                    <w:tr2bl w:val="nil"/>
                  </w:tcBorders>
                  <w:vAlign w:val="center"/>
                </w:tcPr>
                <w:p>
                  <w:pPr>
                    <w:pStyle w:val="23"/>
                    <w:bidi w:val="0"/>
                    <w:rPr>
                      <w:color w:val="auto"/>
                    </w:rPr>
                  </w:pPr>
                  <w:r>
                    <w:rPr>
                      <w:color w:val="auto"/>
                    </w:rPr>
                    <w:t>1</w:t>
                  </w:r>
                </w:p>
              </w:tc>
              <w:tc>
                <w:tcPr>
                  <w:tcW w:w="3108" w:type="dxa"/>
                  <w:tcBorders>
                    <w:tl2br w:val="nil"/>
                    <w:tr2bl w:val="nil"/>
                  </w:tcBorders>
                  <w:vAlign w:val="center"/>
                </w:tcPr>
                <w:p>
                  <w:pPr>
                    <w:pStyle w:val="23"/>
                    <w:bidi w:val="0"/>
                    <w:rPr>
                      <w:color w:val="auto"/>
                    </w:rPr>
                  </w:pPr>
                  <w:r>
                    <w:rPr>
                      <w:color w:val="auto"/>
                    </w:rPr>
                    <w:t>（一）落实国家及区域发展战略，坚持生态优先、提质增效，以生态环境质量改善为核心，做好与各级国土空间规划和生态环境分区管控体系的协调衔接，进一步优化《规划》布局、产业定位和发展规模。</w:t>
                  </w:r>
                </w:p>
              </w:tc>
              <w:tc>
                <w:tcPr>
                  <w:tcW w:w="2622" w:type="dxa"/>
                  <w:tcBorders>
                    <w:tl2br w:val="nil"/>
                    <w:tr2bl w:val="nil"/>
                  </w:tcBorders>
                  <w:vAlign w:val="center"/>
                </w:tcPr>
                <w:p>
                  <w:pPr>
                    <w:pStyle w:val="23"/>
                    <w:bidi w:val="0"/>
                    <w:rPr>
                      <w:color w:val="auto"/>
                    </w:rPr>
                  </w:pPr>
                  <w:r>
                    <w:rPr>
                      <w:color w:val="auto"/>
                    </w:rPr>
                    <w:t>项目位于</w:t>
                  </w:r>
                  <w:r>
                    <w:rPr>
                      <w:rFonts w:hint="eastAsia"/>
                      <w:color w:val="auto"/>
                      <w:lang w:val="en-US" w:eastAsia="zh-CN"/>
                    </w:rPr>
                    <w:t>河北省石家庄市栾城区栾城镇环城南路11号</w:t>
                  </w:r>
                  <w:r>
                    <w:rPr>
                      <w:color w:val="auto"/>
                    </w:rPr>
                    <w:t>，位于规划范围内，</w:t>
                  </w:r>
                  <w:r>
                    <w:rPr>
                      <w:rFonts w:hint="eastAsia"/>
                      <w:color w:val="auto"/>
                      <w:lang w:val="en-US" w:eastAsia="zh-CN"/>
                    </w:rPr>
                    <w:t>在现有厂区内进行建设</w:t>
                  </w:r>
                  <w:r>
                    <w:rPr>
                      <w:color w:val="auto"/>
                    </w:rPr>
                    <w:t>，占地为工业用地，符合园区用地规划。本项目为</w:t>
                  </w:r>
                  <w:r>
                    <w:rPr>
                      <w:rFonts w:hint="eastAsia"/>
                      <w:color w:val="auto"/>
                      <w:lang w:val="en-US" w:eastAsia="zh-CN"/>
                    </w:rPr>
                    <w:t>饮料制造业</w:t>
                  </w:r>
                  <w:r>
                    <w:rPr>
                      <w:color w:val="auto"/>
                    </w:rPr>
                    <w:t>，符合园区规划定位。项目在“三线一单”符合性分析中已论证其符合生态保护红线、环境质量底线、资源利用上线及生态环境准入清单的要求。</w:t>
                  </w:r>
                </w:p>
              </w:tc>
              <w:tc>
                <w:tcPr>
                  <w:tcW w:w="889" w:type="dxa"/>
                  <w:tcBorders>
                    <w:tl2br w:val="nil"/>
                    <w:tr2bl w:val="nil"/>
                  </w:tcBorders>
                  <w:vAlign w:val="center"/>
                </w:tcPr>
                <w:p>
                  <w:pPr>
                    <w:pStyle w:val="23"/>
                    <w:bidi w:val="0"/>
                    <w:rPr>
                      <w:color w:val="auto"/>
                    </w:rPr>
                  </w:pPr>
                  <w:r>
                    <w:rPr>
                      <w:color w:val="auto"/>
                    </w:rPr>
                    <w:t>符合</w:t>
                  </w:r>
                </w:p>
              </w:tc>
            </w:tr>
            <w:tr>
              <w:tc>
                <w:tcPr>
                  <w:tcW w:w="634" w:type="dxa"/>
                  <w:tcBorders>
                    <w:tl2br w:val="nil"/>
                    <w:tr2bl w:val="nil"/>
                  </w:tcBorders>
                  <w:vAlign w:val="center"/>
                </w:tcPr>
                <w:p>
                  <w:pPr>
                    <w:pStyle w:val="23"/>
                    <w:bidi w:val="0"/>
                    <w:rPr>
                      <w:color w:val="auto"/>
                    </w:rPr>
                  </w:pPr>
                  <w:r>
                    <w:rPr>
                      <w:color w:val="auto"/>
                    </w:rPr>
                    <w:t>2</w:t>
                  </w:r>
                </w:p>
              </w:tc>
              <w:tc>
                <w:tcPr>
                  <w:tcW w:w="3108" w:type="dxa"/>
                  <w:tcBorders>
                    <w:tl2br w:val="nil"/>
                    <w:tr2bl w:val="nil"/>
                  </w:tcBorders>
                  <w:vAlign w:val="center"/>
                </w:tcPr>
                <w:p>
                  <w:pPr>
                    <w:pStyle w:val="23"/>
                    <w:bidi w:val="0"/>
                    <w:rPr>
                      <w:color w:val="auto"/>
                    </w:rPr>
                  </w:pPr>
                  <w:r>
                    <w:rPr>
                      <w:color w:val="auto"/>
                    </w:rPr>
                    <w:t>（二）推进产业园绿色低碳转型发展，实现减污降碳协同增效目标。根据国家、地方碳减排和碳达峰行动方案及路径要求，进一步优化产业园能源结构、交通运输方式等《规划》内容</w:t>
                  </w:r>
                </w:p>
              </w:tc>
              <w:tc>
                <w:tcPr>
                  <w:tcW w:w="2622" w:type="dxa"/>
                  <w:tcBorders>
                    <w:tl2br w:val="nil"/>
                    <w:tr2bl w:val="nil"/>
                  </w:tcBorders>
                  <w:vAlign w:val="center"/>
                </w:tcPr>
                <w:p>
                  <w:pPr>
                    <w:pStyle w:val="23"/>
                    <w:bidi w:val="0"/>
                    <w:rPr>
                      <w:rFonts w:eastAsia="宋体"/>
                      <w:color w:val="auto"/>
                      <w:lang w:val="en-US" w:eastAsia="zh-CN"/>
                    </w:rPr>
                  </w:pPr>
                  <w:r>
                    <w:rPr>
                      <w:color w:val="auto"/>
                    </w:rPr>
                    <w:t>项目生产采</w:t>
                  </w:r>
                  <w:r>
                    <w:rPr>
                      <w:rFonts w:hint="eastAsia"/>
                      <w:color w:val="auto"/>
                      <w:lang w:val="en-US" w:eastAsia="zh-CN"/>
                    </w:rPr>
                    <w:t>用热由蒸汽发生器提供</w:t>
                  </w:r>
                  <w:r>
                    <w:rPr>
                      <w:color w:val="auto"/>
                    </w:rPr>
                    <w:t>，职工冬季采暖由空调提供</w:t>
                  </w:r>
                  <w:r>
                    <w:rPr>
                      <w:rFonts w:hint="eastAsia"/>
                      <w:color w:val="auto"/>
                      <w:lang w:eastAsia="zh-CN"/>
                    </w:rPr>
                    <w:t>，</w:t>
                  </w:r>
                  <w:r>
                    <w:rPr>
                      <w:rFonts w:hint="eastAsia"/>
                      <w:color w:val="auto"/>
                      <w:lang w:val="en-US" w:eastAsia="zh-CN"/>
                    </w:rPr>
                    <w:t>使用的燃料为天然气，符合低碳发展目标。</w:t>
                  </w:r>
                </w:p>
              </w:tc>
              <w:tc>
                <w:tcPr>
                  <w:tcW w:w="889" w:type="dxa"/>
                  <w:tcBorders>
                    <w:tl2br w:val="nil"/>
                    <w:tr2bl w:val="nil"/>
                  </w:tcBorders>
                  <w:vAlign w:val="center"/>
                </w:tcPr>
                <w:p>
                  <w:pPr>
                    <w:pStyle w:val="23"/>
                    <w:bidi w:val="0"/>
                    <w:rPr>
                      <w:color w:val="auto"/>
                    </w:rPr>
                  </w:pPr>
                  <w:r>
                    <w:rPr>
                      <w:color w:val="auto"/>
                    </w:rPr>
                    <w:t>符合</w:t>
                  </w:r>
                </w:p>
              </w:tc>
            </w:tr>
            <w:tr>
              <w:tc>
                <w:tcPr>
                  <w:tcW w:w="634" w:type="dxa"/>
                  <w:tcBorders>
                    <w:tl2br w:val="nil"/>
                    <w:tr2bl w:val="nil"/>
                  </w:tcBorders>
                  <w:vAlign w:val="center"/>
                </w:tcPr>
                <w:p>
                  <w:pPr>
                    <w:pStyle w:val="23"/>
                    <w:bidi w:val="0"/>
                    <w:rPr>
                      <w:color w:val="auto"/>
                    </w:rPr>
                  </w:pPr>
                  <w:r>
                    <w:rPr>
                      <w:color w:val="auto"/>
                    </w:rPr>
                    <w:t>3</w:t>
                  </w:r>
                </w:p>
              </w:tc>
              <w:tc>
                <w:tcPr>
                  <w:tcW w:w="3108" w:type="dxa"/>
                  <w:tcBorders>
                    <w:tl2br w:val="nil"/>
                    <w:tr2bl w:val="nil"/>
                  </w:tcBorders>
                  <w:vAlign w:val="center"/>
                </w:tcPr>
                <w:p>
                  <w:pPr>
                    <w:pStyle w:val="23"/>
                    <w:bidi w:val="0"/>
                    <w:rPr>
                      <w:color w:val="auto"/>
                    </w:rPr>
                  </w:pPr>
                  <w:r>
                    <w:rPr>
                      <w:color w:val="auto"/>
                    </w:rPr>
                    <w:t>（三）严格空间管控要求，进一步优化产业园空间布局。教育文化科研区、绿地禁止开展其他无关建设活动。严格落实饮用水源地保护区、文物保护单位、河流管理范围的管理要求。落实《报告书》提出的空间布局引导和管控要求，优化工业、居住等各类用地的空间布局和产业的梯级布局，严格涉风险源企业管理，确保人居环境安全。</w:t>
                  </w:r>
                </w:p>
              </w:tc>
              <w:tc>
                <w:tcPr>
                  <w:tcW w:w="2622" w:type="dxa"/>
                  <w:tcBorders>
                    <w:tl2br w:val="nil"/>
                    <w:tr2bl w:val="nil"/>
                  </w:tcBorders>
                  <w:vAlign w:val="center"/>
                </w:tcPr>
                <w:p>
                  <w:pPr>
                    <w:pStyle w:val="23"/>
                    <w:bidi w:val="0"/>
                    <w:rPr>
                      <w:color w:val="auto"/>
                    </w:rPr>
                  </w:pPr>
                  <w:r>
                    <w:rPr>
                      <w:color w:val="auto"/>
                    </w:rPr>
                    <w:t>项目位于装备制造产业园区内的工业用地，不涉及教育文化科研区、绿地。项目不在生态保护红线、饮用水源地保护区、文物保护单位等环境敏感区内。</w:t>
                  </w:r>
                </w:p>
              </w:tc>
              <w:tc>
                <w:tcPr>
                  <w:tcW w:w="889" w:type="dxa"/>
                  <w:tcBorders>
                    <w:tl2br w:val="nil"/>
                    <w:tr2bl w:val="nil"/>
                  </w:tcBorders>
                  <w:vAlign w:val="center"/>
                </w:tcPr>
                <w:p>
                  <w:pPr>
                    <w:pStyle w:val="23"/>
                    <w:bidi w:val="0"/>
                    <w:rPr>
                      <w:color w:val="auto"/>
                    </w:rPr>
                  </w:pPr>
                  <w:r>
                    <w:rPr>
                      <w:color w:val="auto"/>
                    </w:rPr>
                    <w:t>符合</w:t>
                  </w:r>
                </w:p>
              </w:tc>
            </w:tr>
            <w:tr>
              <w:tc>
                <w:tcPr>
                  <w:tcW w:w="634" w:type="dxa"/>
                  <w:tcBorders>
                    <w:tl2br w:val="nil"/>
                    <w:tr2bl w:val="nil"/>
                  </w:tcBorders>
                  <w:vAlign w:val="center"/>
                </w:tcPr>
                <w:p>
                  <w:pPr>
                    <w:pStyle w:val="23"/>
                    <w:bidi w:val="0"/>
                    <w:rPr>
                      <w:color w:val="auto"/>
                    </w:rPr>
                  </w:pPr>
                  <w:r>
                    <w:rPr>
                      <w:color w:val="auto"/>
                    </w:rPr>
                    <w:t>4</w:t>
                  </w:r>
                </w:p>
              </w:tc>
              <w:tc>
                <w:tcPr>
                  <w:tcW w:w="3108" w:type="dxa"/>
                  <w:tcBorders>
                    <w:tl2br w:val="nil"/>
                    <w:tr2bl w:val="nil"/>
                  </w:tcBorders>
                  <w:vAlign w:val="center"/>
                </w:tcPr>
                <w:p>
                  <w:pPr>
                    <w:pStyle w:val="23"/>
                    <w:bidi w:val="0"/>
                    <w:rPr>
                      <w:color w:val="auto"/>
                    </w:rPr>
                  </w:pPr>
                  <w:r>
                    <w:rPr>
                      <w:color w:val="auto"/>
                    </w:rPr>
                    <w:t>（四）严守环境质量底线，强化污染物排放总量管控。提升现有及入区企业污染治理设施及环境管理水平，严格落实《报告书》污染物减排方案，确保环境质量持续改善目标。强化涉重废水污染治理，电镀等涉重工序废水在厂区内处理达标后全部回用，不外排。按照《关于加强重点行业建设项目区域削减措施监督管理的通知》要求，环境质量未达到国家或者地方环境质量标准之前，重点行业建设项目主要污染物实行区域倍量削减。</w:t>
                  </w:r>
                </w:p>
              </w:tc>
              <w:tc>
                <w:tcPr>
                  <w:tcW w:w="2622" w:type="dxa"/>
                  <w:tcBorders>
                    <w:tl2br w:val="nil"/>
                    <w:tr2bl w:val="nil"/>
                  </w:tcBorders>
                  <w:vAlign w:val="center"/>
                </w:tcPr>
                <w:p>
                  <w:pPr>
                    <w:pStyle w:val="23"/>
                    <w:bidi w:val="0"/>
                    <w:rPr>
                      <w:color w:val="auto"/>
                    </w:rPr>
                  </w:pPr>
                  <w:r>
                    <w:rPr>
                      <w:color w:val="auto"/>
                    </w:rPr>
                    <w:t>项目污染物排放</w:t>
                  </w:r>
                  <w:r>
                    <w:rPr>
                      <w:rFonts w:hint="eastAsia"/>
                      <w:color w:val="auto"/>
                      <w:lang w:val="en-US" w:eastAsia="zh-CN"/>
                    </w:rPr>
                    <w:t>均</w:t>
                  </w:r>
                  <w:r>
                    <w:rPr>
                      <w:color w:val="auto"/>
                    </w:rPr>
                    <w:t>满足</w:t>
                  </w:r>
                  <w:r>
                    <w:rPr>
                      <w:rFonts w:hint="eastAsia"/>
                      <w:color w:val="auto"/>
                      <w:lang w:val="en-US" w:eastAsia="zh-CN"/>
                    </w:rPr>
                    <w:t>排放标准</w:t>
                  </w:r>
                  <w:r>
                    <w:rPr>
                      <w:rFonts w:hint="eastAsia"/>
                      <w:color w:val="auto"/>
                      <w:lang w:eastAsia="zh-CN"/>
                    </w:rPr>
                    <w:t>，</w:t>
                  </w:r>
                  <w:r>
                    <w:rPr>
                      <w:color w:val="auto"/>
                    </w:rPr>
                    <w:t>项目不</w:t>
                  </w:r>
                  <w:r>
                    <w:rPr>
                      <w:rFonts w:hint="eastAsia"/>
                      <w:color w:val="auto"/>
                      <w:lang w:val="en-US" w:eastAsia="zh-CN"/>
                    </w:rPr>
                    <w:t>涉及</w:t>
                  </w:r>
                  <w:r>
                    <w:rPr>
                      <w:color w:val="auto"/>
                    </w:rPr>
                    <w:t>审查意见中提到的涉重废水。</w:t>
                  </w:r>
                </w:p>
              </w:tc>
              <w:tc>
                <w:tcPr>
                  <w:tcW w:w="889" w:type="dxa"/>
                  <w:tcBorders>
                    <w:tl2br w:val="nil"/>
                    <w:tr2bl w:val="nil"/>
                  </w:tcBorders>
                  <w:vAlign w:val="center"/>
                </w:tcPr>
                <w:p>
                  <w:pPr>
                    <w:pStyle w:val="23"/>
                    <w:bidi w:val="0"/>
                    <w:rPr>
                      <w:color w:val="auto"/>
                    </w:rPr>
                  </w:pPr>
                  <w:r>
                    <w:rPr>
                      <w:color w:val="auto"/>
                    </w:rPr>
                    <w:t>符合</w:t>
                  </w:r>
                </w:p>
              </w:tc>
            </w:tr>
            <w:tr>
              <w:tc>
                <w:tcPr>
                  <w:tcW w:w="634" w:type="dxa"/>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5</w:t>
                  </w:r>
                </w:p>
              </w:tc>
              <w:tc>
                <w:tcPr>
                  <w:tcW w:w="3108" w:type="dxa"/>
                  <w:tcBorders>
                    <w:tl2br w:val="nil"/>
                    <w:tr2bl w:val="nil"/>
                  </w:tcBorders>
                  <w:vAlign w:val="center"/>
                </w:tcPr>
                <w:p>
                  <w:pPr>
                    <w:pStyle w:val="23"/>
                    <w:bidi w:val="0"/>
                    <w:rPr>
                      <w:color w:val="auto"/>
                    </w:rPr>
                  </w:pPr>
                  <w:r>
                    <w:rPr>
                      <w:color w:val="auto"/>
                    </w:rPr>
                    <w:t>（五）严格入区项目生态环境准入，推动绿色低碳高质量发展。严格落实《报告书》提出的产业园生态环境准入要求及现有企业环境管理要求。禁止“两高”项目准入；严格落实好省、市重点化工监控点管理要求；严格化学药品原料药制造项目准入，满足防护距离要求。不断提高现有企业清洁生产水平，促进产业园产业转型升级与生态环境保护、人居环境安全相协调。</w:t>
                  </w:r>
                </w:p>
              </w:tc>
              <w:tc>
                <w:tcPr>
                  <w:tcW w:w="2622" w:type="dxa"/>
                  <w:tcBorders>
                    <w:tl2br w:val="nil"/>
                    <w:tr2bl w:val="nil"/>
                  </w:tcBorders>
                  <w:vAlign w:val="center"/>
                </w:tcPr>
                <w:p>
                  <w:pPr>
                    <w:pStyle w:val="23"/>
                    <w:bidi w:val="0"/>
                    <w:rPr>
                      <w:color w:val="auto"/>
                    </w:rPr>
                  </w:pPr>
                  <w:r>
                    <w:rPr>
                      <w:color w:val="auto"/>
                    </w:rPr>
                    <w:t>项目不属于“两高”项目。项目符合国家及地方产业政策，不属于国家及地方禁止和限制类产业。</w:t>
                  </w:r>
                </w:p>
              </w:tc>
              <w:tc>
                <w:tcPr>
                  <w:tcW w:w="889" w:type="dxa"/>
                  <w:tcBorders>
                    <w:tl2br w:val="nil"/>
                    <w:tr2bl w:val="nil"/>
                  </w:tcBorders>
                  <w:vAlign w:val="center"/>
                </w:tcPr>
                <w:p>
                  <w:pPr>
                    <w:pStyle w:val="23"/>
                    <w:bidi w:val="0"/>
                    <w:rPr>
                      <w:color w:val="auto"/>
                    </w:rPr>
                  </w:pPr>
                  <w:r>
                    <w:rPr>
                      <w:color w:val="auto"/>
                    </w:rPr>
                    <w:t>符合</w:t>
                  </w:r>
                </w:p>
              </w:tc>
            </w:tr>
            <w:tr>
              <w:tc>
                <w:tcPr>
                  <w:tcW w:w="634" w:type="dxa"/>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6</w:t>
                  </w:r>
                </w:p>
              </w:tc>
              <w:tc>
                <w:tcPr>
                  <w:tcW w:w="3108" w:type="dxa"/>
                  <w:tcBorders>
                    <w:tl2br w:val="nil"/>
                    <w:tr2bl w:val="nil"/>
                  </w:tcBorders>
                  <w:vAlign w:val="center"/>
                </w:tcPr>
                <w:p>
                  <w:pPr>
                    <w:pStyle w:val="23"/>
                    <w:bidi w:val="0"/>
                    <w:rPr>
                      <w:color w:val="auto"/>
                    </w:rPr>
                  </w:pPr>
                  <w:r>
                    <w:rPr>
                      <w:color w:val="auto"/>
                    </w:rPr>
                    <w:t>（六）统筹基础设施建设，严格落实《报告书》提出的建设内容及时限。加快产业园内供水、排水、供热管网建设进度，逐步完善再生水管网布局，充分利用再生水资源。产业园企业优先使用天然气、电能等清洁能源，根据供热管网建设时序，现有企业自建锅炉淘汰或作为备用锅炉。</w:t>
                  </w:r>
                </w:p>
              </w:tc>
              <w:tc>
                <w:tcPr>
                  <w:tcW w:w="2622" w:type="dxa"/>
                  <w:tcBorders>
                    <w:tl2br w:val="nil"/>
                    <w:tr2bl w:val="nil"/>
                  </w:tcBorders>
                  <w:vAlign w:val="center"/>
                </w:tcPr>
                <w:p>
                  <w:pPr>
                    <w:pStyle w:val="23"/>
                    <w:bidi w:val="0"/>
                    <w:rPr>
                      <w:rFonts w:eastAsia="宋体"/>
                      <w:color w:val="auto"/>
                      <w:lang w:val="en-US" w:eastAsia="zh-CN"/>
                    </w:rPr>
                  </w:pPr>
                  <w:r>
                    <w:rPr>
                      <w:color w:val="auto"/>
                    </w:rPr>
                    <w:t>项目</w:t>
                  </w:r>
                  <w:r>
                    <w:rPr>
                      <w:rFonts w:hint="eastAsia"/>
                      <w:color w:val="auto"/>
                      <w:lang w:val="en-US" w:eastAsia="zh-CN"/>
                    </w:rPr>
                    <w:t>使用的能源为</w:t>
                  </w:r>
                  <w:r>
                    <w:rPr>
                      <w:color w:val="auto"/>
                    </w:rPr>
                    <w:t>水、电</w:t>
                  </w:r>
                  <w:r>
                    <w:rPr>
                      <w:rFonts w:hint="eastAsia"/>
                      <w:color w:val="auto"/>
                      <w:lang w:eastAsia="zh-CN"/>
                    </w:rPr>
                    <w:t>、</w:t>
                  </w:r>
                  <w:r>
                    <w:rPr>
                      <w:rFonts w:hint="eastAsia"/>
                      <w:color w:val="auto"/>
                      <w:lang w:val="en-US" w:eastAsia="zh-CN"/>
                    </w:rPr>
                    <w:t>天然气，</w:t>
                  </w:r>
                  <w:r>
                    <w:rPr>
                      <w:color w:val="auto"/>
                    </w:rPr>
                    <w:t>均由园区管网提供，符合优先使用清洁能源的要求</w:t>
                  </w:r>
                  <w:r>
                    <w:rPr>
                      <w:rFonts w:hint="eastAsia"/>
                      <w:color w:val="auto"/>
                      <w:lang w:eastAsia="zh-CN"/>
                    </w:rPr>
                    <w:t>，</w:t>
                  </w:r>
                  <w:r>
                    <w:rPr>
                      <w:rFonts w:hint="eastAsia"/>
                      <w:color w:val="auto"/>
                      <w:lang w:val="en-US" w:eastAsia="zh-CN"/>
                      <w:highlight w:val="none"/>
                    </w:rPr>
                    <w:t>集中供热管提供的蒸汽压力为2-3MPa，而本项目杀菌机所需的蒸汽压力为7-8MPa，集中供热的蒸汽压力无法满足本项目的生产需求。因此，本项目拟建设2套2t/h的蒸汽发生器，为本项目及其他生产工序供应蒸汽。</w:t>
                  </w:r>
                </w:p>
              </w:tc>
              <w:tc>
                <w:tcPr>
                  <w:tcW w:w="889" w:type="dxa"/>
                  <w:tcBorders>
                    <w:tl2br w:val="nil"/>
                    <w:tr2bl w:val="nil"/>
                  </w:tcBorders>
                  <w:vAlign w:val="center"/>
                </w:tcPr>
                <w:p>
                  <w:pPr>
                    <w:pStyle w:val="23"/>
                    <w:bidi w:val="0"/>
                    <w:rPr>
                      <w:color w:val="auto"/>
                    </w:rPr>
                  </w:pPr>
                  <w:r>
                    <w:rPr>
                      <w:color w:val="auto"/>
                    </w:rPr>
                    <w:t>符合</w:t>
                  </w:r>
                </w:p>
              </w:tc>
            </w:tr>
            <w:tr>
              <w:tc>
                <w:tcPr>
                  <w:tcW w:w="634" w:type="dxa"/>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7</w:t>
                  </w:r>
                </w:p>
              </w:tc>
              <w:tc>
                <w:tcPr>
                  <w:tcW w:w="3108" w:type="dxa"/>
                  <w:tcBorders>
                    <w:tl2br w:val="nil"/>
                    <w:tr2bl w:val="nil"/>
                  </w:tcBorders>
                  <w:vAlign w:val="center"/>
                </w:tcPr>
                <w:p>
                  <w:pPr>
                    <w:pStyle w:val="23"/>
                    <w:bidi w:val="0"/>
                    <w:rPr>
                      <w:color w:val="auto"/>
                    </w:rPr>
                  </w:pPr>
                  <w:r>
                    <w:rPr>
                      <w:color w:val="auto"/>
                    </w:rPr>
                    <w:t>（七）优化运输方式，落实应急运输响应方案。鼓励产业园提高清洁能源汽车运输比例，减轻公路运输产生的不利环境影响结合秋冬行业错峰生产和重污染天气应急响应要求，在黄色及以上重污染天气预警期间，重点用车企业实施应急运输响应。</w:t>
                  </w:r>
                </w:p>
              </w:tc>
              <w:tc>
                <w:tcPr>
                  <w:tcW w:w="2622" w:type="dxa"/>
                  <w:tcBorders>
                    <w:tl2br w:val="nil"/>
                    <w:tr2bl w:val="nil"/>
                  </w:tcBorders>
                  <w:vAlign w:val="center"/>
                </w:tcPr>
                <w:p>
                  <w:pPr>
                    <w:pStyle w:val="23"/>
                    <w:bidi w:val="0"/>
                    <w:rPr>
                      <w:color w:val="auto"/>
                    </w:rPr>
                  </w:pPr>
                  <w:r>
                    <w:rPr>
                      <w:color w:val="auto"/>
                    </w:rPr>
                    <w:t>项目按照当地要求的交通运输方式运转。项目将根据要求，在重污染天气预警期间执行相应的应急运输响应措施。</w:t>
                  </w:r>
                </w:p>
              </w:tc>
              <w:tc>
                <w:tcPr>
                  <w:tcW w:w="889" w:type="dxa"/>
                  <w:tcBorders>
                    <w:tl2br w:val="nil"/>
                    <w:tr2bl w:val="nil"/>
                  </w:tcBorders>
                  <w:vAlign w:val="center"/>
                </w:tcPr>
                <w:p>
                  <w:pPr>
                    <w:pStyle w:val="23"/>
                    <w:bidi w:val="0"/>
                    <w:rPr>
                      <w:color w:val="auto"/>
                    </w:rPr>
                  </w:pPr>
                  <w:r>
                    <w:rPr>
                      <w:color w:val="auto"/>
                    </w:rPr>
                    <w:t>符合</w:t>
                  </w:r>
                </w:p>
              </w:tc>
            </w:tr>
            <w:tr>
              <w:tc>
                <w:tcPr>
                  <w:tcW w:w="634" w:type="dxa"/>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8</w:t>
                  </w:r>
                </w:p>
              </w:tc>
              <w:tc>
                <w:tcPr>
                  <w:tcW w:w="3108" w:type="dxa"/>
                  <w:tcBorders>
                    <w:tl2br w:val="nil"/>
                    <w:tr2bl w:val="nil"/>
                  </w:tcBorders>
                  <w:vAlign w:val="center"/>
                </w:tcPr>
                <w:p>
                  <w:pPr>
                    <w:pStyle w:val="23"/>
                    <w:bidi w:val="0"/>
                    <w:rPr>
                      <w:color w:val="auto"/>
                    </w:rPr>
                  </w:pPr>
                  <w:r>
                    <w:rPr>
                      <w:color w:val="auto"/>
                    </w:rPr>
                    <w:t>（八）健全完善环境监测体系，强化环境风险防范。健全完善包括环境空气、地表水、地下水、土壤等环境要素的监控体系;强化产业园风险防控体系的建立，健全应急响应联动机制。严格落实《报告书》提出的各项环境风险防控措施，加强产业园与周边敏感区环境风险防范设施建设，提升环境风险防控和应急响应能力，保障区域环境安全。</w:t>
                  </w:r>
                </w:p>
              </w:tc>
              <w:tc>
                <w:tcPr>
                  <w:tcW w:w="2622" w:type="dxa"/>
                  <w:tcBorders>
                    <w:tl2br w:val="nil"/>
                    <w:tr2bl w:val="nil"/>
                  </w:tcBorders>
                  <w:vAlign w:val="center"/>
                </w:tcPr>
                <w:p>
                  <w:pPr>
                    <w:pStyle w:val="23"/>
                    <w:bidi w:val="0"/>
                    <w:rPr>
                      <w:color w:val="auto"/>
                    </w:rPr>
                  </w:pPr>
                  <w:r>
                    <w:rPr>
                      <w:color w:val="auto"/>
                    </w:rPr>
                    <w:t>项目按照要求开展监测。项目将成立应急组织机构，制定应急预案，定期开展应急演练，强化风险防控。</w:t>
                  </w:r>
                </w:p>
              </w:tc>
              <w:tc>
                <w:tcPr>
                  <w:tcW w:w="889" w:type="dxa"/>
                  <w:tcBorders>
                    <w:tl2br w:val="nil"/>
                    <w:tr2bl w:val="nil"/>
                  </w:tcBorders>
                  <w:vAlign w:val="center"/>
                </w:tcPr>
                <w:p>
                  <w:pPr>
                    <w:pStyle w:val="23"/>
                    <w:bidi w:val="0"/>
                    <w:rPr>
                      <w:color w:val="auto"/>
                    </w:rPr>
                  </w:pPr>
                  <w:r>
                    <w:rPr>
                      <w:color w:val="auto"/>
                    </w:rPr>
                    <w:t>符合</w:t>
                  </w:r>
                </w:p>
              </w:tc>
            </w:tr>
          </w:tbl>
          <w:p>
            <w:pPr>
              <w:autoSpaceDE w:val="0"/>
              <w:autoSpaceDN w:val="0"/>
              <w:spacing w:line="360" w:lineRule="auto"/>
              <w:ind w:firstLineChars="200" w:firstLine="480"/>
              <w:rPr>
                <w:color w:val="auto"/>
                <w:sz w:val="24"/>
              </w:rPr>
            </w:pPr>
            <w:r>
              <w:rPr>
                <w:rFonts w:hint="eastAsia"/>
                <w:color w:val="auto"/>
                <w:sz w:val="24"/>
              </w:rPr>
              <w:t>通过</w:t>
            </w:r>
            <w:r>
              <w:rPr>
                <w:color w:val="auto"/>
                <w:sz w:val="24"/>
              </w:rPr>
              <w:t>对比规划环评审查意见</w:t>
            </w:r>
            <w:r>
              <w:rPr>
                <w:rFonts w:hint="eastAsia"/>
                <w:color w:val="auto"/>
                <w:sz w:val="24"/>
              </w:rPr>
              <w:t>可知</w:t>
            </w:r>
            <w:r>
              <w:rPr>
                <w:color w:val="auto"/>
                <w:sz w:val="24"/>
              </w:rPr>
              <w:t>，本项目符合规划环评审查意见的要求。</w:t>
            </w:r>
          </w:p>
          <w:p>
            <w:pPr>
              <w:autoSpaceDE w:val="0"/>
              <w:autoSpaceDN w:val="0"/>
              <w:spacing w:line="360" w:lineRule="auto"/>
              <w:ind w:firstLineChars="200" w:firstLine="480"/>
              <w:rPr>
                <w:b/>
                <w:bCs/>
                <w:color w:val="auto"/>
                <w:kern w:val="0"/>
                <w:sz w:val="24"/>
              </w:rPr>
            </w:pPr>
            <w:r>
              <w:rPr>
                <w:b/>
                <w:bCs/>
                <w:color w:val="auto"/>
                <w:kern w:val="0"/>
                <w:sz w:val="24"/>
              </w:rPr>
              <w:t>4、</w:t>
            </w:r>
            <w:r>
              <w:rPr>
                <w:rFonts w:hint="eastAsia"/>
                <w:b/>
                <w:bCs/>
                <w:color w:val="auto"/>
                <w:sz w:val="24"/>
                <w:lang w:eastAsia="zh-CN"/>
              </w:rPr>
              <w:t>规划环评准入要</w:t>
            </w:r>
          </w:p>
          <w:p>
            <w:pPr>
              <w:adjustRightInd w:val="0"/>
              <w:snapToGrid w:val="0"/>
              <w:spacing w:line="360" w:lineRule="auto"/>
              <w:ind w:firstLineChars="200" w:firstLine="480"/>
              <w:rPr>
                <w:color w:val="auto"/>
                <w:sz w:val="24"/>
              </w:rPr>
            </w:pPr>
            <w:r>
              <w:rPr>
                <w:color w:val="auto"/>
                <w:sz w:val="24"/>
              </w:rPr>
              <w:t>本项目与河北石家庄装备制造产业园准入要求符合性分析见下表</w:t>
            </w:r>
          </w:p>
          <w:p>
            <w:pPr>
              <w:pStyle w:val="24"/>
              <w:bidi w:val="0"/>
              <w:rPr>
                <w:color w:val="auto"/>
              </w:rPr>
            </w:pPr>
            <w:r>
              <w:rPr>
                <w:color w:val="auto"/>
              </w:rPr>
              <w:t>表1-</w:t>
            </w:r>
            <w:r>
              <w:rPr>
                <w:rFonts w:hint="eastAsia"/>
                <w:color w:val="auto"/>
                <w:lang w:val="en-US" w:eastAsia="zh-CN"/>
              </w:rPr>
              <w:t xml:space="preserve">2  </w:t>
            </w:r>
            <w:r>
              <w:rPr>
                <w:rFonts w:hint="eastAsia"/>
                <w:color w:val="auto"/>
              </w:rPr>
              <w:t>河北石家庄装备制造产业园生物医药聚集区</w:t>
            </w:r>
            <w:r>
              <w:rPr>
                <w:color w:val="auto"/>
              </w:rPr>
              <w:t>负面清单一览表</w:t>
            </w:r>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441"/>
              <w:gridCol w:w="350"/>
              <w:gridCol w:w="3103"/>
              <w:gridCol w:w="2864"/>
              <w:gridCol w:w="491"/>
            </w:tblGrid>
            <w:tr>
              <w:trPr>
                <w:trHeight w:val="86"/>
                <w:tblHeader/>
              </w:trPr>
              <w:tc>
                <w:tcPr>
                  <w:tcW w:w="441" w:type="dxa"/>
                  <w:vAlign w:val="center"/>
                </w:tcPr>
                <w:p>
                  <w:pPr>
                    <w:pStyle w:val="25"/>
                    <w:tabs>
                      <w:tab w:val="left" w:pos="1680"/>
                      <w:tab w:val="left" w:pos="3465"/>
                    </w:tabs>
                    <w:bidi w:val="0"/>
                    <w:rPr>
                      <w:color w:val="auto"/>
                      <w:lang w:val="en-US" w:eastAsia="zh-CN"/>
                    </w:rPr>
                  </w:pPr>
                  <w:r>
                    <w:rPr>
                      <w:color w:val="auto"/>
                      <w:lang w:val="en-US" w:eastAsia="zh-CN"/>
                    </w:rPr>
                    <w:t>项目</w:t>
                  </w:r>
                </w:p>
              </w:tc>
              <w:tc>
                <w:tcPr>
                  <w:tcW w:w="3453" w:type="dxa"/>
                  <w:gridSpan w:val="2"/>
                  <w:vAlign w:val="center"/>
                </w:tcPr>
                <w:p>
                  <w:pPr>
                    <w:pStyle w:val="25"/>
                    <w:tabs>
                      <w:tab w:val="left" w:pos="1680"/>
                      <w:tab w:val="left" w:pos="3465"/>
                    </w:tabs>
                    <w:bidi w:val="0"/>
                    <w:rPr>
                      <w:color w:val="auto"/>
                    </w:rPr>
                  </w:pPr>
                  <w:r>
                    <w:rPr>
                      <w:color w:val="auto"/>
                    </w:rPr>
                    <w:t>准入要求</w:t>
                  </w:r>
                </w:p>
              </w:tc>
              <w:tc>
                <w:tcPr>
                  <w:tcW w:w="2864" w:type="dxa"/>
                  <w:vAlign w:val="center"/>
                </w:tcPr>
                <w:p>
                  <w:pPr>
                    <w:pStyle w:val="25"/>
                    <w:tabs>
                      <w:tab w:val="left" w:pos="1680"/>
                      <w:tab w:val="left" w:pos="3465"/>
                    </w:tabs>
                    <w:bidi w:val="0"/>
                    <w:rPr>
                      <w:rFonts w:eastAsia="宋体"/>
                      <w:color w:val="auto"/>
                      <w:lang w:val="en-US" w:eastAsia="zh-CN"/>
                    </w:rPr>
                  </w:pPr>
                  <w:r>
                    <w:rPr>
                      <w:rFonts w:hint="eastAsia"/>
                      <w:color w:val="auto"/>
                      <w:lang w:val="en-US" w:eastAsia="zh-CN"/>
                    </w:rPr>
                    <w:t>项目情况</w:t>
                  </w:r>
                </w:p>
              </w:tc>
              <w:tc>
                <w:tcPr>
                  <w:tcW w:w="491" w:type="dxa"/>
                  <w:vAlign w:val="center"/>
                </w:tcPr>
                <w:p>
                  <w:pPr>
                    <w:pStyle w:val="25"/>
                    <w:tabs>
                      <w:tab w:val="left" w:pos="1680"/>
                      <w:tab w:val="left" w:pos="3465"/>
                    </w:tabs>
                    <w:bidi w:val="0"/>
                    <w:rPr>
                      <w:color w:val="auto"/>
                      <w:lang w:val="en-US" w:eastAsia="zh-CN"/>
                    </w:rPr>
                  </w:pPr>
                  <w:r>
                    <w:rPr>
                      <w:rFonts w:hint="eastAsia"/>
                      <w:color w:val="auto"/>
                      <w:lang w:val="en-US" w:eastAsia="zh-CN"/>
                    </w:rPr>
                    <w:t>符合性</w:t>
                  </w:r>
                </w:p>
              </w:tc>
            </w:tr>
            <w:tr>
              <w:trPr>
                <w:trHeight w:val="1637"/>
              </w:trPr>
              <w:tc>
                <w:tcPr>
                  <w:tcW w:w="441" w:type="dxa"/>
                  <w:vAlign w:val="center"/>
                </w:tcPr>
                <w:p>
                  <w:pPr>
                    <w:pStyle w:val="25"/>
                    <w:tabs>
                      <w:tab w:val="left" w:pos="1680"/>
                      <w:tab w:val="left" w:pos="3465"/>
                    </w:tabs>
                    <w:bidi w:val="0"/>
                    <w:rPr>
                      <w:color w:val="auto"/>
                    </w:rPr>
                  </w:pPr>
                  <w:r>
                    <w:rPr>
                      <w:color w:val="auto"/>
                    </w:rPr>
                    <w:t>总体</w:t>
                  </w:r>
                </w:p>
                <w:p>
                  <w:pPr>
                    <w:pStyle w:val="25"/>
                    <w:tabs>
                      <w:tab w:val="left" w:pos="1680"/>
                      <w:tab w:val="left" w:pos="3465"/>
                    </w:tabs>
                    <w:bidi w:val="0"/>
                    <w:rPr>
                      <w:color w:val="auto"/>
                    </w:rPr>
                  </w:pPr>
                  <w:r>
                    <w:rPr>
                      <w:color w:val="auto"/>
                    </w:rPr>
                    <w:t>要求</w:t>
                  </w:r>
                </w:p>
              </w:tc>
              <w:tc>
                <w:tcPr>
                  <w:tcW w:w="3453" w:type="dxa"/>
                  <w:gridSpan w:val="2"/>
                  <w:tcBorders>
                    <w:left w:val="single" w:sz="4" w:space="0" w:color="auto"/>
                  </w:tcBorders>
                  <w:vAlign w:val="center"/>
                </w:tcPr>
                <w:p>
                  <w:pPr>
                    <w:pStyle w:val="25"/>
                    <w:tabs>
                      <w:tab w:val="left" w:pos="1680"/>
                      <w:tab w:val="left" w:pos="3465"/>
                    </w:tabs>
                    <w:bidi w:val="0"/>
                    <w:rPr>
                      <w:color w:val="auto"/>
                    </w:rPr>
                  </w:pPr>
                  <w:r>
                    <w:rPr>
                      <w:color w:val="auto"/>
                    </w:rPr>
                    <w:t>1</w:t>
                  </w:r>
                  <w:r>
                    <w:rPr>
                      <w:rFonts w:hint="eastAsia"/>
                      <w:color w:val="auto"/>
                      <w:lang w:eastAsia="zh-CN"/>
                    </w:rPr>
                    <w:t>、</w:t>
                  </w:r>
                  <w:r>
                    <w:rPr>
                      <w:color w:val="auto"/>
                    </w:rPr>
                    <w:t>符合</w:t>
                  </w:r>
                  <w:r>
                    <w:rPr>
                      <w:rFonts w:hint="eastAsia"/>
                      <w:color w:val="auto"/>
                      <w:lang w:eastAsia="zh-CN"/>
                    </w:rPr>
                    <w:t>“</w:t>
                  </w:r>
                  <w:r>
                    <w:rPr>
                      <w:color w:val="auto"/>
                    </w:rPr>
                    <w:t>石家庄市“三线一单”生态环境分区管控</w:t>
                  </w:r>
                  <w:r>
                    <w:rPr>
                      <w:color w:val="auto"/>
                      <w:lang w:val="en-US" w:eastAsia="zh-CN"/>
                    </w:rPr>
                    <w:t>意见</w:t>
                  </w:r>
                  <w:r>
                    <w:rPr>
                      <w:rFonts w:hint="eastAsia"/>
                      <w:color w:val="auto"/>
                      <w:lang w:eastAsia="zh-CN"/>
                    </w:rPr>
                    <w:t>”</w:t>
                  </w:r>
                  <w:r>
                    <w:rPr>
                      <w:rFonts w:hint="eastAsia"/>
                      <w:color w:val="auto"/>
                      <w:lang w:val="en-US" w:eastAsia="zh-CN"/>
                    </w:rPr>
                    <w:t>的</w:t>
                  </w:r>
                  <w:r>
                    <w:rPr>
                      <w:color w:val="auto"/>
                    </w:rPr>
                    <w:t>动态更新成果中全市总体准入要求，具体内容不再列出；</w:t>
                  </w:r>
                </w:p>
                <w:p>
                  <w:pPr>
                    <w:pStyle w:val="25"/>
                    <w:tabs>
                      <w:tab w:val="left" w:pos="1680"/>
                      <w:tab w:val="left" w:pos="3465"/>
                    </w:tabs>
                    <w:bidi w:val="0"/>
                    <w:rPr>
                      <w:color w:val="auto"/>
                    </w:rPr>
                  </w:pPr>
                  <w:r>
                    <w:rPr>
                      <w:color w:val="auto"/>
                    </w:rPr>
                    <w:t>2</w:t>
                  </w:r>
                  <w:r>
                    <w:rPr>
                      <w:rFonts w:hint="eastAsia"/>
                      <w:color w:val="auto"/>
                      <w:lang w:eastAsia="zh-CN"/>
                    </w:rPr>
                    <w:t>、</w:t>
                  </w:r>
                  <w:r>
                    <w:rPr>
                      <w:color w:val="auto"/>
                    </w:rPr>
                    <w:t>新建、改建、扩建项目需符合生态环境保护相关规划，满足重点污染物排放总量控制要求</w:t>
                  </w:r>
                  <w:r>
                    <w:rPr>
                      <w:rFonts w:hint="eastAsia"/>
                      <w:color w:val="auto"/>
                      <w:lang w:val="en-US" w:eastAsia="zh-CN"/>
                    </w:rPr>
                    <w:t>实施倍量替代</w:t>
                  </w:r>
                  <w:r>
                    <w:rPr>
                      <w:color w:val="auto"/>
                    </w:rPr>
                    <w:t>，生态环境准入清单和相应行业建设项目环境准入要求、环评审批原则。</w:t>
                  </w:r>
                </w:p>
                <w:p>
                  <w:pPr>
                    <w:pStyle w:val="25"/>
                    <w:tabs>
                      <w:tab w:val="left" w:pos="1680"/>
                      <w:tab w:val="left" w:pos="3465"/>
                    </w:tabs>
                    <w:bidi w:val="0"/>
                    <w:rPr>
                      <w:color w:val="auto"/>
                    </w:rPr>
                  </w:pPr>
                  <w:r>
                    <w:rPr>
                      <w:rFonts w:hint="eastAsia"/>
                      <w:color w:val="auto"/>
                      <w:lang w:val="en-US" w:eastAsia="zh-CN"/>
                    </w:rPr>
                    <w:t>3、规划区禁止建设《河北省发展和改革委员会关于加强新建“两高”项目管理的通知》（冀发改环资[2022]691号）中的“两高”项目。</w:t>
                  </w:r>
                </w:p>
              </w:tc>
              <w:tc>
                <w:tcPr>
                  <w:tcW w:w="2864" w:type="dxa"/>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1、项目符合“石家庄市“三线一单”生态环境分区管控意见”准入要求；</w:t>
                  </w:r>
                </w:p>
                <w:p>
                  <w:pPr>
                    <w:pStyle w:val="25"/>
                    <w:tabs>
                      <w:tab w:val="left" w:pos="1680"/>
                      <w:tab w:val="left" w:pos="3465"/>
                    </w:tabs>
                    <w:bidi w:val="0"/>
                    <w:rPr>
                      <w:rFonts w:hint="eastAsia"/>
                      <w:color w:val="auto"/>
                      <w:lang w:val="en-US" w:eastAsia="zh-CN"/>
                    </w:rPr>
                  </w:pPr>
                  <w:r>
                    <w:rPr>
                      <w:rFonts w:hint="eastAsia"/>
                      <w:color w:val="auto"/>
                      <w:lang w:val="en-US" w:eastAsia="zh-CN"/>
                    </w:rPr>
                    <w:t>2、项目重点污染物排放总量实施倍量替代，满足生态环境准入清单和相应行业建设项目环境准入要求；</w:t>
                  </w:r>
                </w:p>
                <w:p>
                  <w:pPr>
                    <w:pStyle w:val="25"/>
                    <w:tabs>
                      <w:tab w:val="left" w:pos="1680"/>
                      <w:tab w:val="left" w:pos="3465"/>
                    </w:tabs>
                    <w:bidi w:val="0"/>
                    <w:rPr>
                      <w:color w:val="auto"/>
                      <w:lang w:val="en-US" w:eastAsia="zh-CN"/>
                    </w:rPr>
                  </w:pPr>
                  <w:r>
                    <w:rPr>
                      <w:rFonts w:hint="eastAsia"/>
                      <w:color w:val="auto"/>
                      <w:lang w:val="en-US" w:eastAsia="zh-CN"/>
                    </w:rPr>
                    <w:t>3、本项目不属于“两高”项目。</w:t>
                  </w:r>
                </w:p>
              </w:tc>
              <w:tc>
                <w:tcPr>
                  <w:tcW w:w="491" w:type="dxa"/>
                  <w:tcBorders>
                    <w:left w:val="single" w:sz="4" w:space="0" w:color="auto"/>
                  </w:tcBorders>
                  <w:vAlign w:val="center"/>
                </w:tcPr>
                <w:p>
                  <w:pPr>
                    <w:pStyle w:val="25"/>
                    <w:tabs>
                      <w:tab w:val="left" w:pos="1680"/>
                      <w:tab w:val="left" w:pos="3465"/>
                    </w:tabs>
                    <w:bidi w:val="0"/>
                    <w:rPr>
                      <w:color w:val="auto"/>
                      <w:lang w:val="en-US" w:eastAsia="zh-CN"/>
                    </w:rPr>
                  </w:pPr>
                  <w:r>
                    <w:rPr>
                      <w:rFonts w:hint="eastAsia"/>
                      <w:color w:val="auto"/>
                      <w:lang w:val="en-US" w:eastAsia="zh-CN"/>
                    </w:rPr>
                    <w:t>符合</w:t>
                  </w:r>
                </w:p>
              </w:tc>
            </w:tr>
            <w:tr>
              <w:trPr>
                <w:trHeight w:val="234"/>
              </w:trPr>
              <w:tc>
                <w:tcPr>
                  <w:tcW w:w="441" w:type="dxa"/>
                  <w:vMerge w:val="restart"/>
                  <w:vAlign w:val="center"/>
                </w:tcPr>
                <w:p>
                  <w:pPr>
                    <w:pStyle w:val="25"/>
                    <w:tabs>
                      <w:tab w:val="left" w:pos="1680"/>
                      <w:tab w:val="left" w:pos="3465"/>
                    </w:tabs>
                    <w:bidi w:val="0"/>
                    <w:rPr>
                      <w:color w:val="auto"/>
                      <w:lang w:val="en-US" w:eastAsia="zh-CN"/>
                    </w:rPr>
                  </w:pPr>
                  <w:r>
                    <w:rPr>
                      <w:rFonts w:hint="eastAsia"/>
                      <w:color w:val="auto"/>
                      <w:lang w:val="en-US" w:eastAsia="zh-CN"/>
                    </w:rPr>
                    <w:t>河北石家庄装备制造产业园</w:t>
                  </w:r>
                </w:p>
              </w:tc>
              <w:tc>
                <w:tcPr>
                  <w:tcW w:w="350" w:type="dxa"/>
                  <w:tcBorders>
                    <w:left w:val="single" w:sz="4" w:space="0" w:color="auto"/>
                  </w:tcBorders>
                  <w:vAlign w:val="center"/>
                </w:tcPr>
                <w:p>
                  <w:pPr>
                    <w:pStyle w:val="25"/>
                    <w:tabs>
                      <w:tab w:val="left" w:pos="1680"/>
                      <w:tab w:val="left" w:pos="3465"/>
                    </w:tabs>
                    <w:bidi w:val="0"/>
                    <w:rPr>
                      <w:color w:val="auto"/>
                    </w:rPr>
                  </w:pPr>
                  <w:r>
                    <w:rPr>
                      <w:color w:val="auto"/>
                    </w:rPr>
                    <w:t>产业及政策</w:t>
                  </w:r>
                </w:p>
                <w:p>
                  <w:pPr>
                    <w:pStyle w:val="25"/>
                    <w:tabs>
                      <w:tab w:val="left" w:pos="1680"/>
                      <w:tab w:val="left" w:pos="3465"/>
                    </w:tabs>
                    <w:bidi w:val="0"/>
                    <w:rPr>
                      <w:color w:val="auto"/>
                    </w:rPr>
                  </w:pPr>
                  <w:r>
                    <w:rPr>
                      <w:color w:val="auto"/>
                    </w:rPr>
                    <w:t>准入管理要求</w:t>
                  </w:r>
                </w:p>
              </w:tc>
              <w:tc>
                <w:tcPr>
                  <w:tcW w:w="3103" w:type="dxa"/>
                  <w:tcBorders>
                    <w:left w:val="single" w:sz="4" w:space="0" w:color="auto"/>
                  </w:tcBorders>
                  <w:vAlign w:val="center"/>
                </w:tcPr>
                <w:p>
                  <w:pPr>
                    <w:pStyle w:val="25"/>
                    <w:tabs>
                      <w:tab w:val="left" w:pos="1680"/>
                      <w:tab w:val="left" w:pos="3465"/>
                    </w:tabs>
                    <w:bidi w:val="0"/>
                    <w:rPr>
                      <w:color w:val="auto"/>
                      <w:lang w:val="en-US"/>
                    </w:rPr>
                  </w:pPr>
                  <w:r>
                    <w:rPr>
                      <w:color w:val="auto"/>
                    </w:rPr>
                    <w:t>1</w:t>
                  </w:r>
                  <w:r>
                    <w:rPr>
                      <w:rFonts w:hint="eastAsia"/>
                      <w:color w:val="auto"/>
                      <w:lang w:eastAsia="zh-CN"/>
                    </w:rPr>
                    <w:t>、</w:t>
                  </w:r>
                  <w:r>
                    <w:rPr>
                      <w:rFonts w:hint="eastAsia"/>
                      <w:color w:val="auto"/>
                      <w:lang w:val="en-US" w:eastAsia="zh-CN"/>
                    </w:rPr>
                    <w:t>满足《产业结构调整指导目录》、《产业发展与转移指导目录》的要求。</w:t>
                  </w:r>
                </w:p>
                <w:p>
                  <w:pPr>
                    <w:pStyle w:val="25"/>
                    <w:tabs>
                      <w:tab w:val="left" w:pos="1680"/>
                      <w:tab w:val="left" w:pos="3465"/>
                    </w:tabs>
                    <w:bidi w:val="0"/>
                    <w:rPr>
                      <w:color w:val="auto"/>
                      <w:lang w:val="en-US" w:eastAsia="zh-CN"/>
                    </w:rPr>
                  </w:pPr>
                  <w:r>
                    <w:rPr>
                      <w:rFonts w:hint="eastAsia"/>
                      <w:color w:val="auto"/>
                      <w:lang w:val="en-US" w:eastAsia="zh-CN"/>
                    </w:rPr>
                    <w:t>2、入区项目各污染物排放指标必须满足清洁生产指标国内先进水平要求（如有）；</w:t>
                  </w:r>
                </w:p>
                <w:p>
                  <w:pPr>
                    <w:pStyle w:val="25"/>
                    <w:tabs>
                      <w:tab w:val="left" w:pos="1680"/>
                      <w:tab w:val="left" w:pos="3465"/>
                    </w:tabs>
                    <w:bidi w:val="0"/>
                    <w:rPr>
                      <w:color w:val="auto"/>
                      <w:lang w:val="en-US" w:eastAsia="zh-CN"/>
                    </w:rPr>
                  </w:pPr>
                  <w:r>
                    <w:rPr>
                      <w:rFonts w:hint="eastAsia"/>
                      <w:color w:val="auto"/>
                      <w:lang w:val="en-US" w:eastAsia="zh-CN"/>
                    </w:rPr>
                    <w:t>3、</w:t>
                  </w:r>
                  <w:r>
                    <w:rPr>
                      <w:color w:val="auto"/>
                      <w:lang w:val="en-US" w:eastAsia="zh-CN"/>
                    </w:rPr>
                    <w:t>严格限制工业涂装、包装印刷等</w:t>
                  </w:r>
                  <w:r>
                    <w:rPr>
                      <w:rFonts w:hint="eastAsia"/>
                      <w:color w:val="auto"/>
                      <w:lang w:val="en-US" w:eastAsia="zh-CN"/>
                    </w:rPr>
                    <w:t>使用</w:t>
                  </w:r>
                  <w:r>
                    <w:rPr>
                      <w:color w:val="auto"/>
                      <w:lang w:val="en-US" w:eastAsia="zh-CN"/>
                    </w:rPr>
                    <w:t>高VOCs排放</w:t>
                  </w:r>
                  <w:r>
                    <w:rPr>
                      <w:rFonts w:hint="eastAsia"/>
                      <w:color w:val="auto"/>
                      <w:lang w:val="en-US" w:eastAsia="zh-CN"/>
                    </w:rPr>
                    <w:t>的涂料、胶粘剂等。</w:t>
                  </w:r>
                </w:p>
                <w:p>
                  <w:pPr>
                    <w:pStyle w:val="25"/>
                    <w:tabs>
                      <w:tab w:val="left" w:pos="1680"/>
                      <w:tab w:val="left" w:pos="3465"/>
                    </w:tabs>
                    <w:bidi w:val="0"/>
                    <w:rPr>
                      <w:rFonts w:hint="eastAsia"/>
                      <w:color w:val="auto"/>
                      <w:lang w:val="en-US" w:eastAsia="zh-CN"/>
                    </w:rPr>
                  </w:pPr>
                  <w:r>
                    <w:rPr>
                      <w:rFonts w:hint="eastAsia"/>
                      <w:color w:val="auto"/>
                      <w:lang w:val="en-US" w:eastAsia="zh-CN"/>
                    </w:rPr>
                    <w:t>4、铸造企业应满足《</w:t>
                  </w:r>
                  <w:r>
                    <w:rPr>
                      <w:color w:val="auto"/>
                      <w:lang w:val="en-US" w:eastAsia="zh-CN"/>
                    </w:rPr>
                    <w:t>&lt;关于推动铸造和锻压行业高质量发展的若干措施&gt;的通知》</w:t>
                  </w:r>
                  <w:r>
                    <w:rPr>
                      <w:rFonts w:hint="eastAsia"/>
                      <w:color w:val="auto"/>
                      <w:lang w:val="en-US" w:eastAsia="zh-CN"/>
                    </w:rPr>
                    <w:t>（</w:t>
                  </w:r>
                  <w:r>
                    <w:rPr>
                      <w:color w:val="auto"/>
                      <w:lang w:val="en-US" w:eastAsia="zh-CN"/>
                    </w:rPr>
                    <w:t>冀工信装</w:t>
                  </w:r>
                  <w:r>
                    <w:rPr>
                      <w:rFonts w:hint="eastAsia"/>
                      <w:color w:val="auto"/>
                      <w:lang w:val="en-US" w:eastAsia="zh-CN"/>
                    </w:rPr>
                    <w:t>[</w:t>
                  </w:r>
                  <w:r>
                    <w:rPr>
                      <w:color w:val="auto"/>
                      <w:lang w:val="en-US" w:eastAsia="zh-CN"/>
                    </w:rPr>
                    <w:t>2023</w:t>
                  </w:r>
                  <w:r>
                    <w:rPr>
                      <w:rFonts w:hint="eastAsia"/>
                      <w:color w:val="auto"/>
                      <w:lang w:val="en-US" w:eastAsia="zh-CN"/>
                    </w:rPr>
                    <w:t>]</w:t>
                  </w:r>
                  <w:r>
                    <w:rPr>
                      <w:color w:val="auto"/>
                      <w:lang w:val="en-US" w:eastAsia="zh-CN"/>
                    </w:rPr>
                    <w:t>127号</w:t>
                  </w:r>
                  <w:r>
                    <w:rPr>
                      <w:rFonts w:hint="eastAsia"/>
                      <w:color w:val="auto"/>
                      <w:lang w:val="en-US" w:eastAsia="zh-CN"/>
                    </w:rPr>
                    <w:t>）等动态更新文件的要求。</w:t>
                  </w:r>
                </w:p>
                <w:p>
                  <w:pPr>
                    <w:pStyle w:val="25"/>
                    <w:tabs>
                      <w:tab w:val="left" w:pos="1680"/>
                      <w:tab w:val="left" w:pos="3465"/>
                    </w:tabs>
                    <w:bidi w:val="0"/>
                    <w:rPr>
                      <w:rFonts w:hint="eastAsia"/>
                      <w:color w:val="auto"/>
                      <w:lang w:val="en-US" w:eastAsia="zh-CN"/>
                    </w:rPr>
                  </w:pPr>
                  <w:r>
                    <w:rPr>
                      <w:rFonts w:hint="eastAsia"/>
                      <w:color w:val="auto"/>
                      <w:lang w:val="en-US" w:eastAsia="zh-CN"/>
                    </w:rPr>
                    <w:t>5、禁燃区内任何单位不得新建、扩建高污染燃料燃用设施，不得将其他燃料设施改造为高污染燃料燃用设施。</w:t>
                  </w:r>
                </w:p>
                <w:p>
                  <w:pPr>
                    <w:pStyle w:val="25"/>
                    <w:tabs>
                      <w:tab w:val="left" w:pos="1680"/>
                      <w:tab w:val="left" w:pos="3465"/>
                    </w:tabs>
                    <w:bidi w:val="0"/>
                    <w:rPr>
                      <w:rFonts w:hint="eastAsia"/>
                      <w:color w:val="auto"/>
                      <w:lang w:val="en-US" w:eastAsia="zh-CN"/>
                    </w:rPr>
                  </w:pPr>
                  <w:r>
                    <w:rPr>
                      <w:rFonts w:hint="eastAsia"/>
                      <w:color w:val="auto"/>
                      <w:lang w:val="en-US" w:eastAsia="zh-CN"/>
                    </w:rPr>
                    <w:t>6、按照《河北省化工重点监控点认定办法》、《石家庄市化工重点监控点认定程序和管理办法（试行）》要求执行。列入重点化工监控点的企业，</w:t>
                  </w:r>
                  <w:r>
                    <w:rPr>
                      <w:color w:val="auto"/>
                      <w:lang w:val="en-US" w:eastAsia="zh-CN"/>
                    </w:rPr>
                    <w:t>在项目审批、建设和管理方面参照化工园区内企业执行。</w:t>
                  </w:r>
                  <w:r>
                    <w:rPr>
                      <w:rFonts w:hint="eastAsia"/>
                      <w:color w:val="auto"/>
                      <w:lang w:val="en-US" w:eastAsia="zh-CN"/>
                    </w:rPr>
                    <w:t>化工重点监控点现状产品中百草枯、可可碱、</w:t>
                  </w:r>
                  <w:r>
                    <w:rPr>
                      <w:color w:val="auto"/>
                      <w:lang w:val="en-US" w:eastAsia="zh-CN"/>
                    </w:rPr>
                    <w:t>咖啡因</w:t>
                  </w:r>
                  <w:r>
                    <w:rPr>
                      <w:rFonts w:hint="eastAsia"/>
                      <w:color w:val="auto"/>
                      <w:lang w:val="en-US" w:eastAsia="zh-CN"/>
                    </w:rPr>
                    <w:t>属于《产业结构调整指导目录》（2024版）限制类产品。</w:t>
                  </w:r>
                </w:p>
                <w:p>
                  <w:pPr>
                    <w:pStyle w:val="25"/>
                    <w:tabs>
                      <w:tab w:val="left" w:pos="1680"/>
                      <w:tab w:val="left" w:pos="3465"/>
                    </w:tabs>
                    <w:bidi w:val="0"/>
                    <w:rPr>
                      <w:color w:val="auto"/>
                      <w:lang w:val="en-US" w:eastAsia="zh-CN"/>
                    </w:rPr>
                  </w:pPr>
                  <w:r>
                    <w:rPr>
                      <w:rFonts w:hint="eastAsia"/>
                      <w:color w:val="auto"/>
                      <w:lang w:val="en-US" w:eastAsia="zh-CN"/>
                    </w:rPr>
                    <w:t>7、严格建设用地土壤环境准入。在永久基本农田集中区域禁止新建重金属、持久性有机污染物类项目。装备制造行业禁止建设集中电镀、镀层、阳极氧化的金属表面处理及热处理加工企业。战略性新兴产业和高新技术产业，新、改、扩建项目包括少量电镀、涂装、酸洗等表面处理工艺，但不属于主要生产工序的，不视为表面处理建设项目，新增少量电镀工序企业，不排放含重金属的废水（采用无氰电镀，禁止采用剧毒的氰化物电解液）。</w:t>
                  </w:r>
                </w:p>
                <w:p>
                  <w:pPr>
                    <w:pStyle w:val="25"/>
                    <w:tabs>
                      <w:tab w:val="left" w:pos="1680"/>
                      <w:tab w:val="left" w:pos="3465"/>
                    </w:tabs>
                    <w:bidi w:val="0"/>
                    <w:rPr>
                      <w:color w:val="auto"/>
                      <w:lang w:val="en-US" w:eastAsia="zh-CN"/>
                    </w:rPr>
                  </w:pPr>
                  <w:r>
                    <w:rPr>
                      <w:rFonts w:hint="eastAsia"/>
                      <w:color w:val="auto"/>
                      <w:lang w:val="en-US" w:eastAsia="zh-CN"/>
                    </w:rPr>
                    <w:t>8、现状化工企业（非化工重点监控点）禁止新建、改扩建（安全、环保、节能和智能化改造项目除外）。</w:t>
                  </w:r>
                </w:p>
                <w:p>
                  <w:pPr>
                    <w:pStyle w:val="25"/>
                    <w:tabs>
                      <w:tab w:val="left" w:pos="1680"/>
                      <w:tab w:val="left" w:pos="3465"/>
                    </w:tabs>
                    <w:bidi w:val="0"/>
                    <w:rPr>
                      <w:color w:val="auto"/>
                      <w:lang w:val="en-US" w:eastAsia="zh-CN"/>
                    </w:rPr>
                  </w:pPr>
                  <w:r>
                    <w:rPr>
                      <w:rFonts w:hint="eastAsia"/>
                      <w:color w:val="auto"/>
                      <w:lang w:val="en-US" w:eastAsia="zh-CN"/>
                    </w:rPr>
                    <w:t>9、根据《河北省生态环境分区管控更新成果（</w:t>
                  </w:r>
                  <w:r>
                    <w:rPr>
                      <w:color w:val="auto"/>
                      <w:lang w:val="en-US" w:eastAsia="zh-CN"/>
                    </w:rPr>
                    <w:t>2023</w:t>
                  </w:r>
                  <w:r>
                    <w:rPr>
                      <w:rFonts w:hint="eastAsia"/>
                      <w:color w:val="auto"/>
                      <w:lang w:val="en-US" w:eastAsia="zh-CN"/>
                    </w:rPr>
                    <w:t>版）》、《</w:t>
                  </w:r>
                  <w:r>
                    <w:rPr>
                      <w:color w:val="auto"/>
                      <w:lang w:val="en-US" w:eastAsia="zh-CN"/>
                    </w:rPr>
                    <w:t>石家庄市生态环境准入清单</w:t>
                  </w:r>
                  <w:r>
                    <w:rPr>
                      <w:rFonts w:hint="eastAsia"/>
                      <w:color w:val="auto"/>
                      <w:lang w:val="en-US" w:eastAsia="zh-CN"/>
                    </w:rPr>
                    <w:t>（</w:t>
                  </w:r>
                  <w:r>
                    <w:rPr>
                      <w:color w:val="auto"/>
                      <w:lang w:val="en-US" w:eastAsia="zh-CN"/>
                    </w:rPr>
                    <w:t>2023版</w:t>
                  </w:r>
                  <w:r>
                    <w:rPr>
                      <w:rFonts w:hint="eastAsia"/>
                      <w:color w:val="auto"/>
                      <w:lang w:val="en-US" w:eastAsia="zh-CN"/>
                    </w:rPr>
                    <w:t>）》中地表水环境总体管控要求，严格控制高污染、高耗水行业新增产能。食品加工业根据《关于印发钢铁等十八项工业用水定额的通知》，禁止建设高耗水项目。</w:t>
                  </w:r>
                </w:p>
              </w:tc>
              <w:tc>
                <w:tcPr>
                  <w:tcW w:w="2864" w:type="dxa"/>
                  <w:tcBorders>
                    <w:left w:val="single" w:sz="4" w:space="0" w:color="auto"/>
                  </w:tcBorders>
                  <w:vAlign w:val="center"/>
                </w:tcPr>
                <w:p>
                  <w:pPr>
                    <w:pStyle w:val="25"/>
                    <w:tabs>
                      <w:tab w:val="left" w:pos="1680"/>
                      <w:tab w:val="left" w:pos="3465"/>
                    </w:tabs>
                    <w:bidi w:val="0"/>
                    <w:rPr>
                      <w:color w:val="auto"/>
                      <w:lang w:val="en-US" w:eastAsia="zh-CN"/>
                    </w:rPr>
                  </w:pPr>
                  <w:r>
                    <w:rPr>
                      <w:color w:val="auto"/>
                      <w:lang w:val="en-US" w:eastAsia="zh-CN"/>
                    </w:rPr>
                    <w:t>1、项目生产</w:t>
                  </w:r>
                  <w:r>
                    <w:rPr>
                      <w:rFonts w:hint="eastAsia"/>
                      <w:color w:val="auto"/>
                      <w:lang w:val="en-US" w:eastAsia="zh-CN"/>
                    </w:rPr>
                    <w:t>饮料</w:t>
                  </w:r>
                  <w:r>
                    <w:rPr>
                      <w:color w:val="auto"/>
                      <w:lang w:val="en-US" w:eastAsia="zh-CN"/>
                    </w:rPr>
                    <w:t>，不属于《产业结构调整指导目录（2024年本）》中限制类、淘汰类项目；</w:t>
                  </w:r>
                </w:p>
                <w:p>
                  <w:pPr>
                    <w:pStyle w:val="25"/>
                    <w:tabs>
                      <w:tab w:val="left" w:pos="1680"/>
                      <w:tab w:val="left" w:pos="3465"/>
                    </w:tabs>
                    <w:bidi w:val="0"/>
                    <w:rPr>
                      <w:rFonts w:hint="eastAsia"/>
                      <w:color w:val="auto"/>
                      <w:lang w:val="en-US" w:eastAsia="zh-CN"/>
                    </w:rPr>
                  </w:pPr>
                  <w:r>
                    <w:rPr>
                      <w:rFonts w:hint="eastAsia"/>
                      <w:color w:val="auto"/>
                      <w:lang w:val="en-US" w:eastAsia="zh-CN"/>
                    </w:rPr>
                    <w:t>2、不涉及；</w:t>
                  </w:r>
                </w:p>
                <w:p>
                  <w:pPr>
                    <w:pStyle w:val="25"/>
                    <w:tabs>
                      <w:tab w:val="left" w:pos="1680"/>
                      <w:tab w:val="left" w:pos="3465"/>
                    </w:tabs>
                    <w:bidi w:val="0"/>
                    <w:rPr>
                      <w:rFonts w:hint="eastAsia"/>
                      <w:color w:val="auto"/>
                      <w:lang w:val="en-US" w:eastAsia="zh-CN"/>
                    </w:rPr>
                  </w:pPr>
                  <w:r>
                    <w:rPr>
                      <w:rFonts w:hint="eastAsia"/>
                      <w:color w:val="auto"/>
                      <w:lang w:val="en-US" w:eastAsia="zh-CN"/>
                    </w:rPr>
                    <w:t>3、本项目不涉及使用涂料、胶粘剂；</w:t>
                  </w:r>
                </w:p>
                <w:p>
                  <w:pPr>
                    <w:pStyle w:val="25"/>
                    <w:tabs>
                      <w:tab w:val="left" w:pos="1680"/>
                      <w:tab w:val="left" w:pos="3465"/>
                    </w:tabs>
                    <w:bidi w:val="0"/>
                    <w:rPr>
                      <w:rFonts w:hint="eastAsia"/>
                      <w:color w:val="auto"/>
                      <w:lang w:val="en-US" w:eastAsia="zh-CN"/>
                    </w:rPr>
                  </w:pPr>
                  <w:r>
                    <w:rPr>
                      <w:rFonts w:hint="eastAsia"/>
                      <w:color w:val="auto"/>
                      <w:lang w:val="en-US" w:eastAsia="zh-CN"/>
                    </w:rPr>
                    <w:t>4、本项目不属于铸造企业；</w:t>
                  </w:r>
                </w:p>
                <w:p>
                  <w:pPr>
                    <w:pStyle w:val="25"/>
                    <w:tabs>
                      <w:tab w:val="left" w:pos="1680"/>
                      <w:tab w:val="left" w:pos="3465"/>
                    </w:tabs>
                    <w:bidi w:val="0"/>
                    <w:rPr>
                      <w:rFonts w:hint="eastAsia"/>
                      <w:color w:val="auto"/>
                      <w:lang w:val="en-US" w:eastAsia="zh-CN"/>
                    </w:rPr>
                  </w:pPr>
                  <w:r>
                    <w:rPr>
                      <w:rFonts w:hint="eastAsia"/>
                      <w:color w:val="auto"/>
                      <w:lang w:val="en-US" w:eastAsia="zh-CN"/>
                    </w:rPr>
                    <w:t>5、本项目使用燃料为天然气，不属于高污染燃料；</w:t>
                  </w:r>
                </w:p>
                <w:p>
                  <w:pPr>
                    <w:pStyle w:val="25"/>
                    <w:tabs>
                      <w:tab w:val="left" w:pos="1680"/>
                      <w:tab w:val="left" w:pos="3465"/>
                    </w:tabs>
                    <w:bidi w:val="0"/>
                    <w:rPr>
                      <w:rFonts w:hint="eastAsia"/>
                      <w:color w:val="auto"/>
                      <w:lang w:val="en-US" w:eastAsia="zh-CN"/>
                    </w:rPr>
                  </w:pPr>
                  <w:r>
                    <w:rPr>
                      <w:rFonts w:hint="eastAsia"/>
                      <w:color w:val="auto"/>
                      <w:lang w:val="en-US" w:eastAsia="zh-CN"/>
                    </w:rPr>
                    <w:t>6、本项目不涉及；</w:t>
                  </w:r>
                </w:p>
                <w:p>
                  <w:pPr>
                    <w:pStyle w:val="25"/>
                    <w:tabs>
                      <w:tab w:val="left" w:pos="1680"/>
                      <w:tab w:val="left" w:pos="3465"/>
                    </w:tabs>
                    <w:bidi w:val="0"/>
                    <w:rPr>
                      <w:rFonts w:hint="eastAsia"/>
                      <w:color w:val="auto"/>
                      <w:lang w:val="en-US" w:eastAsia="zh-CN"/>
                    </w:rPr>
                  </w:pPr>
                  <w:r>
                    <w:rPr>
                      <w:rFonts w:hint="eastAsia"/>
                      <w:color w:val="auto"/>
                      <w:lang w:val="en-US" w:eastAsia="zh-CN"/>
                    </w:rPr>
                    <w:t>7、项目在现有厂区内建设，不新增占地，现有占地为工业用地，不占用永久基本农田，本项目不属于电镀、镀层、阳极氧化的金属表面处理及热处理加工项目；</w:t>
                  </w:r>
                </w:p>
                <w:p>
                  <w:pPr>
                    <w:pStyle w:val="25"/>
                    <w:tabs>
                      <w:tab w:val="left" w:pos="1680"/>
                      <w:tab w:val="left" w:pos="3465"/>
                    </w:tabs>
                    <w:bidi w:val="0"/>
                    <w:rPr>
                      <w:rFonts w:hint="eastAsia"/>
                      <w:color w:val="auto"/>
                      <w:lang w:val="en-US" w:eastAsia="zh-CN"/>
                    </w:rPr>
                  </w:pPr>
                  <w:r>
                    <w:rPr>
                      <w:rFonts w:hint="eastAsia"/>
                      <w:color w:val="auto"/>
                      <w:lang w:val="en-US" w:eastAsia="zh-CN"/>
                    </w:rPr>
                    <w:t>8、不涉及；</w:t>
                  </w:r>
                </w:p>
                <w:p>
                  <w:pPr>
                    <w:pStyle w:val="25"/>
                    <w:tabs>
                      <w:tab w:val="left" w:pos="1680"/>
                      <w:tab w:val="left" w:pos="3465"/>
                    </w:tabs>
                    <w:bidi w:val="0"/>
                    <w:rPr>
                      <w:color w:val="auto"/>
                      <w:lang w:val="en-US" w:eastAsia="zh-CN"/>
                    </w:rPr>
                  </w:pPr>
                  <w:r>
                    <w:rPr>
                      <w:rFonts w:hint="eastAsia"/>
                      <w:color w:val="auto"/>
                      <w:lang w:val="en-US" w:eastAsia="zh-CN"/>
                    </w:rPr>
                    <w:t>9、本项目不属于《关于印发钢铁等十八项工业用水定额的通知》中所列的高污染、高耗水行业；</w:t>
                  </w:r>
                </w:p>
              </w:tc>
              <w:tc>
                <w:tcPr>
                  <w:tcW w:w="328" w:type="dxa"/>
                  <w:tcBorders>
                    <w:left w:val="single" w:sz="4" w:space="0" w:color="auto"/>
                  </w:tcBorders>
                  <w:vAlign w:val="center"/>
                </w:tcPr>
                <w:p>
                  <w:pPr>
                    <w:pStyle w:val="25"/>
                    <w:tabs>
                      <w:tab w:val="left" w:pos="1680"/>
                      <w:tab w:val="left" w:pos="3465"/>
                    </w:tabs>
                    <w:bidi w:val="0"/>
                    <w:ind w:firstLine="0"/>
                    <w:rPr>
                      <w:color w:val="auto"/>
                      <w:lang w:val="en-US" w:eastAsia="zh-CN"/>
                    </w:rPr>
                  </w:pPr>
                  <w:r>
                    <w:rPr>
                      <w:rFonts w:hint="eastAsia"/>
                      <w:color w:val="auto"/>
                      <w:lang w:val="en-US" w:eastAsia="zh-CN"/>
                    </w:rPr>
                    <w:t>符合</w:t>
                  </w:r>
                </w:p>
              </w:tc>
            </w:tr>
            <w:tr>
              <w:trPr>
                <w:trHeight w:val="264"/>
              </w:trPr>
              <w:tc>
                <w:tcPr>
                  <w:tcW w:w="441" w:type="dxa"/>
                  <w:vMerge/>
                  <w:vAlign w:val="center"/>
                </w:tcPr>
                <w:p/>
              </w:tc>
              <w:tc>
                <w:tcPr>
                  <w:tcW w:w="350" w:type="dxa"/>
                  <w:tcBorders>
                    <w:left w:val="single" w:sz="4" w:space="0" w:color="auto"/>
                  </w:tcBorders>
                  <w:vAlign w:val="center"/>
                </w:tcPr>
                <w:p>
                  <w:pPr>
                    <w:pStyle w:val="25"/>
                    <w:tabs>
                      <w:tab w:val="left" w:pos="1680"/>
                      <w:tab w:val="left" w:pos="3465"/>
                    </w:tabs>
                    <w:bidi w:val="0"/>
                    <w:rPr>
                      <w:color w:val="auto"/>
                    </w:rPr>
                  </w:pPr>
                  <w:r>
                    <w:rPr>
                      <w:color w:val="auto"/>
                    </w:rPr>
                    <w:t>空间布局约束</w:t>
                  </w:r>
                </w:p>
              </w:tc>
              <w:tc>
                <w:tcPr>
                  <w:tcW w:w="3103" w:type="dxa"/>
                  <w:tcBorders>
                    <w:left w:val="single" w:sz="4" w:space="0" w:color="auto"/>
                  </w:tcBorders>
                  <w:vAlign w:val="center"/>
                </w:tcPr>
                <w:p>
                  <w:pPr>
                    <w:pStyle w:val="25"/>
                    <w:tabs>
                      <w:tab w:val="left" w:pos="1680"/>
                      <w:tab w:val="left" w:pos="3465"/>
                    </w:tabs>
                    <w:bidi w:val="0"/>
                    <w:rPr>
                      <w:color w:val="auto"/>
                      <w:lang w:val="en-US" w:eastAsia="zh-CN"/>
                    </w:rPr>
                  </w:pPr>
                  <w:r>
                    <w:rPr>
                      <w:color w:val="auto"/>
                      <w:lang w:val="en-US" w:eastAsia="zh-CN"/>
                    </w:rPr>
                    <w:t>1</w:t>
                  </w:r>
                  <w:r>
                    <w:rPr>
                      <w:rFonts w:hint="eastAsia"/>
                      <w:color w:val="auto"/>
                      <w:lang w:val="en-US" w:eastAsia="zh-CN"/>
                    </w:rPr>
                    <w:t>、禁止在公园绿地、防护绿地等规划绿地范围内开展与绿地无关的建设活动。</w:t>
                  </w:r>
                </w:p>
                <w:p>
                  <w:pPr>
                    <w:pStyle w:val="25"/>
                    <w:tabs>
                      <w:tab w:val="left" w:pos="1680"/>
                      <w:tab w:val="left" w:pos="3465"/>
                    </w:tabs>
                    <w:bidi w:val="0"/>
                    <w:rPr>
                      <w:rFonts w:hint="eastAsia"/>
                      <w:color w:val="auto"/>
                      <w:lang w:val="en-US" w:eastAsia="zh-CN"/>
                    </w:rPr>
                  </w:pPr>
                  <w:r>
                    <w:rPr>
                      <w:rFonts w:hint="eastAsia"/>
                      <w:color w:val="auto"/>
                      <w:lang w:val="en-US" w:eastAsia="zh-CN"/>
                    </w:rPr>
                    <w:t>2、禁止占用公路用地红线，在公路两侧建筑控制线范围内，禁止建设除公路附属设施外的其他永久性建筑物、构筑物和设施。</w:t>
                  </w:r>
                </w:p>
                <w:p>
                  <w:pPr>
                    <w:pStyle w:val="25"/>
                    <w:tabs>
                      <w:tab w:val="left" w:pos="1680"/>
                      <w:tab w:val="left" w:pos="3465"/>
                    </w:tabs>
                    <w:bidi w:val="0"/>
                    <w:rPr>
                      <w:rFonts w:hint="eastAsia"/>
                      <w:color w:val="auto"/>
                      <w:lang w:val="en-US" w:eastAsia="zh-CN"/>
                    </w:rPr>
                  </w:pPr>
                  <w:r>
                    <w:rPr>
                      <w:rFonts w:hint="eastAsia"/>
                      <w:color w:val="auto"/>
                      <w:lang w:val="en-US" w:eastAsia="zh-CN"/>
                    </w:rPr>
                    <w:t>3、产业园区及周边划定了2处饮用水源地一级保护区，石家庄市栾城区水利局第一供水厂水源地一级保护区、交通公园水源井（1#）一级保护区。①在饮用水水源保护区内，禁止设置排污口。②禁止在饮用水水源一级保护区内新建、改建、扩建与供水设施和保护水源无关的建设项目；已建成的与供水设施和保护水源无关的建设项目，由县级以上人民政府责令拆除或者关闭。③禁止在饮用水水源一级保护区内从事网箱养殖、旅游、游泳、垂钓或者其他可能污染饮用水水体的活动。④禁止建设工业、生活排污口。⑤禁止新增农业种植和经济林。</w:t>
                  </w:r>
                </w:p>
                <w:p>
                  <w:pPr>
                    <w:pStyle w:val="25"/>
                    <w:tabs>
                      <w:tab w:val="left" w:pos="1680"/>
                      <w:tab w:val="left" w:pos="3465"/>
                    </w:tabs>
                    <w:bidi w:val="0"/>
                    <w:rPr>
                      <w:rFonts w:hint="eastAsia"/>
                      <w:color w:val="auto"/>
                      <w:lang w:val="en-US" w:eastAsia="zh-CN"/>
                    </w:rPr>
                  </w:pPr>
                  <w:r>
                    <w:rPr>
                      <w:rFonts w:hint="eastAsia"/>
                      <w:color w:val="auto"/>
                      <w:lang w:val="en-US" w:eastAsia="zh-CN"/>
                    </w:rPr>
                    <w:t>4、产业园区及周边划定了1处饮用水源地准保护区，</w:t>
                  </w:r>
                  <w:r>
                    <w:rPr>
                      <w:color w:val="auto"/>
                      <w:lang w:val="en-US" w:eastAsia="zh-CN"/>
                    </w:rPr>
                    <w:t>交通公园水源井</w:t>
                  </w:r>
                  <w:r>
                    <w:rPr>
                      <w:rFonts w:hint="eastAsia"/>
                      <w:color w:val="auto"/>
                      <w:lang w:val="en-US" w:eastAsia="zh-CN"/>
                    </w:rPr>
                    <w:t>（</w:t>
                  </w:r>
                  <w:r>
                    <w:rPr>
                      <w:color w:val="auto"/>
                      <w:lang w:val="en-US" w:eastAsia="zh-CN"/>
                    </w:rPr>
                    <w:t>1#</w:t>
                  </w:r>
                  <w:r>
                    <w:rPr>
                      <w:rFonts w:hint="eastAsia"/>
                      <w:color w:val="auto"/>
                      <w:lang w:val="en-US" w:eastAsia="zh-CN"/>
                    </w:rPr>
                    <w:t>）准</w:t>
                  </w:r>
                  <w:r>
                    <w:rPr>
                      <w:color w:val="auto"/>
                      <w:lang w:val="en-US" w:eastAsia="zh-CN"/>
                    </w:rPr>
                    <w:t>保护区</w:t>
                  </w:r>
                  <w:r>
                    <w:rPr>
                      <w:rFonts w:hint="eastAsia"/>
                      <w:color w:val="auto"/>
                      <w:lang w:val="en-US" w:eastAsia="zh-CN"/>
                    </w:rPr>
                    <w:t>。①禁止在饮用水水源准保护区内新建、扩建对水体污染严重的建设项目；②改建建设项目，不得增加排污量。③禁止新建、扩建制药、化工、造纸、制革、印染、染料、炼焦、炼硫、炼砷、炼油、电镀、农药等对水体污染严重的建设项目。④禁止建设易溶性、有毒有害废弃物暂存和转运站，严格控制采矿、采砂等活动。⑤禁止毁林开荒行为。</w:t>
                  </w:r>
                </w:p>
                <w:p>
                  <w:pPr>
                    <w:pStyle w:val="25"/>
                    <w:tabs>
                      <w:tab w:val="left" w:pos="1680"/>
                      <w:tab w:val="left" w:pos="3465"/>
                    </w:tabs>
                    <w:bidi w:val="0"/>
                    <w:rPr>
                      <w:rFonts w:hint="eastAsia"/>
                      <w:color w:val="auto"/>
                      <w:lang w:val="en-US" w:eastAsia="zh-CN"/>
                    </w:rPr>
                  </w:pPr>
                  <w:r>
                    <w:rPr>
                      <w:rFonts w:hint="eastAsia"/>
                      <w:color w:val="auto"/>
                      <w:lang w:val="en-US" w:eastAsia="zh-CN"/>
                    </w:rPr>
                    <w:t>5、栾武台保护范围：以栾武台台基边线为基线，向东150米至栾城镇加油站西侧，向南100米至内营村农田，向西150米至小裴村农田，向北100米至小裴村农田。建设控制地带：以栾武台保护范围边线为基线，向东150米至308国道，向南100米至内营村农田，向西150米至小裴村村中，向北100米至小裴村农田。栾武台遗址为省级重点文物保护单位。</w:t>
                  </w:r>
                </w:p>
                <w:p>
                  <w:pPr>
                    <w:pStyle w:val="25"/>
                    <w:tabs>
                      <w:tab w:val="left" w:pos="1680"/>
                      <w:tab w:val="left" w:pos="3465"/>
                    </w:tabs>
                    <w:bidi w:val="0"/>
                    <w:rPr>
                      <w:rFonts w:hint="eastAsia"/>
                      <w:color w:val="auto"/>
                      <w:lang w:val="en-US" w:eastAsia="zh-CN"/>
                    </w:rPr>
                  </w:pPr>
                  <w:r>
                    <w:rPr>
                      <w:rFonts w:hint="eastAsia"/>
                      <w:color w:val="auto"/>
                      <w:lang w:val="en-US" w:eastAsia="zh-CN"/>
                    </w:rPr>
                    <w:t>6、入区企业应优先选址于距离居住区等环境敏感点较远区域；选址于居住区等环境敏感点周边的应设置绿化隔离带，工业用地靠近居住区一侧在布置工业项目时重点考虑对居住区的环境影响分析，需满足大气环境防护距离和风险防护距离要求。</w:t>
                  </w:r>
                  <w:r>
                    <w:rPr>
                      <w:color w:val="auto"/>
                      <w:lang w:val="en-US" w:eastAsia="zh-CN"/>
                    </w:rPr>
                    <w:t>距离居住用地、教育用地0～50m范围内禁止新上涉及废气排放的工序；50～100m范围内新上涉及废气排放的工序应执行A级企业管控要求，并严格控制恶臭异味物质排放，以减少工业活动对居民生活的影响。新上企业应将污染物产生量少、环境影响轻的建筑物</w:t>
                  </w:r>
                  <w:r>
                    <w:rPr>
                      <w:rFonts w:hint="eastAsia"/>
                      <w:color w:val="auto"/>
                      <w:lang w:val="en-US" w:eastAsia="zh-CN"/>
                    </w:rPr>
                    <w:t>（</w:t>
                  </w:r>
                  <w:r>
                    <w:rPr>
                      <w:color w:val="auto"/>
                      <w:lang w:val="en-US" w:eastAsia="zh-CN"/>
                    </w:rPr>
                    <w:t>如包装车间、仓库等</w:t>
                  </w:r>
                  <w:r>
                    <w:rPr>
                      <w:rFonts w:hint="eastAsia"/>
                      <w:color w:val="auto"/>
                      <w:lang w:val="en-US" w:eastAsia="zh-CN"/>
                    </w:rPr>
                    <w:t>）</w:t>
                  </w:r>
                  <w:r>
                    <w:rPr>
                      <w:color w:val="auto"/>
                      <w:lang w:val="en-US" w:eastAsia="zh-CN"/>
                    </w:rPr>
                    <w:t>、办公楼等靠近居住区布置；强化废气处理设施，加强车间密闭，确保达标排放</w:t>
                  </w:r>
                  <w:r>
                    <w:rPr>
                      <w:rFonts w:hint="eastAsia"/>
                      <w:color w:val="auto"/>
                      <w:lang w:val="en-US" w:eastAsia="zh-CN"/>
                    </w:rPr>
                    <w:t>。新规划居住用地、教育用地与工业用地之间至少保留50m防护绿地。</w:t>
                  </w:r>
                </w:p>
                <w:p>
                  <w:pPr>
                    <w:pStyle w:val="25"/>
                    <w:tabs>
                      <w:tab w:val="left" w:pos="1680"/>
                      <w:tab w:val="left" w:pos="3465"/>
                    </w:tabs>
                    <w:bidi w:val="0"/>
                    <w:rPr>
                      <w:color w:val="auto"/>
                      <w:lang w:val="en-US" w:eastAsia="zh-CN"/>
                    </w:rPr>
                  </w:pPr>
                  <w:r>
                    <w:rPr>
                      <w:rFonts w:hint="eastAsia"/>
                      <w:color w:val="auto"/>
                      <w:lang w:val="en-US" w:eastAsia="zh-CN"/>
                    </w:rPr>
                    <w:t>7、入区项目按照规划</w:t>
                  </w:r>
                  <w:r>
                    <w:rPr>
                      <w:color w:val="auto"/>
                      <w:lang w:val="en-US" w:eastAsia="zh-CN"/>
                    </w:rPr>
                    <w:t>产业定位和</w:t>
                  </w:r>
                  <w:r>
                    <w:rPr>
                      <w:rFonts w:hint="eastAsia"/>
                      <w:color w:val="auto"/>
                      <w:lang w:val="en-US" w:eastAsia="zh-CN"/>
                    </w:rPr>
                    <w:t>布局进行选址；不符合产业规划的现有企业在不影响规划产业园区主导功能的情况下可在现有厂区范围内改扩建，强化污染物排放控制要求；对于污染轻微附加值</w:t>
                  </w:r>
                  <w:r>
                    <w:rPr>
                      <w:color w:val="auto"/>
                      <w:lang w:val="en-US" w:eastAsia="zh-CN"/>
                    </w:rPr>
                    <w:t>高</w:t>
                  </w:r>
                  <w:r>
                    <w:rPr>
                      <w:rFonts w:hint="eastAsia"/>
                      <w:color w:val="auto"/>
                      <w:lang w:val="en-US" w:eastAsia="zh-CN"/>
                    </w:rPr>
                    <w:t>且符合相关产业政策要求的项目在不影响规划产业园区主导功能的情况下可适度入驻。</w:t>
                  </w:r>
                </w:p>
                <w:p>
                  <w:pPr>
                    <w:pStyle w:val="25"/>
                    <w:tabs>
                      <w:tab w:val="left" w:pos="1680"/>
                      <w:tab w:val="left" w:pos="3465"/>
                    </w:tabs>
                    <w:bidi w:val="0"/>
                    <w:rPr>
                      <w:color w:val="auto"/>
                    </w:rPr>
                  </w:pPr>
                  <w:r>
                    <w:rPr>
                      <w:rFonts w:hint="eastAsia"/>
                      <w:color w:val="auto"/>
                      <w:lang w:val="en-US" w:eastAsia="zh-CN"/>
                    </w:rPr>
                    <w:t>8、</w:t>
                  </w:r>
                  <w:r>
                    <w:rPr>
                      <w:color w:val="auto"/>
                    </w:rPr>
                    <w:t>保留的与规划不符现有企业应严格落实排污许可、国家及地方环保要求，达标排放，通过不断提升环保措施及管理水平，最大限度降低环境污染影响，鼓励其通过技术革新，实现经济效益和环境效益的双赢，促进</w:t>
                  </w:r>
                  <w:r>
                    <w:rPr>
                      <w:rFonts w:hint="eastAsia"/>
                      <w:color w:val="auto"/>
                      <w:lang w:val="en-US" w:eastAsia="zh-CN"/>
                    </w:rPr>
                    <w:t>产业园区</w:t>
                  </w:r>
                  <w:r>
                    <w:rPr>
                      <w:color w:val="auto"/>
                    </w:rPr>
                    <w:t>绿色发展。</w:t>
                  </w:r>
                </w:p>
                <w:p>
                  <w:pPr>
                    <w:pStyle w:val="25"/>
                    <w:tabs>
                      <w:tab w:val="left" w:pos="1680"/>
                      <w:tab w:val="left" w:pos="3465"/>
                    </w:tabs>
                    <w:bidi w:val="0"/>
                    <w:rPr>
                      <w:color w:val="auto"/>
                      <w:lang w:val="en-US" w:eastAsia="zh-CN"/>
                    </w:rPr>
                  </w:pPr>
                  <w:r>
                    <w:rPr>
                      <w:rFonts w:hint="eastAsia"/>
                      <w:color w:val="auto"/>
                      <w:lang w:val="en-US" w:eastAsia="zh-CN"/>
                    </w:rPr>
                    <w:t>9、对于现有工业企业后续退出的遗留用地，应按照《中华人民共和国土壤污染防治法》《关于贯彻落实土壤污染防治法推动解决突出土壤污染问题的实施意见》（环办土壤[2019]47号）要求，土地用途变更为住宅、公共管理与公共服务用地的，变更前应当按照规定进行土壤污染状况调查，编制土壤污染状况调查报告。</w:t>
                  </w:r>
                </w:p>
              </w:tc>
              <w:tc>
                <w:tcPr>
                  <w:tcW w:w="2864" w:type="dxa"/>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本项目为扩建项目，在现有厂区内建设，不新增占地，厂区位于园区工业发展区，占地为工业用地，项目区域内无自然保护区、风景名胜区及重点保护文物等重点保护对象。项目周边地势平坦，厂址周围环境敏感度一般。本次扩建项目不在生态保护红线规划范围之内。</w:t>
                  </w:r>
                </w:p>
              </w:tc>
              <w:tc>
                <w:tcPr>
                  <w:tcW w:w="328" w:type="dxa"/>
                  <w:tcBorders>
                    <w:left w:val="single" w:sz="4" w:space="0" w:color="auto"/>
                  </w:tcBorders>
                  <w:vAlign w:val="center"/>
                </w:tcPr>
                <w:p>
                  <w:pPr>
                    <w:pStyle w:val="25"/>
                    <w:tabs>
                      <w:tab w:val="left" w:pos="1680"/>
                      <w:tab w:val="left" w:pos="3465"/>
                    </w:tabs>
                    <w:bidi w:val="0"/>
                    <w:ind w:firstLine="0"/>
                    <w:rPr>
                      <w:rFonts w:hint="eastAsia"/>
                      <w:color w:val="auto"/>
                      <w:lang w:val="en-US" w:eastAsia="zh-CN"/>
                    </w:rPr>
                  </w:pPr>
                  <w:r>
                    <w:rPr>
                      <w:rFonts w:hint="eastAsia"/>
                      <w:color w:val="auto"/>
                      <w:lang w:val="en-US" w:eastAsia="zh-CN"/>
                    </w:rPr>
                    <w:t>符合</w:t>
                  </w:r>
                </w:p>
              </w:tc>
            </w:tr>
            <w:tr>
              <w:trPr>
                <w:trHeight w:val="919"/>
              </w:trPr>
              <w:tc>
                <w:tcPr>
                  <w:tcW w:w="441" w:type="dxa"/>
                  <w:vMerge/>
                  <w:vAlign w:val="center"/>
                </w:tcPr>
                <w:p/>
              </w:tc>
              <w:tc>
                <w:tcPr>
                  <w:tcW w:w="350" w:type="dxa"/>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污染物</w:t>
                  </w:r>
                </w:p>
                <w:p>
                  <w:pPr>
                    <w:pStyle w:val="25"/>
                    <w:tabs>
                      <w:tab w:val="left" w:pos="1680"/>
                      <w:tab w:val="left" w:pos="3465"/>
                    </w:tabs>
                    <w:bidi w:val="0"/>
                    <w:rPr>
                      <w:color w:val="auto"/>
                      <w:lang w:val="en-US" w:eastAsia="zh-CN"/>
                    </w:rPr>
                  </w:pPr>
                  <w:r>
                    <w:rPr>
                      <w:rFonts w:hint="eastAsia"/>
                      <w:color w:val="auto"/>
                      <w:lang w:val="en-US" w:eastAsia="zh-CN"/>
                    </w:rPr>
                    <w:t>排放管控</w:t>
                  </w:r>
                </w:p>
              </w:tc>
              <w:tc>
                <w:tcPr>
                  <w:tcW w:w="3103" w:type="dxa"/>
                  <w:tcBorders>
                    <w:left w:val="single" w:sz="4" w:space="0" w:color="auto"/>
                  </w:tcBorders>
                  <w:vAlign w:val="center"/>
                </w:tcPr>
                <w:p>
                  <w:pPr>
                    <w:pStyle w:val="25"/>
                    <w:tabs>
                      <w:tab w:val="left" w:pos="1680"/>
                      <w:tab w:val="left" w:pos="3465"/>
                    </w:tabs>
                    <w:bidi w:val="0"/>
                    <w:rPr>
                      <w:color w:val="auto"/>
                      <w:lang w:val="en-US" w:eastAsia="zh-CN"/>
                    </w:rPr>
                  </w:pPr>
                  <w:r>
                    <w:rPr>
                      <w:rFonts w:hint="eastAsia"/>
                      <w:color w:val="auto"/>
                      <w:lang w:val="en-US" w:eastAsia="zh-CN"/>
                    </w:rPr>
                    <w:t>1、鼓励优先引入集中式环保治理工程；入区项目需满足建设项目主要污染物排放削减替代和总量控制要求。</w:t>
                  </w:r>
                </w:p>
              </w:tc>
              <w:tc>
                <w:tcPr>
                  <w:tcW w:w="2864" w:type="dxa"/>
                  <w:tcBorders>
                    <w:left w:val="single" w:sz="4" w:space="0" w:color="auto"/>
                  </w:tcBorders>
                  <w:vAlign w:val="center"/>
                </w:tcPr>
                <w:p>
                  <w:pPr>
                    <w:pStyle w:val="25"/>
                    <w:tabs>
                      <w:tab w:val="left" w:pos="1680"/>
                      <w:tab w:val="left" w:pos="3465"/>
                    </w:tabs>
                    <w:bidi w:val="0"/>
                    <w:rPr>
                      <w:color w:val="auto"/>
                      <w:lang w:val="en-US" w:eastAsia="zh-CN"/>
                    </w:rPr>
                  </w:pPr>
                  <w:r>
                    <w:rPr>
                      <w:rFonts w:hint="eastAsia"/>
                      <w:color w:val="auto"/>
                      <w:lang w:val="en-US" w:eastAsia="zh-CN"/>
                    </w:rPr>
                    <w:t>本项目污染物排放实施倍量替代</w:t>
                  </w:r>
                </w:p>
              </w:tc>
              <w:tc>
                <w:tcPr>
                  <w:tcW w:w="328" w:type="dxa"/>
                  <w:tcBorders>
                    <w:left w:val="single" w:sz="4" w:space="0" w:color="auto"/>
                  </w:tcBorders>
                  <w:vAlign w:val="center"/>
                </w:tcPr>
                <w:p>
                  <w:pPr>
                    <w:pStyle w:val="25"/>
                    <w:tabs>
                      <w:tab w:val="left" w:pos="1680"/>
                      <w:tab w:val="left" w:pos="3465"/>
                    </w:tabs>
                    <w:bidi w:val="0"/>
                    <w:ind w:firstLine="0"/>
                    <w:rPr>
                      <w:rFonts w:hint="eastAsia"/>
                      <w:color w:val="auto"/>
                      <w:lang w:val="en-US" w:eastAsia="zh-CN"/>
                    </w:rPr>
                  </w:pPr>
                  <w:r>
                    <w:rPr>
                      <w:rFonts w:hint="eastAsia"/>
                      <w:color w:val="auto"/>
                      <w:lang w:val="en-US" w:eastAsia="zh-CN"/>
                    </w:rPr>
                    <w:t>符合</w:t>
                  </w:r>
                </w:p>
              </w:tc>
            </w:tr>
            <w:tr>
              <w:trPr>
                <w:trHeight w:val="1779"/>
              </w:trPr>
              <w:tc>
                <w:tcPr>
                  <w:tcW w:w="441" w:type="dxa"/>
                  <w:vMerge/>
                  <w:vAlign w:val="center"/>
                </w:tcPr>
                <w:p/>
              </w:tc>
              <w:tc>
                <w:tcPr>
                  <w:tcW w:w="350" w:type="dxa"/>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环境风险</w:t>
                  </w:r>
                </w:p>
                <w:p>
                  <w:pPr>
                    <w:pStyle w:val="25"/>
                    <w:tabs>
                      <w:tab w:val="left" w:pos="1680"/>
                      <w:tab w:val="left" w:pos="3465"/>
                    </w:tabs>
                    <w:bidi w:val="0"/>
                    <w:rPr>
                      <w:rFonts w:hint="eastAsia"/>
                      <w:color w:val="auto"/>
                      <w:lang w:val="en-US" w:eastAsia="zh-CN"/>
                    </w:rPr>
                  </w:pPr>
                  <w:r>
                    <w:rPr>
                      <w:rFonts w:hint="eastAsia"/>
                      <w:color w:val="auto"/>
                      <w:lang w:val="en-US" w:eastAsia="zh-CN"/>
                    </w:rPr>
                    <w:t>防控</w:t>
                  </w:r>
                </w:p>
              </w:tc>
              <w:tc>
                <w:tcPr>
                  <w:tcW w:w="3103" w:type="dxa"/>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1、重点监管企业和产业园区周边土壤环境定期开展监督性监测，重点监测重金属和持久性有机污染物。</w:t>
                  </w:r>
                </w:p>
                <w:p>
                  <w:pPr>
                    <w:pStyle w:val="25"/>
                    <w:tabs>
                      <w:tab w:val="left" w:pos="1680"/>
                      <w:tab w:val="left" w:pos="3465"/>
                    </w:tabs>
                    <w:bidi w:val="0"/>
                    <w:rPr>
                      <w:rFonts w:hint="eastAsia"/>
                      <w:color w:val="auto"/>
                      <w:lang w:val="en-US" w:eastAsia="zh-CN"/>
                    </w:rPr>
                  </w:pPr>
                  <w:r>
                    <w:rPr>
                      <w:rFonts w:hint="eastAsia"/>
                      <w:color w:val="auto"/>
                      <w:lang w:val="en-US" w:eastAsia="zh-CN"/>
                    </w:rPr>
                    <w:t>2、对于易导致环境风险的有毒有害和易燃易爆物质的生产、使用、排放、贮运等新建、改扩建项目，风险防控措施应满足本评价提出的环境风险管理要求。</w:t>
                  </w:r>
                </w:p>
                <w:p>
                  <w:pPr>
                    <w:pStyle w:val="25"/>
                    <w:tabs>
                      <w:tab w:val="left" w:pos="1680"/>
                      <w:tab w:val="left" w:pos="3465"/>
                    </w:tabs>
                    <w:bidi w:val="0"/>
                    <w:rPr>
                      <w:rFonts w:hint="eastAsia"/>
                      <w:color w:val="auto"/>
                      <w:lang w:val="en-US" w:eastAsia="zh-CN"/>
                    </w:rPr>
                  </w:pPr>
                  <w:r>
                    <w:rPr>
                      <w:rFonts w:hint="eastAsia"/>
                      <w:color w:val="auto"/>
                      <w:lang w:val="en-US" w:eastAsia="zh-CN"/>
                    </w:rPr>
                    <w:t>3、距离石家庄市栾城区水利局第一供水厂水源地一级保护区较近的项目应重点关注水环境风险应急措施，确保突发事故情况水环境风险物质不进入地下水。</w:t>
                  </w:r>
                </w:p>
                <w:p>
                  <w:pPr>
                    <w:pStyle w:val="25"/>
                    <w:tabs>
                      <w:tab w:val="left" w:pos="1680"/>
                      <w:tab w:val="left" w:pos="3465"/>
                    </w:tabs>
                    <w:bidi w:val="0"/>
                    <w:rPr>
                      <w:rFonts w:hint="eastAsia"/>
                      <w:color w:val="auto"/>
                      <w:lang w:val="en-US" w:eastAsia="zh-CN"/>
                    </w:rPr>
                  </w:pPr>
                  <w:r>
                    <w:rPr>
                      <w:rFonts w:hint="eastAsia"/>
                      <w:color w:val="auto"/>
                      <w:lang w:val="en-US" w:eastAsia="zh-CN"/>
                    </w:rPr>
                    <w:t>4、入区企业应按照相关要求，组织编制《环境风险应急预案》，成立应急组织机构，定期开展应急演练，提高区域环境风险防范能力。</w:t>
                  </w:r>
                </w:p>
                <w:p>
                  <w:pPr>
                    <w:pStyle w:val="25"/>
                    <w:tabs>
                      <w:tab w:val="left" w:pos="1680"/>
                      <w:tab w:val="left" w:pos="3465"/>
                    </w:tabs>
                    <w:bidi w:val="0"/>
                    <w:rPr>
                      <w:rFonts w:hint="eastAsia"/>
                      <w:color w:val="auto"/>
                      <w:lang w:val="en-US" w:eastAsia="zh-CN"/>
                    </w:rPr>
                  </w:pPr>
                  <w:r>
                    <w:rPr>
                      <w:rFonts w:hint="eastAsia"/>
                      <w:color w:val="auto"/>
                      <w:lang w:val="en-US" w:eastAsia="zh-CN"/>
                    </w:rPr>
                    <w:t>5、危险废物转移过程中应采取防扬散、防流失、防渗漏或者其他防止污染环境的措施，不得擅自倾倒、堆放、丢弃、遗撒危险废物。转移过程发生危险废物突发环境事件时，应立即采取有效措施消除或者减轻对环境的污染危害，并按相关规定向事故发生地有关部门报告。</w:t>
                  </w:r>
                </w:p>
              </w:tc>
              <w:tc>
                <w:tcPr>
                  <w:tcW w:w="2864" w:type="dxa"/>
                  <w:tcBorders>
                    <w:left w:val="single" w:sz="4" w:space="0" w:color="auto"/>
                  </w:tcBorders>
                  <w:vAlign w:val="center"/>
                </w:tcPr>
                <w:p>
                  <w:pPr>
                    <w:pStyle w:val="25"/>
                    <w:tabs>
                      <w:tab w:val="left" w:pos="1680"/>
                      <w:tab w:val="left" w:pos="3465"/>
                    </w:tabs>
                    <w:bidi w:val="0"/>
                    <w:rPr>
                      <w:color w:val="auto"/>
                      <w:lang w:val="en-US" w:eastAsia="zh-CN"/>
                    </w:rPr>
                  </w:pPr>
                  <w:r>
                    <w:rPr>
                      <w:rFonts w:hint="eastAsia"/>
                      <w:color w:val="auto"/>
                      <w:lang w:val="en-US" w:eastAsia="zh-CN"/>
                    </w:rPr>
                    <w:t>本项目不属于重点监管企业；本项目对天然气管道提出相应的风险防控措施；本项目所在位置不在石家庄市栾城区水利局第一供水厂水源地一级保护区附近；本企业按照相关要求编制《环境风险应急预案》，成立应急组织机构，定期开展应急演练；本项目危险废物均交由有资质单位处置；危险废物的转移由处置单位负责。</w:t>
                  </w:r>
                </w:p>
              </w:tc>
              <w:tc>
                <w:tcPr>
                  <w:tcW w:w="328" w:type="dxa"/>
                  <w:tcBorders>
                    <w:left w:val="single" w:sz="4" w:space="0" w:color="auto"/>
                  </w:tcBorders>
                  <w:vAlign w:val="center"/>
                </w:tcPr>
                <w:p>
                  <w:pPr>
                    <w:pStyle w:val="25"/>
                    <w:tabs>
                      <w:tab w:val="left" w:pos="1680"/>
                      <w:tab w:val="left" w:pos="3465"/>
                    </w:tabs>
                    <w:bidi w:val="0"/>
                    <w:ind w:firstLine="0"/>
                    <w:rPr>
                      <w:rFonts w:hint="eastAsia"/>
                      <w:color w:val="auto"/>
                      <w:lang w:val="en-US" w:eastAsia="zh-CN"/>
                    </w:rPr>
                  </w:pPr>
                  <w:r>
                    <w:rPr>
                      <w:rFonts w:hint="eastAsia"/>
                      <w:color w:val="auto"/>
                      <w:lang w:val="en-US" w:eastAsia="zh-CN"/>
                    </w:rPr>
                    <w:t>符合</w:t>
                  </w:r>
                </w:p>
              </w:tc>
            </w:tr>
            <w:tr>
              <w:trPr>
                <w:trHeight w:val="1779"/>
              </w:trPr>
              <w:tc>
                <w:tcPr>
                  <w:tcW w:w="441" w:type="dxa"/>
                  <w:vMerge/>
                  <w:vAlign w:val="center"/>
                </w:tcPr>
                <w:p/>
              </w:tc>
              <w:tc>
                <w:tcPr>
                  <w:tcW w:w="350" w:type="dxa"/>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资源利用效率</w:t>
                  </w:r>
                </w:p>
              </w:tc>
              <w:tc>
                <w:tcPr>
                  <w:tcW w:w="3103" w:type="dxa"/>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1.禁止新建、扩建采用非清洁燃料的项目和设施。</w:t>
                  </w:r>
                </w:p>
                <w:p>
                  <w:pPr>
                    <w:pStyle w:val="25"/>
                    <w:tabs>
                      <w:tab w:val="left" w:pos="1680"/>
                      <w:tab w:val="left" w:pos="3465"/>
                    </w:tabs>
                    <w:bidi w:val="0"/>
                    <w:rPr>
                      <w:color w:val="auto"/>
                      <w:lang w:val="en-US" w:eastAsia="zh-CN"/>
                    </w:rPr>
                  </w:pPr>
                  <w:r>
                    <w:rPr>
                      <w:rFonts w:hint="eastAsia"/>
                      <w:color w:val="auto"/>
                      <w:lang w:val="en-US" w:eastAsia="zh-CN"/>
                    </w:rPr>
                    <w:t>2.生产用水全部采用南水北调水，禁止新增开采地下水。</w:t>
                  </w:r>
                </w:p>
              </w:tc>
              <w:tc>
                <w:tcPr>
                  <w:tcW w:w="2864" w:type="dxa"/>
                  <w:tcBorders>
                    <w:left w:val="single" w:sz="4" w:space="0" w:color="auto"/>
                  </w:tcBorders>
                  <w:vAlign w:val="center"/>
                </w:tcPr>
                <w:p>
                  <w:pPr>
                    <w:pStyle w:val="25"/>
                    <w:tabs>
                      <w:tab w:val="left" w:pos="1680"/>
                      <w:tab w:val="left" w:pos="3465"/>
                    </w:tabs>
                    <w:bidi w:val="0"/>
                    <w:rPr>
                      <w:color w:val="auto"/>
                      <w:lang w:val="en-US" w:eastAsia="zh-CN"/>
                    </w:rPr>
                  </w:pPr>
                  <w:r>
                    <w:rPr>
                      <w:rFonts w:hint="eastAsia"/>
                      <w:color w:val="auto"/>
                      <w:lang w:val="en-US" w:eastAsia="zh-CN"/>
                    </w:rPr>
                    <w:t>本项目使用燃料为天然气属于清洁燃料；本项目用水由园区管网提供，不开采地下水</w:t>
                  </w:r>
                </w:p>
              </w:tc>
              <w:tc>
                <w:tcPr>
                  <w:tcW w:w="491"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符合</w:t>
                  </w:r>
                </w:p>
              </w:tc>
            </w:tr>
          </w:tbl>
          <w:p>
            <w:pPr>
              <w:spacing w:line="360" w:lineRule="auto"/>
              <w:rPr>
                <w:color w:val="auto"/>
                <w:sz w:val="24"/>
                <w:lang w:val="en-US" w:eastAsia="zh-CN"/>
              </w:rPr>
            </w:pPr>
          </w:p>
        </w:tc>
      </w:tr>
      <w:tr>
        <w:trPr>
          <w:trHeight w:val="1021"/>
        </w:trPr>
        <w:tc>
          <w:tcPr>
            <w:tcW w:w="851" w:type="pct"/>
            <w:tcBorders>
              <w:left w:val="single" w:sz="4" w:space="0" w:color="auto"/>
              <w:bottom w:val="single" w:sz="4" w:space="0" w:color="auto"/>
            </w:tcBorders>
            <w:tcMar>
              <w:left w:w="108"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Chars="0" w:firstLine="0"/>
              <w:jc w:val="center"/>
              <w:textAlignment w:val="auto"/>
              <w:rPr>
                <w:color w:val="auto"/>
                <w:kern w:val="0"/>
                <w:sz w:val="24"/>
              </w:rPr>
            </w:pPr>
            <w:r>
              <w:rPr>
                <w:color w:val="auto"/>
                <w:kern w:val="0"/>
                <w:sz w:val="24"/>
              </w:rPr>
              <w:t>其他符合性分析</w:t>
            </w:r>
          </w:p>
        </w:tc>
        <w:tc>
          <w:tcPr>
            <w:tcW w:w="4148" w:type="pct"/>
            <w:gridSpan w:val="3"/>
            <w:tcBorders>
              <w:bottom w:val="single" w:sz="4" w:space="0" w:color="auto"/>
              <w:right w:val="single" w:sz="4" w:space="0" w:color="auto"/>
            </w:tcBorders>
            <w:tcMar>
              <w:left w:w="108" w:type="dxa"/>
            </w:tcMar>
            <w:vAlign w:val="center"/>
          </w:tcPr>
          <w:p>
            <w:pPr>
              <w:adjustRightInd w:val="0"/>
              <w:snapToGrid w:val="0"/>
              <w:spacing w:before="0" w:beforeAutospacing="0" w:after="0" w:afterAutospacing="0" w:line="360" w:lineRule="auto"/>
              <w:ind w:firstLineChars="200" w:firstLine="480"/>
              <w:jc w:val="both"/>
              <w:rPr>
                <w:rFonts w:ascii="Times New Roman" w:hAnsi="Times New Roman"/>
                <w:b/>
                <w:color w:val="auto"/>
                <w:szCs w:val="24"/>
              </w:rPr>
            </w:pPr>
            <w:r>
              <w:rPr>
                <w:rFonts w:ascii="Times New Roman" w:hAnsi="Times New Roman"/>
                <w:b/>
                <w:color w:val="auto"/>
                <w:szCs w:val="24"/>
              </w:rPr>
              <w:t>1、</w:t>
            </w:r>
            <w:r>
              <w:rPr>
                <w:rFonts w:ascii="宋体" w:eastAsia="宋体" w:cs="宋体" w:hAnsi="宋体" w:hint="eastAsia"/>
                <w:b/>
                <w:color w:val="auto"/>
              </w:rPr>
              <w:t>“三线一单”生</w:t>
            </w:r>
            <w:r>
              <w:rPr>
                <w:rFonts w:ascii="Times New Roman" w:hAnsi="Times New Roman"/>
                <w:b/>
                <w:color w:val="auto"/>
              </w:rPr>
              <w:t>态环境分区管控的意见</w:t>
            </w:r>
            <w:r>
              <w:rPr>
                <w:rFonts w:ascii="Times New Roman" w:hAnsi="Times New Roman"/>
                <w:b/>
                <w:color w:val="auto"/>
                <w:szCs w:val="24"/>
              </w:rPr>
              <w:t>符合性分析</w:t>
            </w:r>
          </w:p>
          <w:p>
            <w:pPr>
              <w:spacing w:line="360" w:lineRule="auto"/>
              <w:ind w:firstLineChars="200" w:firstLine="480"/>
              <w:rPr>
                <w:color w:val="auto"/>
                <w:sz w:val="24"/>
              </w:rPr>
            </w:pPr>
            <w:r>
              <w:rPr>
                <w:color w:val="auto"/>
                <w:sz w:val="24"/>
              </w:rPr>
              <w:t>（1）生态保护红线符合性分析</w:t>
            </w:r>
          </w:p>
          <w:p>
            <w:pPr>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color w:val="auto"/>
                <w:kern w:val="2"/>
                <w:szCs w:val="24"/>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r>
              <w:rPr>
                <w:rFonts w:ascii="Times New Roman" w:hAnsi="Times New Roman" w:hint="eastAsia"/>
                <w:color w:val="auto"/>
                <w:kern w:val="2"/>
                <w:szCs w:val="24"/>
              </w:rPr>
              <w:t>。</w:t>
            </w:r>
          </w:p>
          <w:p>
            <w:pPr>
              <w:adjustRightInd w:val="0"/>
              <w:snapToGrid w:val="0"/>
              <w:spacing w:before="0" w:beforeAutospacing="0" w:after="0" w:afterAutospacing="0" w:line="360" w:lineRule="auto"/>
              <w:ind w:firstLineChars="200" w:firstLine="480"/>
              <w:jc w:val="both"/>
              <w:rPr>
                <w:rFonts w:ascii="Times New Roman" w:hAnsi="Times New Roman" w:hint="eastAsia"/>
                <w:color w:val="auto"/>
                <w:highlight w:val="none"/>
              </w:rPr>
            </w:pPr>
            <w:r>
              <w:rPr>
                <w:rFonts w:ascii="Times New Roman" w:hAnsi="Times New Roman" w:hint="eastAsia"/>
                <w:color w:val="auto"/>
                <w:szCs w:val="24"/>
                <w:highlight w:val="none"/>
              </w:rPr>
              <w:t>根据《河北省生态保护红线》，石家庄市生态保护</w:t>
            </w:r>
            <w:r>
              <w:rPr>
                <w:rFonts w:ascii="Times New Roman" w:hAnsi="Times New Roman" w:hint="eastAsia"/>
                <w:color w:val="auto"/>
                <w:highlight w:val="none"/>
              </w:rPr>
              <w:t>红线区面积3594.38平方公里，占全省国土面积的1.91%，占该市国土面积的27.42%。红线区主要分布在平山县、井陉县、赞皇县、灵寿县、元氏县、行唐县、鹿泉区等西部山区县区，其余县（市、区）均有零星分布。</w:t>
            </w:r>
          </w:p>
          <w:p>
            <w:pPr>
              <w:adjustRightInd w:val="0"/>
              <w:snapToGrid w:val="0"/>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hint="eastAsia"/>
                <w:color w:val="auto"/>
                <w:kern w:val="2"/>
                <w:szCs w:val="24"/>
              </w:rPr>
              <w:t>本</w:t>
            </w:r>
            <w:r>
              <w:rPr>
                <w:rFonts w:ascii="Times New Roman" w:hAnsi="Times New Roman"/>
                <w:color w:val="auto"/>
                <w:kern w:val="2"/>
                <w:szCs w:val="24"/>
              </w:rPr>
              <w:t>项目位于</w:t>
            </w:r>
            <w:r>
              <w:rPr>
                <w:rFonts w:hint="eastAsia"/>
                <w:color w:val="auto"/>
                <w:kern w:val="2"/>
                <w:szCs w:val="24"/>
                <w:lang w:eastAsia="zh-CN"/>
              </w:rPr>
              <w:t>河北省石家庄市栾城区栾城镇环城南路11号</w:t>
            </w:r>
            <w:r>
              <w:rPr>
                <w:rFonts w:ascii="Times New Roman" w:hAnsi="Times New Roman"/>
                <w:color w:val="auto"/>
                <w:kern w:val="2"/>
                <w:szCs w:val="24"/>
              </w:rPr>
              <w:t>，不在其保护带内，不在生态保护红线规划范围之内，符合生态保护红线要求。</w:t>
            </w:r>
          </w:p>
          <w:p>
            <w:pPr>
              <w:bidi w:val="0"/>
              <w:rPr>
                <w:color w:val="auto"/>
              </w:rPr>
            </w:pPr>
            <w:r>
              <w:rPr>
                <w:color w:val="auto"/>
              </w:rPr>
              <w:t>石家庄生态保护红线分布图见附图</w:t>
            </w:r>
            <w:r>
              <w:rPr>
                <w:rFonts w:hint="eastAsia"/>
                <w:color w:val="auto"/>
                <w:lang w:val="en-US" w:eastAsia="zh-CN"/>
              </w:rPr>
              <w:t>7</w:t>
            </w:r>
            <w:r>
              <w:rPr>
                <w:color w:val="auto"/>
              </w:rPr>
              <w:t>。</w:t>
            </w:r>
          </w:p>
          <w:p>
            <w:pPr>
              <w:adjustRightInd w:val="0"/>
              <w:snapToGrid w:val="0"/>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color w:val="auto"/>
                <w:kern w:val="2"/>
                <w:szCs w:val="24"/>
              </w:rPr>
              <w:t>（2）环境质量底线符合性分析</w:t>
            </w:r>
          </w:p>
          <w:p>
            <w:pPr>
              <w:spacing w:line="360" w:lineRule="auto"/>
              <w:ind w:firstLineChars="200" w:firstLine="480"/>
              <w:rPr>
                <w:color w:val="auto"/>
                <w:sz w:val="24"/>
                <w:highlight w:val="yellow"/>
              </w:rPr>
            </w:pPr>
            <w:r>
              <w:rPr>
                <w:color w:val="auto"/>
                <w:sz w:val="24"/>
              </w:rPr>
              <w:t>根据环境质量现状调查，项目所在区域为二类功能区，</w:t>
            </w:r>
            <w:r>
              <w:rPr>
                <w:color w:val="auto"/>
                <w:sz w:val="24"/>
                <w:highlight w:val="none"/>
              </w:rPr>
              <w:t>SO</w:t>
            </w:r>
            <w:r>
              <w:rPr>
                <w:color w:val="auto"/>
                <w:sz w:val="24"/>
                <w:vertAlign w:val="subscript"/>
                <w:highlight w:val="none"/>
              </w:rPr>
              <w:t>2</w:t>
            </w:r>
            <w:r>
              <w:rPr>
                <w:color w:val="auto"/>
                <w:sz w:val="24"/>
                <w:highlight w:val="none"/>
              </w:rPr>
              <w:t>年平均值</w:t>
            </w:r>
            <w:r>
              <w:rPr>
                <w:rFonts w:hint="eastAsia"/>
                <w:color w:val="auto"/>
                <w:sz w:val="24"/>
                <w:highlight w:val="none"/>
              </w:rPr>
              <w:t>、</w:t>
            </w:r>
            <w:r>
              <w:rPr>
                <w:color w:val="auto"/>
                <w:sz w:val="24"/>
                <w:highlight w:val="none"/>
              </w:rPr>
              <w:t>NO</w:t>
            </w:r>
            <w:r>
              <w:rPr>
                <w:color w:val="auto"/>
                <w:sz w:val="24"/>
                <w:vertAlign w:val="subscript"/>
                <w:highlight w:val="none"/>
              </w:rPr>
              <w:t>2</w:t>
            </w:r>
            <w:r>
              <w:rPr>
                <w:color w:val="auto"/>
                <w:sz w:val="24"/>
                <w:highlight w:val="none"/>
              </w:rPr>
              <w:t>年平均值和CO24小时均值达标，但PM</w:t>
            </w:r>
            <w:r>
              <w:rPr>
                <w:color w:val="auto"/>
                <w:sz w:val="24"/>
                <w:vertAlign w:val="subscript"/>
                <w:highlight w:val="none"/>
              </w:rPr>
              <w:t>10</w:t>
            </w:r>
            <w:r>
              <w:rPr>
                <w:color w:val="auto"/>
                <w:sz w:val="24"/>
                <w:highlight w:val="none"/>
              </w:rPr>
              <w:t>年平均值、PM</w:t>
            </w:r>
            <w:r>
              <w:rPr>
                <w:color w:val="auto"/>
                <w:sz w:val="24"/>
                <w:vertAlign w:val="subscript"/>
                <w:highlight w:val="none"/>
              </w:rPr>
              <w:t>2.5</w:t>
            </w:r>
            <w:r>
              <w:rPr>
                <w:color w:val="auto"/>
                <w:sz w:val="24"/>
                <w:highlight w:val="none"/>
              </w:rPr>
              <w:t>年平均值和O</w:t>
            </w:r>
            <w:r>
              <w:rPr>
                <w:color w:val="auto"/>
                <w:sz w:val="24"/>
                <w:vertAlign w:val="subscript"/>
                <w:highlight w:val="none"/>
              </w:rPr>
              <w:t>3</w:t>
            </w:r>
            <w:r>
              <w:rPr>
                <w:color w:val="auto"/>
                <w:sz w:val="24"/>
                <w:highlight w:val="none"/>
              </w:rPr>
              <w:t>最大8小时平均值均高于</w:t>
            </w:r>
            <w:r>
              <w:rPr>
                <w:rFonts w:hint="eastAsia"/>
                <w:color w:val="auto"/>
                <w:sz w:val="24"/>
                <w:lang w:val="en-US" w:eastAsia="zh-CN"/>
                <w:highlight w:val="none"/>
              </w:rPr>
              <w:t>《环境空气质量标准》(GB3095-2026)过渡阶段</w:t>
            </w:r>
            <w:r>
              <w:rPr>
                <w:color w:val="auto"/>
                <w:sz w:val="24"/>
                <w:highlight w:val="none"/>
              </w:rPr>
              <w:t>二级标准；</w:t>
            </w:r>
            <w:r>
              <w:rPr>
                <w:rFonts w:hint="eastAsia"/>
                <w:color w:val="auto"/>
                <w:sz w:val="24"/>
                <w:highlight w:val="none"/>
              </w:rPr>
              <w:t>地表水洨河水质满足《地表水质量质量标准》（GB3838-93）</w:t>
            </w:r>
            <w:r>
              <w:rPr>
                <w:rFonts w:hint="eastAsia"/>
                <w:color w:val="auto"/>
                <w:sz w:val="24"/>
                <w:lang w:val="en-US" w:eastAsia="zh-CN"/>
                <w:highlight w:val="none"/>
              </w:rPr>
              <w:t>Ⅳ</w:t>
            </w:r>
            <w:r>
              <w:rPr>
                <w:rFonts w:hint="eastAsia"/>
                <w:color w:val="auto"/>
                <w:sz w:val="24"/>
                <w:highlight w:val="none"/>
              </w:rPr>
              <w:t>类标准作为地表水环境质量的底线。地下水水质满足《地下水质量标准》（GB/T14848-2017）Ⅲ类标准作为地下水环境质量的底线。区域声环境满足《声环境质量标准》（GB3096-2008）相应类别标准作为声环境质量的底线。</w:t>
            </w:r>
          </w:p>
          <w:p>
            <w:pPr>
              <w:adjustRightInd w:val="0"/>
              <w:snapToGrid w:val="0"/>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color w:val="auto"/>
                <w:kern w:val="2"/>
                <w:szCs w:val="24"/>
              </w:rPr>
              <w:t>本项目废气</w:t>
            </w:r>
            <w:r>
              <w:rPr>
                <w:rFonts w:ascii="Times New Roman" w:hAnsi="Times New Roman" w:hint="eastAsia"/>
                <w:color w:val="auto"/>
                <w:kern w:val="2"/>
                <w:szCs w:val="24"/>
              </w:rPr>
              <w:t>、废水</w:t>
            </w:r>
            <w:r>
              <w:rPr>
                <w:rFonts w:ascii="Times New Roman" w:hAnsi="Times New Roman"/>
                <w:color w:val="auto"/>
                <w:kern w:val="2"/>
                <w:szCs w:val="24"/>
              </w:rPr>
              <w:t>和噪声</w:t>
            </w:r>
            <w:r>
              <w:rPr>
                <w:rFonts w:ascii="Times New Roman" w:hAnsi="Times New Roman" w:hint="eastAsia"/>
                <w:color w:val="auto"/>
                <w:kern w:val="2"/>
                <w:szCs w:val="24"/>
              </w:rPr>
              <w:t>、固废</w:t>
            </w:r>
            <w:r>
              <w:rPr>
                <w:rFonts w:ascii="Times New Roman" w:hAnsi="Times New Roman"/>
                <w:color w:val="auto"/>
                <w:kern w:val="2"/>
                <w:szCs w:val="24"/>
              </w:rPr>
              <w:t>在采用相应的污染防治措施的前提下可以做到达标排放，不会对周围环境产生明显影响。</w:t>
            </w:r>
          </w:p>
          <w:p>
            <w:pPr>
              <w:adjustRightInd w:val="0"/>
              <w:snapToGrid w:val="0"/>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color w:val="auto"/>
                <w:kern w:val="2"/>
                <w:szCs w:val="24"/>
              </w:rPr>
              <w:t>（3）资源利用上线符合性分析</w:t>
            </w:r>
          </w:p>
          <w:p>
            <w:pPr>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color w:val="auto"/>
                <w:kern w:val="2"/>
                <w:szCs w:val="24"/>
              </w:rPr>
              <w:t>资源是环境的载体，资源利用上线是各地区能源、水、土地等资源消耗不得突破的“天花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p>
            <w:pPr>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hint="eastAsia"/>
                <w:color w:val="auto"/>
                <w:kern w:val="2"/>
                <w:szCs w:val="24"/>
              </w:rPr>
              <w:t>①能源利用上线</w:t>
            </w:r>
          </w:p>
          <w:p>
            <w:pPr>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hint="eastAsia"/>
                <w:color w:val="auto"/>
                <w:kern w:val="2"/>
                <w:szCs w:val="24"/>
              </w:rPr>
              <w:t>项目能源主要为电</w:t>
            </w:r>
            <w:r>
              <w:rPr>
                <w:rFonts w:hint="eastAsia"/>
                <w:color w:val="auto"/>
                <w:kern w:val="2"/>
                <w:szCs w:val="24"/>
                <w:lang w:eastAsia="zh-CN"/>
              </w:rPr>
              <w:t>、</w:t>
            </w:r>
            <w:r>
              <w:rPr>
                <w:rFonts w:hint="eastAsia"/>
                <w:color w:val="auto"/>
                <w:kern w:val="2"/>
                <w:szCs w:val="24"/>
                <w:lang w:val="en-US" w:eastAsia="zh-CN"/>
              </w:rPr>
              <w:t>天然气</w:t>
            </w:r>
            <w:r>
              <w:rPr>
                <w:rFonts w:ascii="Times New Roman" w:hAnsi="Times New Roman" w:hint="eastAsia"/>
                <w:color w:val="auto"/>
                <w:kern w:val="2"/>
                <w:szCs w:val="24"/>
              </w:rPr>
              <w:t>，项目</w:t>
            </w:r>
            <w:r>
              <w:rPr>
                <w:rFonts w:hint="eastAsia"/>
                <w:color w:val="auto"/>
                <w:kern w:val="2"/>
                <w:szCs w:val="24"/>
                <w:lang w:val="en-US" w:eastAsia="zh-CN"/>
              </w:rPr>
              <w:t>用</w:t>
            </w:r>
            <w:r>
              <w:rPr>
                <w:rFonts w:ascii="Times New Roman" w:hAnsi="Times New Roman" w:hint="eastAsia"/>
                <w:color w:val="auto"/>
                <w:kern w:val="2"/>
                <w:szCs w:val="24"/>
              </w:rPr>
              <w:t>电</w:t>
            </w:r>
            <w:r>
              <w:rPr>
                <w:rFonts w:hint="eastAsia"/>
                <w:color w:val="auto"/>
                <w:kern w:val="2"/>
                <w:szCs w:val="24"/>
                <w:lang w:eastAsia="zh-CN"/>
              </w:rPr>
              <w:t>、</w:t>
            </w:r>
            <w:r>
              <w:rPr>
                <w:rFonts w:hint="eastAsia"/>
                <w:color w:val="auto"/>
                <w:kern w:val="2"/>
                <w:szCs w:val="24"/>
                <w:lang w:val="en-US" w:eastAsia="zh-CN"/>
              </w:rPr>
              <w:t>用气均</w:t>
            </w:r>
            <w:r>
              <w:rPr>
                <w:rFonts w:ascii="Times New Roman" w:hAnsi="Times New Roman" w:hint="eastAsia"/>
                <w:color w:val="auto"/>
                <w:kern w:val="2"/>
                <w:szCs w:val="24"/>
              </w:rPr>
              <w:t>由园区</w:t>
            </w:r>
            <w:r>
              <w:rPr>
                <w:rFonts w:hint="eastAsia"/>
                <w:color w:val="auto"/>
                <w:kern w:val="2"/>
                <w:szCs w:val="24"/>
                <w:lang w:val="en-US" w:eastAsia="zh-CN"/>
              </w:rPr>
              <w:t>管网</w:t>
            </w:r>
            <w:r>
              <w:rPr>
                <w:rFonts w:ascii="Times New Roman" w:hAnsi="Times New Roman" w:hint="eastAsia"/>
                <w:color w:val="auto"/>
                <w:kern w:val="2"/>
                <w:szCs w:val="24"/>
              </w:rPr>
              <w:t>提供，</w:t>
            </w:r>
            <w:r>
              <w:rPr>
                <w:rFonts w:hint="eastAsia"/>
                <w:color w:val="auto"/>
                <w:kern w:val="2"/>
                <w:szCs w:val="24"/>
                <w:lang w:val="en-US" w:eastAsia="zh-CN"/>
              </w:rPr>
              <w:t>本</w:t>
            </w:r>
            <w:r>
              <w:rPr>
                <w:rFonts w:ascii="Times New Roman" w:hAnsi="Times New Roman" w:hint="eastAsia"/>
                <w:color w:val="auto"/>
                <w:kern w:val="2"/>
                <w:szCs w:val="24"/>
              </w:rPr>
              <w:t>项目</w:t>
            </w:r>
            <w:r>
              <w:rPr>
                <w:rFonts w:hint="eastAsia"/>
                <w:color w:val="auto"/>
                <w:kern w:val="2"/>
                <w:szCs w:val="24"/>
                <w:lang w:val="en-US" w:eastAsia="zh-CN"/>
              </w:rPr>
              <w:t>新增</w:t>
            </w:r>
            <w:r>
              <w:rPr>
                <w:rFonts w:ascii="Times New Roman" w:hAnsi="Times New Roman" w:hint="eastAsia"/>
                <w:color w:val="auto"/>
                <w:kern w:val="2"/>
                <w:szCs w:val="24"/>
              </w:rPr>
              <w:t>用电量为</w:t>
            </w:r>
            <w:r>
              <w:rPr>
                <w:rFonts w:hint="eastAsia"/>
                <w:color w:val="auto"/>
                <w:kern w:val="2"/>
                <w:szCs w:val="24"/>
                <w:lang w:val="en-US" w:eastAsia="zh-CN"/>
              </w:rPr>
              <w:t>20</w:t>
            </w:r>
            <w:r>
              <w:rPr>
                <w:rFonts w:ascii="Times New Roman" w:hAnsi="Times New Roman" w:hint="eastAsia"/>
                <w:color w:val="auto"/>
                <w:kern w:val="2"/>
                <w:szCs w:val="24"/>
              </w:rPr>
              <w:t>万kWh/a</w:t>
            </w:r>
            <w:r>
              <w:rPr>
                <w:rFonts w:hint="eastAsia"/>
                <w:color w:val="auto"/>
                <w:kern w:val="2"/>
                <w:szCs w:val="24"/>
                <w:lang w:eastAsia="zh-CN"/>
              </w:rPr>
              <w:t>，</w:t>
            </w:r>
            <w:r>
              <w:rPr>
                <w:rFonts w:hint="eastAsia"/>
                <w:color w:val="auto"/>
                <w:kern w:val="2"/>
                <w:szCs w:val="24"/>
                <w:lang w:val="en-US" w:eastAsia="zh-CN"/>
              </w:rPr>
              <w:t>天然气用量720000m³/a</w:t>
            </w:r>
            <w:r>
              <w:rPr>
                <w:rFonts w:ascii="Times New Roman" w:hAnsi="Times New Roman" w:hint="eastAsia"/>
                <w:color w:val="auto"/>
                <w:kern w:val="2"/>
                <w:szCs w:val="24"/>
              </w:rPr>
              <w:t>，项目用电</w:t>
            </w:r>
            <w:r>
              <w:rPr>
                <w:rFonts w:hint="eastAsia"/>
                <w:color w:val="auto"/>
                <w:kern w:val="2"/>
                <w:szCs w:val="24"/>
                <w:lang w:eastAsia="zh-CN"/>
              </w:rPr>
              <w:t>、</w:t>
            </w:r>
            <w:r>
              <w:rPr>
                <w:rFonts w:hint="eastAsia"/>
                <w:color w:val="auto"/>
                <w:kern w:val="2"/>
                <w:szCs w:val="24"/>
                <w:lang w:val="en-US" w:eastAsia="zh-CN"/>
              </w:rPr>
              <w:t>用气</w:t>
            </w:r>
            <w:r>
              <w:rPr>
                <w:rFonts w:ascii="Times New Roman" w:hAnsi="Times New Roman" w:hint="eastAsia"/>
                <w:color w:val="auto"/>
                <w:kern w:val="2"/>
                <w:szCs w:val="24"/>
              </w:rPr>
              <w:t>量较少，符合能源利用上线标准。</w:t>
            </w:r>
          </w:p>
          <w:p>
            <w:pPr>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hint="eastAsia"/>
                <w:color w:val="auto"/>
                <w:kern w:val="2"/>
                <w:szCs w:val="24"/>
              </w:rPr>
              <w:t>②水资源利用上线</w:t>
            </w:r>
          </w:p>
          <w:p>
            <w:pPr>
              <w:spacing w:before="0" w:beforeAutospacing="0" w:after="0" w:afterAutospacing="0" w:line="360" w:lineRule="auto"/>
              <w:ind w:firstLineChars="200" w:firstLine="480"/>
              <w:jc w:val="both"/>
              <w:rPr>
                <w:rFonts w:ascii="Times New Roman" w:hAnsi="Times New Roman"/>
                <w:color w:val="auto"/>
                <w:kern w:val="2"/>
                <w:szCs w:val="24"/>
                <w:highlight w:val="yellow"/>
              </w:rPr>
            </w:pPr>
            <w:r>
              <w:rPr>
                <w:rFonts w:hint="eastAsia"/>
                <w:color w:val="auto"/>
                <w:highlight w:val="none"/>
              </w:rPr>
              <w:t>项目</w:t>
            </w:r>
            <w:r>
              <w:rPr>
                <w:rFonts w:hint="eastAsia"/>
                <w:color w:val="auto"/>
                <w:lang w:val="en-US" w:eastAsia="zh-CN"/>
                <w:highlight w:val="none"/>
              </w:rPr>
              <w:t>新增</w:t>
            </w:r>
            <w:r>
              <w:rPr>
                <w:rFonts w:hint="eastAsia"/>
                <w:color w:val="auto"/>
                <w:highlight w:val="none"/>
              </w:rPr>
              <w:t>用水量为</w:t>
            </w:r>
            <w:r>
              <w:rPr>
                <w:rFonts w:hint="eastAsia"/>
                <w:color w:val="auto"/>
                <w:lang w:val="en-US" w:eastAsia="zh-CN"/>
                <w:highlight w:val="none"/>
              </w:rPr>
              <w:t>18009m³</w:t>
            </w:r>
            <w:r>
              <w:rPr>
                <w:rFonts w:hint="eastAsia"/>
                <w:color w:val="auto"/>
                <w:highlight w:val="none"/>
              </w:rPr>
              <w:t>，</w:t>
            </w:r>
            <w:r>
              <w:rPr>
                <w:rFonts w:hint="eastAsia"/>
                <w:color w:val="auto"/>
              </w:rPr>
              <w:t>用水由</w:t>
            </w:r>
            <w:r>
              <w:rPr>
                <w:rFonts w:ascii="Times New Roman" w:hAnsi="Times New Roman" w:hint="eastAsia"/>
                <w:color w:val="auto"/>
                <w:kern w:val="2"/>
                <w:szCs w:val="24"/>
              </w:rPr>
              <w:t>河北石家庄装备制造产业园生物医药聚集区供水管网统一提供，水源为南水北调地表水，不取用地下水，可满足项目用水需求，项目符合水资源利用上线标准。</w:t>
            </w:r>
          </w:p>
          <w:p>
            <w:pPr>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hint="eastAsia"/>
                <w:color w:val="auto"/>
                <w:kern w:val="2"/>
                <w:szCs w:val="24"/>
              </w:rPr>
              <w:t>③土地资源利用上线</w:t>
            </w:r>
          </w:p>
          <w:p>
            <w:pPr>
              <w:spacing w:before="0" w:beforeAutospacing="0" w:after="0" w:afterAutospacing="0" w:line="360" w:lineRule="auto"/>
              <w:ind w:firstLineChars="200" w:firstLine="480"/>
              <w:jc w:val="both"/>
              <w:rPr>
                <w:rFonts w:ascii="Times New Roman" w:hAnsi="Times New Roman"/>
                <w:color w:val="auto"/>
                <w:kern w:val="2"/>
                <w:szCs w:val="24"/>
              </w:rPr>
            </w:pPr>
            <w:r>
              <w:rPr>
                <w:rFonts w:hint="eastAsia"/>
                <w:color w:val="auto"/>
                <w:kern w:val="2"/>
                <w:szCs w:val="24"/>
                <w:lang w:val="en-US" w:eastAsia="zh-CN"/>
              </w:rPr>
              <w:t>本项目占地</w:t>
            </w:r>
            <w:r>
              <w:rPr>
                <w:rFonts w:ascii="Times New Roman" w:hAnsi="Times New Roman" w:hint="eastAsia"/>
                <w:color w:val="auto"/>
                <w:kern w:val="2"/>
                <w:szCs w:val="24"/>
              </w:rPr>
              <w:t>属于河北石家庄装备制造产业园生物医药片区，所在地块用地性质为工业用地，选址符合河北石家庄装备制造产业园生物医药聚集区总体规划。</w:t>
            </w:r>
          </w:p>
          <w:p>
            <w:pPr>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hint="eastAsia"/>
                <w:color w:val="auto"/>
                <w:kern w:val="2"/>
                <w:szCs w:val="24"/>
              </w:rPr>
              <w:t>本项目运营过程中有一定量的电力资源、</w:t>
            </w:r>
            <w:r>
              <w:rPr>
                <w:rFonts w:hint="eastAsia"/>
                <w:color w:val="auto"/>
                <w:kern w:val="2"/>
                <w:szCs w:val="24"/>
                <w:lang w:val="en-US" w:eastAsia="zh-CN"/>
              </w:rPr>
              <w:t>能源资源及</w:t>
            </w:r>
            <w:r>
              <w:rPr>
                <w:rFonts w:ascii="Times New Roman" w:hAnsi="Times New Roman" w:hint="eastAsia"/>
                <w:color w:val="auto"/>
                <w:kern w:val="2"/>
                <w:szCs w:val="24"/>
              </w:rPr>
              <w:t>水资源等资源消耗，项目用水由园区供水管网提供，用电由园区供电电网提供。项目</w:t>
            </w:r>
            <w:r>
              <w:rPr>
                <w:rFonts w:hint="eastAsia"/>
                <w:color w:val="auto"/>
                <w:kern w:val="2"/>
                <w:szCs w:val="24"/>
                <w:lang w:val="en-US" w:eastAsia="zh-CN"/>
              </w:rPr>
              <w:t>利用现有厂房</w:t>
            </w:r>
            <w:r>
              <w:rPr>
                <w:rFonts w:ascii="Times New Roman" w:hAnsi="Times New Roman" w:hint="eastAsia"/>
                <w:color w:val="auto"/>
                <w:kern w:val="2"/>
                <w:szCs w:val="24"/>
              </w:rPr>
              <w:t>进行建设，项目占地为</w:t>
            </w:r>
            <w:r>
              <w:rPr>
                <w:rFonts w:hint="eastAsia"/>
                <w:color w:val="auto"/>
                <w:kern w:val="2"/>
                <w:szCs w:val="24"/>
                <w:lang w:val="en-US" w:eastAsia="zh-CN"/>
              </w:rPr>
              <w:t>工业</w:t>
            </w:r>
            <w:r>
              <w:rPr>
                <w:rFonts w:ascii="Times New Roman" w:hAnsi="Times New Roman" w:hint="eastAsia"/>
                <w:color w:val="auto"/>
                <w:kern w:val="2"/>
                <w:szCs w:val="24"/>
              </w:rPr>
              <w:t>用地，选址符合园区规划和产业规划。项目资源消耗量相对较少，不会突破区域资源利用上线。</w:t>
            </w:r>
          </w:p>
          <w:p>
            <w:pPr>
              <w:adjustRightInd w:val="0"/>
              <w:snapToGrid w:val="0"/>
              <w:spacing w:line="360" w:lineRule="auto"/>
              <w:ind w:firstLineChars="200" w:firstLine="480"/>
              <w:rPr>
                <w:rFonts w:hint="eastAsia"/>
                <w:color w:val="auto"/>
                <w:sz w:val="24"/>
                <w:lang w:eastAsia="zh-CN"/>
              </w:rPr>
            </w:pPr>
            <w:r>
              <w:rPr>
                <w:rFonts w:hint="eastAsia"/>
                <w:color w:val="auto"/>
                <w:sz w:val="24"/>
                <w:lang w:eastAsia="zh-CN"/>
              </w:rPr>
              <w:t>（</w:t>
            </w:r>
            <w:r>
              <w:rPr>
                <w:rFonts w:hint="eastAsia"/>
                <w:color w:val="auto"/>
                <w:sz w:val="24"/>
                <w:lang w:val="en-US" w:eastAsia="zh-CN"/>
              </w:rPr>
              <w:t>4</w:t>
            </w:r>
            <w:r>
              <w:rPr>
                <w:rFonts w:hint="eastAsia"/>
                <w:color w:val="auto"/>
                <w:sz w:val="24"/>
                <w:lang w:eastAsia="zh-CN"/>
              </w:rPr>
              <w:t>）环境准入负面清单</w:t>
            </w:r>
          </w:p>
          <w:p>
            <w:pPr>
              <w:adjustRightInd w:val="0"/>
              <w:snapToGrid w:val="0"/>
              <w:spacing w:line="360" w:lineRule="auto"/>
              <w:ind w:firstLineChars="200" w:firstLine="480"/>
              <w:rPr>
                <w:rFonts w:hint="eastAsia"/>
                <w:color w:val="auto"/>
                <w:sz w:val="24"/>
                <w:lang w:eastAsia="zh-CN"/>
              </w:rPr>
            </w:pPr>
            <w:r>
              <w:rPr>
                <w:rFonts w:hint="eastAsia"/>
                <w:color w:val="auto"/>
                <w:sz w:val="24"/>
                <w:lang w:eastAsia="zh-CN"/>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pPr>
              <w:adjustRightInd w:val="0"/>
              <w:snapToGrid w:val="0"/>
              <w:spacing w:line="360" w:lineRule="auto"/>
              <w:ind w:firstLineChars="200" w:firstLine="480"/>
              <w:rPr>
                <w:rFonts w:hint="eastAsia"/>
                <w:color w:val="auto"/>
                <w:sz w:val="24"/>
                <w:lang w:eastAsia="zh-CN"/>
              </w:rPr>
            </w:pPr>
            <w:r>
              <w:rPr>
                <w:rFonts w:hint="eastAsia"/>
                <w:color w:val="auto"/>
                <w:sz w:val="24"/>
                <w:lang w:eastAsia="zh-CN"/>
              </w:rPr>
              <w:t>本项目位于</w:t>
            </w:r>
            <w:r>
              <w:rPr>
                <w:rFonts w:hint="eastAsia"/>
                <w:color w:val="auto"/>
                <w:sz w:val="24"/>
                <w:lang w:val="en-US" w:eastAsia="zh-CN"/>
              </w:rPr>
              <w:t>河北省石家庄市栾城区栾城镇环城南路11号</w:t>
            </w:r>
            <w:r>
              <w:rPr>
                <w:rFonts w:hint="eastAsia"/>
                <w:color w:val="auto"/>
                <w:sz w:val="24"/>
                <w:lang w:eastAsia="zh-CN"/>
              </w:rPr>
              <w:t>。对照《产业结构调整指导目录》（20</w:t>
            </w:r>
            <w:r>
              <w:rPr>
                <w:rFonts w:hint="eastAsia"/>
                <w:color w:val="auto"/>
                <w:sz w:val="24"/>
                <w:lang w:val="en-US" w:eastAsia="zh-CN"/>
              </w:rPr>
              <w:t>24</w:t>
            </w:r>
            <w:r>
              <w:rPr>
                <w:rFonts w:hint="eastAsia"/>
                <w:color w:val="auto"/>
                <w:sz w:val="24"/>
                <w:lang w:eastAsia="zh-CN"/>
              </w:rPr>
              <w:t>年本），本项目不属于限制类、淘汰类项目，项目建设符合现行国家产业政策。本项目已取得石家庄市栾城区行政审批局出具的项目备案证明，</w:t>
            </w:r>
            <w:r>
              <w:rPr>
                <w:rFonts w:hint="eastAsia"/>
                <w:color w:val="auto"/>
                <w:sz w:val="24"/>
                <w:lang w:val="en-US" w:eastAsia="zh-CN"/>
              </w:rPr>
              <w:t>允许建设</w:t>
            </w:r>
            <w:r>
              <w:rPr>
                <w:rFonts w:hint="eastAsia"/>
                <w:color w:val="auto"/>
                <w:sz w:val="24"/>
                <w:lang w:eastAsia="zh-CN"/>
              </w:rPr>
              <w:t>。</w:t>
            </w:r>
          </w:p>
          <w:p>
            <w:pPr>
              <w:bidi w:val="0"/>
              <w:rPr>
                <w:color w:val="auto"/>
              </w:rPr>
            </w:pPr>
            <w:r>
              <w:rPr>
                <w:color w:val="auto"/>
              </w:rPr>
              <w:t>综上所述，本项目建设符</w:t>
            </w:r>
            <w:r>
              <w:rPr>
                <w:rFonts w:hint="eastAsia"/>
                <w:color w:val="auto"/>
              </w:rPr>
              <w:t>合“三线一单”要</w:t>
            </w:r>
            <w:r>
              <w:rPr>
                <w:color w:val="auto"/>
              </w:rPr>
              <w:t>求。</w:t>
            </w:r>
          </w:p>
          <w:p>
            <w:pPr>
              <w:bidi w:val="0"/>
              <w:rPr>
                <w:color w:val="auto"/>
              </w:rPr>
            </w:pPr>
          </w:p>
          <w:p>
            <w:pPr>
              <w:bidi w:val="0"/>
              <w:rPr>
                <w:color w:val="auto"/>
              </w:rPr>
            </w:pPr>
          </w:p>
          <w:p>
            <w:pPr>
              <w:bidi w:val="0"/>
              <w:rPr>
                <w:color w:val="auto"/>
              </w:rPr>
            </w:pPr>
          </w:p>
          <w:p>
            <w:pPr>
              <w:bidi w:val="0"/>
              <w:rPr>
                <w:rFonts w:hint="eastAsia"/>
                <w:color w:val="auto"/>
                <w:lang w:val="en-US" w:eastAsia="zh-CN"/>
              </w:rPr>
            </w:pPr>
            <w:r>
              <w:rPr>
                <w:color w:val="auto"/>
              </w:rPr>
              <w:t>（</w:t>
            </w:r>
            <w:r>
              <w:rPr>
                <w:rFonts w:hint="eastAsia"/>
                <w:color w:val="auto"/>
                <w:lang w:val="en-US" w:eastAsia="zh-CN"/>
              </w:rPr>
              <w:t>5</w:t>
            </w:r>
            <w:r>
              <w:rPr>
                <w:color w:val="auto"/>
              </w:rPr>
              <w:t>）</w:t>
            </w:r>
            <w:r>
              <w:rPr>
                <w:rFonts w:hint="eastAsia"/>
                <w:color w:val="auto"/>
                <w:lang w:val="en-US" w:eastAsia="zh-CN"/>
              </w:rPr>
              <w:t>与《石家庄市“三线一单”生态环境准入清单（2023年版）》符合性分析</w:t>
            </w:r>
          </w:p>
          <w:p>
            <w:pPr>
              <w:bidi w:val="0"/>
              <w:spacing w:line="240" w:lineRule="auto"/>
              <w:ind w:left="0" w:right="0" w:firstLineChars="0" w:firstLine="0"/>
              <w:jc w:val="center"/>
              <w:rPr>
                <w:b/>
                <w:bCs/>
                <w:color w:val="auto"/>
                <w:lang w:val="en-US" w:eastAsia="zh-CN"/>
              </w:rPr>
            </w:pPr>
            <w:r>
              <w:rPr>
                <w:rFonts w:hint="eastAsia"/>
                <w:b/>
                <w:bCs/>
                <w:color w:val="auto"/>
                <w:lang w:val="en-US" w:eastAsia="zh-CN"/>
              </w:rPr>
              <w:t>表1-3  与石家庄市“三线一单”符合分析一览表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938"/>
              <w:gridCol w:w="266"/>
              <w:gridCol w:w="611"/>
              <w:gridCol w:w="385"/>
              <w:gridCol w:w="1776"/>
              <w:gridCol w:w="2045"/>
              <w:gridCol w:w="234"/>
            </w:tblGrid>
            <w:tr>
              <w:trPr>
                <w:trHeight w:val="23"/>
              </w:trPr>
              <w:tc>
                <w:tcPr>
                  <w:tcW w:w="1335" w:type="pct"/>
                  <w:vAlign w:val="center"/>
                </w:tcPr>
                <w:p>
                  <w:pPr>
                    <w:pStyle w:val="25"/>
                    <w:tabs>
                      <w:tab w:val="left" w:pos="1680"/>
                      <w:tab w:val="left" w:pos="3465"/>
                    </w:tabs>
                    <w:bidi w:val="0"/>
                    <w:rPr>
                      <w:color w:val="auto"/>
                    </w:rPr>
                  </w:pPr>
                  <w:r>
                    <w:rPr>
                      <w:color w:val="auto"/>
                    </w:rPr>
                    <w:t>相关要求</w:t>
                  </w:r>
                </w:p>
              </w:tc>
              <w:tc>
                <w:tcPr>
                  <w:tcW w:w="183" w:type="pct"/>
                  <w:vAlign w:val="center"/>
                </w:tcPr>
                <w:p>
                  <w:pPr>
                    <w:pStyle w:val="25"/>
                    <w:tabs>
                      <w:tab w:val="left" w:pos="1680"/>
                      <w:tab w:val="left" w:pos="3465"/>
                    </w:tabs>
                    <w:bidi w:val="0"/>
                    <w:rPr>
                      <w:color w:val="auto"/>
                    </w:rPr>
                  </w:pPr>
                  <w:r>
                    <w:rPr>
                      <w:color w:val="auto"/>
                    </w:rPr>
                    <w:t>重点区域</w:t>
                  </w:r>
                </w:p>
              </w:tc>
              <w:tc>
                <w:tcPr>
                  <w:tcW w:w="1910" w:type="pct"/>
                  <w:gridSpan w:val="3"/>
                  <w:vAlign w:val="center"/>
                </w:tcPr>
                <w:p>
                  <w:pPr>
                    <w:pStyle w:val="25"/>
                    <w:tabs>
                      <w:tab w:val="left" w:pos="1680"/>
                      <w:tab w:val="left" w:pos="3465"/>
                    </w:tabs>
                    <w:bidi w:val="0"/>
                    <w:rPr>
                      <w:color w:val="auto"/>
                    </w:rPr>
                  </w:pPr>
                  <w:r>
                    <w:rPr>
                      <w:color w:val="auto"/>
                    </w:rPr>
                    <w:t>管控策略</w:t>
                  </w:r>
                </w:p>
              </w:tc>
              <w:tc>
                <w:tcPr>
                  <w:tcW w:w="1409" w:type="pct"/>
                  <w:vAlign w:val="center"/>
                </w:tcPr>
                <w:p>
                  <w:pPr>
                    <w:pStyle w:val="25"/>
                    <w:tabs>
                      <w:tab w:val="left" w:pos="1680"/>
                      <w:tab w:val="left" w:pos="3465"/>
                    </w:tabs>
                    <w:bidi w:val="0"/>
                    <w:rPr>
                      <w:color w:val="auto"/>
                    </w:rPr>
                  </w:pPr>
                  <w:r>
                    <w:rPr>
                      <w:color w:val="auto"/>
                    </w:rPr>
                    <w:t>项目情况</w:t>
                  </w:r>
                </w:p>
              </w:tc>
              <w:tc>
                <w:tcPr>
                  <w:tcW w:w="161" w:type="pct"/>
                  <w:vAlign w:val="center"/>
                </w:tcPr>
                <w:p>
                  <w:pPr>
                    <w:pStyle w:val="25"/>
                    <w:tabs>
                      <w:tab w:val="left" w:pos="1680"/>
                      <w:tab w:val="left" w:pos="3465"/>
                    </w:tabs>
                    <w:bidi w:val="0"/>
                    <w:rPr>
                      <w:rFonts w:eastAsia="宋体" w:hint="eastAsia"/>
                      <w:color w:val="auto"/>
                      <w:lang w:eastAsia="zh-CN"/>
                    </w:rPr>
                  </w:pPr>
                  <w:r>
                    <w:rPr>
                      <w:rFonts w:hint="eastAsia"/>
                      <w:color w:val="auto"/>
                      <w:lang w:val="en-US" w:eastAsia="zh-CN"/>
                    </w:rPr>
                    <w:t>符合性</w:t>
                  </w:r>
                </w:p>
              </w:tc>
            </w:tr>
            <w:tr>
              <w:trPr>
                <w:trHeight w:val="23"/>
              </w:trPr>
              <w:tc>
                <w:tcPr>
                  <w:tcW w:w="1335" w:type="pct"/>
                  <w:vMerge w:val="restart"/>
                  <w:vAlign w:val="center"/>
                </w:tcPr>
                <w:p>
                  <w:pPr>
                    <w:pStyle w:val="25"/>
                    <w:tabs>
                      <w:tab w:val="left" w:pos="1680"/>
                      <w:tab w:val="left" w:pos="3465"/>
                    </w:tabs>
                    <w:bidi w:val="0"/>
                    <w:rPr>
                      <w:color w:val="auto"/>
                    </w:rPr>
                  </w:pPr>
                  <w:r>
                    <w:rPr>
                      <w:color w:val="auto"/>
                    </w:rPr>
                    <w:t>全市生态环境准入综合管控要求</w:t>
                  </w: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全市域</w:t>
                  </w:r>
                </w:p>
              </w:tc>
              <w:tc>
                <w:tcPr>
                  <w:tcW w:w="1910" w:type="pct"/>
                  <w:gridSpan w:val="3"/>
                  <w:tcBorders>
                    <w:left w:val="single" w:sz="4" w:space="0" w:color="auto"/>
                  </w:tcBorders>
                  <w:vAlign w:val="center"/>
                </w:tcPr>
                <w:p>
                  <w:pPr>
                    <w:pStyle w:val="25"/>
                    <w:tabs>
                      <w:tab w:val="left" w:pos="1680"/>
                      <w:tab w:val="left" w:pos="3465"/>
                    </w:tabs>
                    <w:bidi w:val="0"/>
                    <w:rPr>
                      <w:color w:val="auto"/>
                    </w:rPr>
                  </w:pPr>
                  <w:r>
                    <w:rPr>
                      <w:color w:val="auto"/>
                    </w:rPr>
                    <w:t>1、优化产业结构。落实国家、省、市产业政策，严格“两高”项目环评审批，落实区域削减要求，推进减污降碳协同控制。</w:t>
                  </w:r>
                </w:p>
                <w:p>
                  <w:pPr>
                    <w:pStyle w:val="25"/>
                    <w:tabs>
                      <w:tab w:val="left" w:pos="1680"/>
                      <w:tab w:val="left" w:pos="3465"/>
                    </w:tabs>
                    <w:bidi w:val="0"/>
                    <w:rPr>
                      <w:color w:val="auto"/>
                    </w:rPr>
                  </w:pPr>
                  <w:r>
                    <w:rPr>
                      <w:color w:val="auto"/>
                    </w:rPr>
                    <w:t>2、强化产业入园。优化园区布局，提升园区规划、环评实效性，提升园区资源利用效率和绿色低碳水平，加强新建项目入园，严格现有分散企业污染管控。</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1、</w:t>
                  </w:r>
                  <w:r>
                    <w:rPr>
                      <w:rFonts w:hint="eastAsia"/>
                      <w:color w:val="auto"/>
                      <w:lang w:eastAsia="zh-CN"/>
                    </w:rPr>
                    <w:t>本项目</w:t>
                  </w:r>
                  <w:r>
                    <w:rPr>
                      <w:color w:val="auto"/>
                    </w:rPr>
                    <w:t>不属于“两高”项目；</w:t>
                  </w:r>
                </w:p>
                <w:p>
                  <w:pPr>
                    <w:pStyle w:val="25"/>
                    <w:tabs>
                      <w:tab w:val="left" w:pos="1680"/>
                      <w:tab w:val="left" w:pos="3465"/>
                    </w:tabs>
                    <w:bidi w:val="0"/>
                    <w:rPr>
                      <w:color w:val="auto"/>
                    </w:rPr>
                  </w:pPr>
                  <w:r>
                    <w:rPr>
                      <w:color w:val="auto"/>
                    </w:rPr>
                    <w:t>2、项目符合园区产业规划。</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地下水重点管控区</w:t>
                  </w:r>
                </w:p>
              </w:tc>
              <w:tc>
                <w:tcPr>
                  <w:tcW w:w="1910" w:type="pct"/>
                  <w:gridSpan w:val="3"/>
                  <w:tcBorders>
                    <w:left w:val="single" w:sz="4" w:space="0" w:color="auto"/>
                  </w:tcBorders>
                  <w:vAlign w:val="center"/>
                </w:tcPr>
                <w:p>
                  <w:pPr>
                    <w:pStyle w:val="25"/>
                    <w:tabs>
                      <w:tab w:val="left" w:pos="1680"/>
                      <w:tab w:val="left" w:pos="3465"/>
                    </w:tabs>
                    <w:bidi w:val="0"/>
                    <w:rPr>
                      <w:color w:val="auto"/>
                    </w:rPr>
                  </w:pPr>
                  <w:r>
                    <w:rPr>
                      <w:color w:val="auto"/>
                    </w:rPr>
                    <w:t>落实最严格水资源管理制度，强化用水监管，优化用水结构，推动城镇农村生活、工业、农业节水，发掘多源供水，缓解地下水超采压力，加强地下水开采重点管控区和生态用水补给区的管控。</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w:t>
                  </w:r>
                  <w:r>
                    <w:rPr>
                      <w:rFonts w:hint="eastAsia"/>
                      <w:color w:val="auto"/>
                      <w:lang w:val="en-US" w:eastAsia="zh-CN"/>
                    </w:rPr>
                    <w:t>用水由园区</w:t>
                  </w:r>
                  <w:r>
                    <w:rPr>
                      <w:color w:val="auto"/>
                    </w:rPr>
                    <w:t>供水管网</w:t>
                  </w:r>
                  <w:r>
                    <w:rPr>
                      <w:rFonts w:hint="eastAsia"/>
                      <w:color w:val="auto"/>
                      <w:lang w:val="en-US" w:eastAsia="zh-CN"/>
                    </w:rPr>
                    <w:t>提供</w:t>
                  </w:r>
                  <w:r>
                    <w:rPr>
                      <w:color w:val="auto"/>
                    </w:rPr>
                    <w:t>，不开采地下水。</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restart"/>
                  <w:vAlign w:val="center"/>
                </w:tcPr>
                <w:p>
                  <w:pPr>
                    <w:pStyle w:val="25"/>
                    <w:tabs>
                      <w:tab w:val="left" w:pos="1680"/>
                      <w:tab w:val="left" w:pos="3465"/>
                    </w:tabs>
                    <w:bidi w:val="0"/>
                    <w:rPr>
                      <w:color w:val="auto"/>
                    </w:rPr>
                  </w:pPr>
                  <w:r>
                    <w:rPr>
                      <w:color w:val="auto"/>
                    </w:rPr>
                    <w:t>全市生态空间总体管控要求</w:t>
                  </w: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生态保护红线</w:t>
                  </w:r>
                </w:p>
              </w:tc>
              <w:tc>
                <w:tcPr>
                  <w:tcW w:w="420" w:type="pct"/>
                  <w:tcBorders>
                    <w:left w:val="single" w:sz="4" w:space="0" w:color="auto"/>
                  </w:tcBorders>
                  <w:vAlign w:val="center"/>
                </w:tcPr>
                <w:p>
                  <w:pPr>
                    <w:pStyle w:val="25"/>
                    <w:tabs>
                      <w:tab w:val="left" w:pos="1680"/>
                      <w:tab w:val="left" w:pos="3465"/>
                    </w:tabs>
                    <w:bidi w:val="0"/>
                    <w:rPr>
                      <w:color w:val="auto"/>
                    </w:rPr>
                  </w:pPr>
                  <w:r>
                    <w:rPr>
                      <w:color w:val="auto"/>
                    </w:rPr>
                    <w:t>空间布局约束</w:t>
                  </w:r>
                </w:p>
              </w:tc>
              <w:tc>
                <w:tcPr>
                  <w:tcW w:w="265" w:type="pct"/>
                  <w:tcBorders>
                    <w:left w:val="single" w:sz="4" w:space="0" w:color="auto"/>
                  </w:tcBorders>
                  <w:vAlign w:val="center"/>
                </w:tcPr>
                <w:p>
                  <w:pPr>
                    <w:pStyle w:val="25"/>
                    <w:tabs>
                      <w:tab w:val="left" w:pos="1680"/>
                      <w:tab w:val="left" w:pos="3465"/>
                    </w:tabs>
                    <w:bidi w:val="0"/>
                    <w:rPr>
                      <w:color w:val="auto"/>
                    </w:rPr>
                  </w:pPr>
                  <w:r>
                    <w:rPr>
                      <w:color w:val="auto"/>
                    </w:rPr>
                    <w:t>禁止开发建设活动要求</w:t>
                  </w:r>
                </w:p>
              </w:tc>
              <w:tc>
                <w:tcPr>
                  <w:tcW w:w="1224" w:type="pct"/>
                  <w:tcBorders>
                    <w:left w:val="single" w:sz="4" w:space="0" w:color="auto"/>
                  </w:tcBorders>
                  <w:vAlign w:val="center"/>
                </w:tcPr>
                <w:p>
                  <w:pPr>
                    <w:pStyle w:val="25"/>
                    <w:tabs>
                      <w:tab w:val="left" w:pos="1680"/>
                      <w:tab w:val="left" w:pos="3465"/>
                    </w:tabs>
                    <w:bidi w:val="0"/>
                    <w:rPr>
                      <w:color w:val="auto"/>
                    </w:rPr>
                  </w:pPr>
                  <w:r>
                    <w:rPr>
                      <w:color w:val="auto"/>
                    </w:rPr>
                    <w:t>1、生态保护红线原则上按禁止开发区域的要求进行管理。严禁不符合主体功能定位的各类开发活动，严禁任意改变用途。</w:t>
                  </w:r>
                </w:p>
                <w:p>
                  <w:pPr>
                    <w:pStyle w:val="25"/>
                    <w:tabs>
                      <w:tab w:val="left" w:pos="1680"/>
                      <w:tab w:val="left" w:pos="3465"/>
                    </w:tabs>
                    <w:bidi w:val="0"/>
                    <w:rPr>
                      <w:color w:val="auto"/>
                    </w:rPr>
                  </w:pPr>
                  <w:r>
                    <w:rPr>
                      <w:color w:val="auto"/>
                    </w:rPr>
                    <w:t>2、自然保护地核心保护区原则上禁止人为活动，其他区域严格禁止开发性、生产性建设活动，法律法规另有规定的，从其规定。生态保护红线内自然保护区、风景名胜区、饮用水水源保护区等区域，依照相关法律法规执行。</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项目不在生态保护红线范围内</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饮用水水源地优先保护区</w:t>
                  </w:r>
                </w:p>
              </w:tc>
              <w:tc>
                <w:tcPr>
                  <w:tcW w:w="420" w:type="pct"/>
                  <w:tcBorders>
                    <w:left w:val="single" w:sz="4" w:space="0" w:color="auto"/>
                  </w:tcBorders>
                  <w:vAlign w:val="center"/>
                </w:tcPr>
                <w:p>
                  <w:pPr>
                    <w:pStyle w:val="25"/>
                    <w:tabs>
                      <w:tab w:val="left" w:pos="1680"/>
                      <w:tab w:val="left" w:pos="3465"/>
                    </w:tabs>
                    <w:bidi w:val="0"/>
                    <w:rPr>
                      <w:color w:val="auto"/>
                    </w:rPr>
                  </w:pPr>
                  <w:r>
                    <w:rPr>
                      <w:color w:val="auto"/>
                    </w:rPr>
                    <w:t>空间</w:t>
                  </w:r>
                </w:p>
                <w:p>
                  <w:pPr>
                    <w:pStyle w:val="25"/>
                    <w:tabs>
                      <w:tab w:val="left" w:pos="1680"/>
                      <w:tab w:val="left" w:pos="3465"/>
                    </w:tabs>
                    <w:bidi w:val="0"/>
                    <w:rPr>
                      <w:color w:val="auto"/>
                    </w:rPr>
                  </w:pPr>
                  <w:r>
                    <w:rPr>
                      <w:color w:val="auto"/>
                    </w:rPr>
                    <w:t>布局</w:t>
                  </w:r>
                </w:p>
                <w:p>
                  <w:pPr>
                    <w:pStyle w:val="25"/>
                    <w:tabs>
                      <w:tab w:val="left" w:pos="1680"/>
                      <w:tab w:val="left" w:pos="3465"/>
                    </w:tabs>
                    <w:bidi w:val="0"/>
                    <w:rPr>
                      <w:color w:val="auto"/>
                    </w:rPr>
                  </w:pPr>
                  <w:r>
                    <w:rPr>
                      <w:color w:val="auto"/>
                    </w:rPr>
                    <w:t>约束</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color w:val="auto"/>
                    </w:rPr>
                    <w:t>1、在饮用水水源保护区内，禁止设置排污口。2、禁止在饮用水水源一级保护区内新建、改建、扩建与供水设施和保护水源无关的建设项目；已建成的与供水设施和保护水源无关的建设项目，由县级以上人民政府责令拆除或者关闭。禁止在饮用水水源一级保护区内从事网箱养殖、旅游、游泳、垂钓或者其他可能污染饮用水水体的活动。3、禁止在饮用水水源二级保护区内新建、改建、扩建排放污染物的建设项目；已建成的排放污染物的建设项目，由县级以上人民政府责令拆除或者关闭。在饮用水水源二级保护区内从事网箱养殖、旅游等活动的，应当按照规定采取措施，防止污染饮用水水体。4、</w:t>
                  </w:r>
                </w:p>
                <w:p>
                  <w:pPr>
                    <w:pStyle w:val="25"/>
                    <w:tabs>
                      <w:tab w:val="left" w:pos="1680"/>
                      <w:tab w:val="left" w:pos="3465"/>
                    </w:tabs>
                    <w:bidi w:val="0"/>
                    <w:rPr>
                      <w:color w:val="auto"/>
                    </w:rPr>
                  </w:pPr>
                  <w:r>
                    <w:rPr>
                      <w:color w:val="auto"/>
                    </w:rPr>
                    <w:t>禁止在饮用水水源准保护区内新建、扩建对水体污染严重的建设项目；改建建设项目，不得增加排污量。5、县级以上地方人民政府应当根据保护饮用水水源的实际需要，在准保护区内采取工程措施或者建造湿地、水源涵养林等生态保护措施，防止水污染物直接排入饮用水水体，确保饮用水安全。</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项目不在饮用水水源保护区及饮用水水源准保护区范围内。</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水环境工业污染重点管控区</w:t>
                  </w:r>
                </w:p>
              </w:tc>
              <w:tc>
                <w:tcPr>
                  <w:tcW w:w="420" w:type="pct"/>
                  <w:tcBorders>
                    <w:left w:val="single" w:sz="4" w:space="0" w:color="auto"/>
                  </w:tcBorders>
                  <w:vAlign w:val="center"/>
                </w:tcPr>
                <w:p>
                  <w:pPr>
                    <w:pStyle w:val="25"/>
                    <w:tabs>
                      <w:tab w:val="left" w:pos="1680"/>
                      <w:tab w:val="left" w:pos="3465"/>
                    </w:tabs>
                    <w:bidi w:val="0"/>
                    <w:rPr>
                      <w:color w:val="auto"/>
                    </w:rPr>
                  </w:pPr>
                  <w:r>
                    <w:rPr>
                      <w:color w:val="auto"/>
                    </w:rPr>
                    <w:t>污染物排放管控</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color w:val="auto"/>
                    </w:rPr>
                    <w:t>1、严格控制高污染、高耗水行业新增产能。产能过剩产业实行新增产能等量替代、涉水主要污染物排放同行业倍量替代。对造纸、焦化、氮肥、石油化工、印染、农副食品加工、原料药制造、制革、农药、电镀等重点行业，新建、改建、扩建项目实行新增主要污染物排放倍量替代。2、工业园区全部建成污水集中处理设施，并安装自动在线监控装置；有流域特别排放限值要求的地区，执行流域特别排放限值。3、排放工业废水的企业应当采取有效措施，收集和处理产生的全部废水，防止污染环境。含有毒有害水污染物的工业废水应当分类收集和处理，不得稀释排放。4、企业、学校、科研院所、医疗机构、检验检疫机构等单位的实验室、检验室、化验室等产生的酸液、碱液及其他有毒有害废液，应当按照国家和省有关规定进行处理后达标排放或者单独收集、安全处置。</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w:t>
                  </w:r>
                  <w:r>
                    <w:rPr>
                      <w:rFonts w:hint="eastAsia"/>
                      <w:color w:val="auto"/>
                      <w:lang w:val="en-US" w:eastAsia="zh-CN"/>
                    </w:rPr>
                    <w:t>为饮料制造、食品添加剂制造业生产工艺中不涉及《国家鼓励的工业节水工艺、技术和装备目录（2025年版）》中所列工艺，</w:t>
                  </w:r>
                  <w:r>
                    <w:rPr>
                      <w:color w:val="auto"/>
                    </w:rPr>
                    <w:t>不属于高污染、高耗水行业，</w:t>
                  </w:r>
                  <w:r>
                    <w:rPr>
                      <w:rFonts w:hint="eastAsia"/>
                      <w:color w:val="auto"/>
                      <w:lang w:val="en-US" w:eastAsia="zh-CN"/>
                    </w:rPr>
                    <w:t>全厂废水经厂区污水处理站处理后经市政管网排入德威华泰石家庄市栾城水务有限公司</w:t>
                  </w:r>
                  <w:r>
                    <w:rPr>
                      <w:color w:val="auto"/>
                    </w:rPr>
                    <w:t>。</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restart"/>
                  <w:vAlign w:val="center"/>
                </w:tcPr>
                <w:p>
                  <w:pPr>
                    <w:pStyle w:val="25"/>
                    <w:tabs>
                      <w:tab w:val="left" w:pos="1680"/>
                      <w:tab w:val="left" w:pos="3465"/>
                    </w:tabs>
                    <w:bidi w:val="0"/>
                    <w:rPr>
                      <w:color w:val="auto"/>
                    </w:rPr>
                  </w:pPr>
                  <w:r>
                    <w:rPr>
                      <w:color w:val="auto"/>
                    </w:rPr>
                    <w:t>大气环境总体准入要求</w:t>
                  </w: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空间布局约束</w:t>
                  </w:r>
                </w:p>
              </w:tc>
              <w:tc>
                <w:tcPr>
                  <w:tcW w:w="1910" w:type="pct"/>
                  <w:gridSpan w:val="3"/>
                  <w:tcBorders>
                    <w:left w:val="single" w:sz="4" w:space="0" w:color="auto"/>
                  </w:tcBorders>
                  <w:vAlign w:val="center"/>
                </w:tcPr>
                <w:p>
                  <w:pPr>
                    <w:pStyle w:val="25"/>
                    <w:tabs>
                      <w:tab w:val="left" w:pos="1680"/>
                      <w:tab w:val="left" w:pos="3465"/>
                    </w:tabs>
                    <w:bidi w:val="0"/>
                    <w:rPr>
                      <w:color w:val="auto"/>
                    </w:rPr>
                  </w:pPr>
                  <w:r>
                    <w:rPr>
                      <w:color w:val="auto"/>
                    </w:rPr>
                    <w:t>1、加大钢铁、焦化等行业结构调整力度，推进化工、石化企业治理改造，优先发展战略新兴产业和先进制造业，坚决遏制高耗能高排放低水平项目盲目发展。2、引导重点行业向环境容量充足、扩散条件较好区域布局。3、大气环境受体敏感重点管控区、大气环境布局敏感重点管控区、大气环境弱扩散重点管控区严格控制高耗能、高排放项目建设。严禁新增钢铁、焦化、水泥、平板玻璃、电解铝等产能。4、大气环境受体敏感重点管控区中重点涉气行业企业，除必须依托城市或直接服务于城市的企业外，均应规划退城搬迁。5、大气环境弱扩散重点管控区内严格控制新建、扩建燃煤火电、钢铁，以及除国家、省、市规划外的石化等高污染高排放项目6、对热效率低下、敞开未封闭，装备简易落后、</w:t>
                  </w:r>
                  <w:r>
                    <w:rPr>
                      <w:rFonts w:hint="eastAsia"/>
                      <w:color w:val="auto"/>
                      <w:lang w:eastAsia="zh-CN"/>
                    </w:rPr>
                    <w:t>自动化</w:t>
                  </w:r>
                  <w:r>
                    <w:rPr>
                      <w:color w:val="auto"/>
                    </w:rPr>
                    <w:t>程度低，布局分散、规模小、无组织排放突出，以及无治理设施或治理设施工艺落后的工业炉窑，依法责令停业关闭。7、全市禁止新建35蒸吨/小时及以下燃煤锅炉，35蒸吨/小时以上燃煤锅炉要达到超低排放标准。城市主城区和县城</w:t>
                  </w:r>
                  <w:r>
                    <w:rPr>
                      <w:rFonts w:hint="eastAsia"/>
                      <w:color w:val="auto"/>
                      <w:lang w:eastAsia="zh-CN"/>
                    </w:rPr>
                    <w:t>禁止</w:t>
                  </w:r>
                  <w:r>
                    <w:rPr>
                      <w:color w:val="auto"/>
                    </w:rPr>
                    <w:t>新建35蒸吨/小时及以下生物质和燃油醇基燃料锅炉，35蒸吨/小时以上的燃油和生物质锅炉要达到超低排放标准。8、禁燃区内不得新建、扩建燃烧煤炭、重油、渣油等高污染燃料的设施</w:t>
                  </w:r>
                  <w:r>
                    <w:rPr>
                      <w:rFonts w:hint="eastAsia"/>
                      <w:color w:val="auto"/>
                      <w:lang w:eastAsia="zh-CN"/>
                    </w:rPr>
                    <w:t>，</w:t>
                  </w:r>
                  <w:r>
                    <w:rPr>
                      <w:color w:val="auto"/>
                    </w:rPr>
                    <w:t>现有未改用清洁能源替代的高污染燃料设施，应当配套建设先进工艺的脱硫、脱硝、除尘装置或者采取其他措施,控制二氧化硫、氮氧化物和烟尘等排放</w:t>
                  </w:r>
                  <w:r>
                    <w:rPr>
                      <w:rFonts w:hint="eastAsia"/>
                      <w:color w:val="auto"/>
                      <w:lang w:eastAsia="zh-CN"/>
                    </w:rPr>
                    <w:t>；</w:t>
                  </w:r>
                  <w:r>
                    <w:rPr>
                      <w:color w:val="auto"/>
                    </w:rPr>
                    <w:t>仍未达到大气污染物排放标准的，应当停止使用。禁燃区内禁止原煤散烧。禁止销售、使用高污染燃料。</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项目不属于钢铁、水泥、焦化、火电等行业；不涉及煤炭、重油、渣油等高污染燃料消耗。</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污染物排放管控</w:t>
                  </w:r>
                </w:p>
              </w:tc>
              <w:tc>
                <w:tcPr>
                  <w:tcW w:w="1910" w:type="pct"/>
                  <w:gridSpan w:val="3"/>
                  <w:tcBorders>
                    <w:left w:val="single" w:sz="4" w:space="0" w:color="auto"/>
                  </w:tcBorders>
                  <w:vAlign w:val="center"/>
                </w:tcPr>
                <w:p>
                  <w:pPr>
                    <w:pStyle w:val="25"/>
                    <w:tabs>
                      <w:tab w:val="left" w:pos="1680"/>
                      <w:tab w:val="left" w:pos="3465"/>
                    </w:tabs>
                    <w:bidi w:val="0"/>
                    <w:rPr>
                      <w:color w:val="auto"/>
                    </w:rPr>
                  </w:pPr>
                  <w:r>
                    <w:rPr>
                      <w:color w:val="auto"/>
                    </w:rPr>
                    <w:t>1.严格区域削减要求。严格执行《生态环境部办公厅关于加强重点行业建设项目区域削减措施监督管理的通知》(环办环评(2020)36号)相关要求。</w:t>
                  </w:r>
                </w:p>
                <w:p>
                  <w:pPr>
                    <w:pStyle w:val="25"/>
                    <w:tabs>
                      <w:tab w:val="left" w:pos="1680"/>
                      <w:tab w:val="left" w:pos="3465"/>
                    </w:tabs>
                    <w:bidi w:val="0"/>
                    <w:rPr>
                      <w:color w:val="auto"/>
                    </w:rPr>
                  </w:pPr>
                  <w:r>
                    <w:rPr>
                      <w:color w:val="auto"/>
                    </w:rPr>
                    <w:t>2.对保留的工业炉窑开展环保提标改造，配套建设高效脱硫脱硝除尘设施，确保稳定达标排放，按照《河北省工业炉窑综合治理实施方案》执行。</w:t>
                  </w:r>
                </w:p>
                <w:p>
                  <w:pPr>
                    <w:pStyle w:val="25"/>
                    <w:tabs>
                      <w:tab w:val="left" w:pos="1680"/>
                      <w:tab w:val="left" w:pos="3465"/>
                    </w:tabs>
                    <w:bidi w:val="0"/>
                    <w:rPr>
                      <w:color w:val="auto"/>
                    </w:rPr>
                  </w:pPr>
                  <w:r>
                    <w:rPr>
                      <w:color w:val="auto"/>
                    </w:rPr>
                    <w:t>3.按照《低挥发性有机化合物含量涂料产品技术要求》(GB/T38597-2020)，开展低挥发性有机物含量涂料推广替代试点工作，加快推进党政机关单位定点印刷企业率先使用水性油墨、大豆油墨等低挥发性有机物含量油墨和胶粘剂。4.加强无组织排放治理，开展钢铁、水泥、燃煤电厂、焦化</w:t>
                  </w:r>
                  <w:r>
                    <w:rPr>
                      <w:rFonts w:hint="eastAsia"/>
                      <w:color w:val="auto"/>
                      <w:lang w:eastAsia="zh-CN"/>
                    </w:rPr>
                    <w:t>、</w:t>
                  </w:r>
                  <w:r>
                    <w:rPr>
                      <w:color w:val="auto"/>
                    </w:rPr>
                    <w:t>平板玻璃、陶瓷等行业</w:t>
                  </w:r>
                  <w:r>
                    <w:rPr>
                      <w:rFonts w:hint="eastAsia"/>
                      <w:color w:val="auto"/>
                      <w:lang w:eastAsia="zh-CN"/>
                    </w:rPr>
                    <w:t>，</w:t>
                  </w:r>
                  <w:r>
                    <w:rPr>
                      <w:color w:val="auto"/>
                    </w:rPr>
                    <w:t>重点行业无组织排放检查工作，物料存储运输等全部采用密闭或封闭形式。5.加快推进铁路专用线建设，大宗货物及产品年货运量150万吨以上的企业原则上全部修建铁路专用线，达不到的采用清洁能源汽车或国六排放标准汽车代替。6.深化建筑施工扬尘专项整治，严格执行《石家庄市建设工程围挡设置和扬尘管理标准》加强道路扬尘综合整治，全市工业企业料堆场全部实现规范管理:对环境敏感区的煤场、料场、渣场实现在线监控和视频监控全覆盖。7.严禁秸秆、垃圾露天焚烧，实施农村地区的散煤替代及清洁开发利用工程。8.巩固钢铁、焦化、煤电、水泥、平板玻璃、陶瓷等行业超低排放成效，实施工艺全流程深度治理，全面加强无组织排放管控。9.对以煤、石油焦重油等为燃料的工业炉窑，加快使用清洁低碳能源以及利用工厂余热、电厂热力等进行替代，全市禁止掺烧高硫石油焦(硫含量大于3%)。玻璃行业全面禁止掺烧高硫石油焦。</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1.项目执行区域</w:t>
                  </w:r>
                  <w:r>
                    <w:rPr>
                      <w:rFonts w:hint="eastAsia"/>
                      <w:color w:val="auto"/>
                      <w:lang w:eastAsia="zh-CN"/>
                    </w:rPr>
                    <w:t>削减</w:t>
                  </w:r>
                  <w:r>
                    <w:rPr>
                      <w:color w:val="auto"/>
                    </w:rPr>
                    <w:t>要求；</w:t>
                  </w:r>
                </w:p>
                <w:p>
                  <w:pPr>
                    <w:pStyle w:val="25"/>
                    <w:tabs>
                      <w:tab w:val="left" w:pos="1680"/>
                      <w:tab w:val="left" w:pos="3465"/>
                    </w:tabs>
                    <w:bidi w:val="0"/>
                    <w:rPr>
                      <w:color w:val="auto"/>
                    </w:rPr>
                  </w:pPr>
                  <w:r>
                    <w:rPr>
                      <w:color w:val="auto"/>
                    </w:rPr>
                    <w:t>2.不设炉窑；</w:t>
                  </w:r>
                </w:p>
                <w:p>
                  <w:pPr>
                    <w:pStyle w:val="25"/>
                    <w:tabs>
                      <w:tab w:val="left" w:pos="1680"/>
                      <w:tab w:val="left" w:pos="3465"/>
                    </w:tabs>
                    <w:bidi w:val="0"/>
                    <w:rPr>
                      <w:color w:val="auto"/>
                    </w:rPr>
                  </w:pPr>
                  <w:r>
                    <w:rPr>
                      <w:color w:val="auto"/>
                    </w:rPr>
                    <w:t>3.</w:t>
                  </w:r>
                  <w:r>
                    <w:rPr>
                      <w:rFonts w:hint="eastAsia"/>
                      <w:color w:val="auto"/>
                      <w:lang w:val="en-US" w:eastAsia="zh-CN"/>
                    </w:rPr>
                    <w:t>不涉及涂料使用</w:t>
                  </w:r>
                  <w:r>
                    <w:rPr>
                      <w:color w:val="auto"/>
                    </w:rPr>
                    <w:t>；</w:t>
                  </w:r>
                </w:p>
                <w:p>
                  <w:pPr>
                    <w:pStyle w:val="25"/>
                    <w:tabs>
                      <w:tab w:val="left" w:pos="1680"/>
                      <w:tab w:val="left" w:pos="3465"/>
                    </w:tabs>
                    <w:bidi w:val="0"/>
                    <w:rPr>
                      <w:color w:val="auto"/>
                    </w:rPr>
                  </w:pPr>
                  <w:r>
                    <w:rPr>
                      <w:color w:val="auto"/>
                    </w:rPr>
                    <w:t>4.加强无组织排放管理；</w:t>
                  </w:r>
                </w:p>
                <w:p>
                  <w:pPr>
                    <w:pStyle w:val="25"/>
                    <w:tabs>
                      <w:tab w:val="left" w:pos="1680"/>
                      <w:tab w:val="left" w:pos="3465"/>
                    </w:tabs>
                    <w:bidi w:val="0"/>
                    <w:rPr>
                      <w:color w:val="auto"/>
                    </w:rPr>
                  </w:pPr>
                  <w:r>
                    <w:rPr>
                      <w:color w:val="auto"/>
                    </w:rPr>
                    <w:t>5.采用清洁运输方式运输；</w:t>
                  </w:r>
                </w:p>
                <w:p>
                  <w:pPr>
                    <w:pStyle w:val="25"/>
                    <w:tabs>
                      <w:tab w:val="left" w:pos="1680"/>
                      <w:tab w:val="left" w:pos="3465"/>
                    </w:tabs>
                    <w:bidi w:val="0"/>
                    <w:rPr>
                      <w:color w:val="auto"/>
                    </w:rPr>
                  </w:pPr>
                  <w:r>
                    <w:rPr>
                      <w:color w:val="auto"/>
                    </w:rPr>
                    <w:t>6.</w:t>
                  </w:r>
                  <w:r>
                    <w:rPr>
                      <w:color w:val="auto"/>
                      <w:lang w:val="en-US" w:eastAsia="zh-CN"/>
                    </w:rPr>
                    <w:t>项目位于</w:t>
                  </w:r>
                  <w:r>
                    <w:rPr>
                      <w:rFonts w:hint="eastAsia"/>
                      <w:color w:val="auto"/>
                      <w:lang w:eastAsia="zh-CN"/>
                    </w:rPr>
                    <w:t>企业</w:t>
                  </w:r>
                  <w:r>
                    <w:rPr>
                      <w:color w:val="auto"/>
                      <w:lang w:eastAsia="zh-CN"/>
                    </w:rPr>
                    <w:t>现有厂区内</w:t>
                  </w:r>
                  <w:r>
                    <w:rPr>
                      <w:color w:val="auto"/>
                    </w:rPr>
                    <w:t>，不涉及土建施工；</w:t>
                  </w:r>
                </w:p>
                <w:p>
                  <w:pPr>
                    <w:pStyle w:val="25"/>
                    <w:tabs>
                      <w:tab w:val="left" w:pos="1680"/>
                      <w:tab w:val="left" w:pos="3465"/>
                    </w:tabs>
                    <w:bidi w:val="0"/>
                    <w:rPr>
                      <w:color w:val="auto"/>
                    </w:rPr>
                  </w:pPr>
                  <w:r>
                    <w:rPr>
                      <w:color w:val="auto"/>
                    </w:rPr>
                    <w:t>7.不涉及秸秆、垃圾焚烧；</w:t>
                  </w:r>
                </w:p>
                <w:p>
                  <w:pPr>
                    <w:pStyle w:val="25"/>
                    <w:tabs>
                      <w:tab w:val="left" w:pos="1680"/>
                      <w:tab w:val="left" w:pos="3465"/>
                    </w:tabs>
                    <w:bidi w:val="0"/>
                    <w:rPr>
                      <w:color w:val="auto"/>
                    </w:rPr>
                  </w:pPr>
                  <w:r>
                    <w:rPr>
                      <w:color w:val="auto"/>
                    </w:rPr>
                    <w:t>8.不属于钢铁、焦化、煤电、水泥、平板玻璃、陶瓷等行业；</w:t>
                  </w:r>
                </w:p>
                <w:p>
                  <w:pPr>
                    <w:pStyle w:val="25"/>
                    <w:tabs>
                      <w:tab w:val="left" w:pos="1680"/>
                      <w:tab w:val="left" w:pos="3465"/>
                    </w:tabs>
                    <w:bidi w:val="0"/>
                    <w:rPr>
                      <w:color w:val="auto"/>
                    </w:rPr>
                  </w:pPr>
                  <w:r>
                    <w:rPr>
                      <w:color w:val="auto"/>
                    </w:rPr>
                    <w:t>9.不涉及煤、石油焦重油等为燃料的工业炉窑。</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环境风险防控</w:t>
                  </w:r>
                </w:p>
              </w:tc>
              <w:tc>
                <w:tcPr>
                  <w:tcW w:w="1910" w:type="pct"/>
                  <w:gridSpan w:val="3"/>
                  <w:tcBorders>
                    <w:left w:val="single" w:sz="4" w:space="0" w:color="auto"/>
                  </w:tcBorders>
                  <w:vAlign w:val="center"/>
                </w:tcPr>
                <w:p>
                  <w:pPr>
                    <w:pStyle w:val="25"/>
                    <w:tabs>
                      <w:tab w:val="left" w:pos="1680"/>
                      <w:tab w:val="left" w:pos="3465"/>
                    </w:tabs>
                    <w:bidi w:val="0"/>
                    <w:rPr>
                      <w:color w:val="auto"/>
                    </w:rPr>
                  </w:pPr>
                  <w:r>
                    <w:rPr>
                      <w:color w:val="auto"/>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项目采取有效风险防控措施，风险可控。</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restart"/>
                  <w:vAlign w:val="center"/>
                </w:tcPr>
                <w:p>
                  <w:pPr>
                    <w:pStyle w:val="25"/>
                    <w:tabs>
                      <w:tab w:val="left" w:pos="1680"/>
                      <w:tab w:val="left" w:pos="3465"/>
                    </w:tabs>
                    <w:bidi w:val="0"/>
                    <w:rPr>
                      <w:color w:val="auto"/>
                    </w:rPr>
                  </w:pPr>
                  <w:r>
                    <w:rPr>
                      <w:color w:val="auto"/>
                    </w:rPr>
                    <w:t>全市土壤环境总体管控要求</w:t>
                  </w: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农用地</w:t>
                  </w:r>
                </w:p>
              </w:tc>
              <w:tc>
                <w:tcPr>
                  <w:tcW w:w="1910" w:type="pct"/>
                  <w:gridSpan w:val="3"/>
                  <w:tcBorders>
                    <w:left w:val="single" w:sz="4" w:space="0" w:color="auto"/>
                  </w:tcBorders>
                  <w:vAlign w:val="center"/>
                </w:tcPr>
                <w:p>
                  <w:pPr>
                    <w:pStyle w:val="25"/>
                    <w:tabs>
                      <w:tab w:val="left" w:pos="1680"/>
                      <w:tab w:val="left" w:pos="3465"/>
                    </w:tabs>
                    <w:bidi w:val="0"/>
                    <w:rPr>
                      <w:color w:val="auto"/>
                    </w:rPr>
                  </w:pPr>
                  <w:r>
                    <w:rPr>
                      <w:color w:val="auto"/>
                    </w:rPr>
                    <w:t>1、禁止任何单位和个人在基本农田保护区内建窑、建房、建坟、挖砂、采石、采矿,取土、堆放固体废弃物或者进行其他破坏基本农田的活动。2、禁止任何单位和个人占用基本农田发展林果业和挖塘养鱼。3、县级以上地方人民政府应当依法将符合条件的优先保护类耕地划为永久基本农田，实行严格保护。在永久基本农田集中区域不得新建可能造成土壤污染的建设项目:已经建成的，应当限期关闭拆除。4、禁止生产、销售、使用国家和本省明令禁止的农业投入品。5、禁止向农用地排放重金属或者其他有毒有害物质含量超标的污水、污泥，以及可能造成土壤污染的清淤底泥、尾矿、矿渣等。6、严格执行法律、法规规定的其它空间布局约束要求，</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项目占用工业用地，项目固废全部综合利用或妥善处置，不外排。</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建设用地风险管控和修复</w:t>
                  </w:r>
                </w:p>
              </w:tc>
              <w:tc>
                <w:tcPr>
                  <w:tcW w:w="1910" w:type="pct"/>
                  <w:gridSpan w:val="3"/>
                  <w:tcBorders>
                    <w:left w:val="single" w:sz="4" w:space="0" w:color="auto"/>
                  </w:tcBorders>
                  <w:vAlign w:val="center"/>
                </w:tcPr>
                <w:p>
                  <w:pPr>
                    <w:pStyle w:val="25"/>
                    <w:tabs>
                      <w:tab w:val="left" w:pos="1680"/>
                      <w:tab w:val="left" w:pos="3465"/>
                    </w:tabs>
                    <w:bidi w:val="0"/>
                    <w:rPr>
                      <w:color w:val="auto"/>
                    </w:rPr>
                  </w:pPr>
                  <w:r>
                    <w:rPr>
                      <w:color w:val="auto"/>
                    </w:rPr>
                    <w:t>1、依法推进建设用地土壤污染状况调查评估。以用途变更为“一住两公”地块，以及腾退工矿企业用地为重点，依法开展土壤污染状况调查和风险评估。2、对土壤污染状况调查报告评审表明污染物含量超过土壤污染风险管控标准的建设用地地块，土壤污染责任人、土地使用权人应当按照国务院生态环境主管部门的规定进行土壤污染风险评估。3、对建设用地土壤污染风险管控和修复名录中需要实施修复的地块，土壤污染责任人应当结合土地利用总体规划和城乡规划编制修复方案，报地方人民政府生态环境主管部门备案并实施。4、风险管控、修复活动完成后，需要实施后期管理的，土壤污染责任人应当按照要求实施后期管理。5、各县(市、区)在编制国土空间等相关规划时，充分考虑建设用地土壤污染环境风险，合理确定土地用途，6、严格落实建设用地土壤污染风险管控和修复名录制度。未达到土壤污染风险评估报告确定的风险管控、修复目标的地块，不得开工建设与风险管控和修复无关的项目。</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项目采取有效防渗措施，无土壤污染途径，不涉及土壤修复。</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restart"/>
                  <w:vAlign w:val="center"/>
                </w:tcPr>
                <w:p>
                  <w:pPr>
                    <w:pStyle w:val="25"/>
                    <w:tabs>
                      <w:tab w:val="left" w:pos="1680"/>
                      <w:tab w:val="left" w:pos="3465"/>
                    </w:tabs>
                    <w:bidi w:val="0"/>
                    <w:rPr>
                      <w:color w:val="auto"/>
                    </w:rPr>
                  </w:pPr>
                  <w:r>
                    <w:rPr>
                      <w:color w:val="auto"/>
                    </w:rPr>
                    <w:t>全市自然资源总体管控要求</w:t>
                  </w:r>
                </w:p>
              </w:tc>
              <w:tc>
                <w:tcPr>
                  <w:tcW w:w="183" w:type="pct"/>
                  <w:vMerge w:val="restart"/>
                  <w:tcBorders>
                    <w:left w:val="single" w:sz="4" w:space="0" w:color="auto"/>
                  </w:tcBorders>
                  <w:vAlign w:val="center"/>
                </w:tcPr>
                <w:p>
                  <w:pPr>
                    <w:pStyle w:val="25"/>
                    <w:tabs>
                      <w:tab w:val="left" w:pos="1680"/>
                      <w:tab w:val="left" w:pos="3465"/>
                    </w:tabs>
                    <w:bidi w:val="0"/>
                    <w:rPr>
                      <w:color w:val="auto"/>
                    </w:rPr>
                  </w:pPr>
                  <w:r>
                    <w:rPr>
                      <w:color w:val="auto"/>
                    </w:rPr>
                    <w:t>水资源</w:t>
                  </w:r>
                </w:p>
              </w:tc>
              <w:tc>
                <w:tcPr>
                  <w:tcW w:w="420" w:type="pct"/>
                  <w:tcBorders>
                    <w:left w:val="single" w:sz="4" w:space="0" w:color="auto"/>
                  </w:tcBorders>
                  <w:vAlign w:val="center"/>
                </w:tcPr>
                <w:p>
                  <w:pPr>
                    <w:pStyle w:val="25"/>
                    <w:tabs>
                      <w:tab w:val="left" w:pos="1680"/>
                      <w:tab w:val="left" w:pos="3465"/>
                    </w:tabs>
                    <w:bidi w:val="0"/>
                    <w:rPr>
                      <w:color w:val="auto"/>
                    </w:rPr>
                  </w:pPr>
                  <w:r>
                    <w:rPr>
                      <w:color w:val="auto"/>
                    </w:rPr>
                    <w:t>地下水开采重点管控区（地下水严重超采区）</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color w:val="auto"/>
                    </w:rPr>
                    <w:t>1、在地下水禁采区内，除为保障地下工程施工安全和生产安全必须进行临时应急取(排)水、为消除对公共安全或者公共利益的危害临时应急取水，以及为开展地下水监测、勘探、试验少量取水外，禁止取用地下水。2、在地下水限采区内，对当地社会发展和群众生活有重大影响的重点建设项目确需取用地下水的，应按照用1减2的比例以及先减后加的原则，同步削减其他取水单位的地下水开采量，且不得深层、浅层地下水相互替代。</w:t>
                  </w:r>
                </w:p>
              </w:tc>
              <w:tc>
                <w:tcPr>
                  <w:tcW w:w="1409" w:type="pct"/>
                  <w:vMerge w:val="restart"/>
                  <w:tcBorders>
                    <w:left w:val="single" w:sz="4" w:space="0" w:color="auto"/>
                  </w:tcBorders>
                  <w:vAlign w:val="center"/>
                </w:tcPr>
                <w:p>
                  <w:pPr>
                    <w:pStyle w:val="25"/>
                    <w:tabs>
                      <w:tab w:val="left" w:pos="1680"/>
                      <w:tab w:val="left" w:pos="3465"/>
                    </w:tabs>
                    <w:bidi w:val="0"/>
                    <w:rPr>
                      <w:color w:val="auto"/>
                    </w:rPr>
                  </w:pPr>
                  <w:r>
                    <w:rPr>
                      <w:color w:val="auto"/>
                    </w:rPr>
                    <w:t>项目用水由当地供水管网提供，不开采地下水。</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183" w:type="pct"/>
                  <w:vMerge/>
                  <w:tcBorders>
                    <w:left w:val="single" w:sz="4" w:space="0" w:color="auto"/>
                  </w:tcBorders>
                  <w:vAlign w:val="center"/>
                </w:tcPr>
                <w:p/>
              </w:tc>
              <w:tc>
                <w:tcPr>
                  <w:tcW w:w="420" w:type="pct"/>
                  <w:tcBorders>
                    <w:left w:val="single" w:sz="4" w:space="0" w:color="auto"/>
                  </w:tcBorders>
                  <w:vAlign w:val="center"/>
                </w:tcPr>
                <w:p>
                  <w:pPr>
                    <w:pStyle w:val="25"/>
                    <w:tabs>
                      <w:tab w:val="left" w:pos="1680"/>
                      <w:tab w:val="left" w:pos="3465"/>
                    </w:tabs>
                    <w:bidi w:val="0"/>
                    <w:rPr>
                      <w:color w:val="auto"/>
                    </w:rPr>
                  </w:pPr>
                  <w:r>
                    <w:rPr>
                      <w:color w:val="auto"/>
                    </w:rPr>
                    <w:t>一般管控区</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color w:val="auto"/>
                    </w:rPr>
                    <w:t>1、严格执行“最严格水资源管理制度”确定的用水总量控制指标，加强水资源取水论证，严格水资源总量考核管理，同时全面推进节水型社会建设，提高用水效率。2、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1409" w:type="pct"/>
                  <w:vMerge/>
                  <w:tcBorders>
                    <w:left w:val="single" w:sz="4" w:space="0" w:color="auto"/>
                  </w:tcBorders>
                  <w:vAlign w:val="center"/>
                </w:tcP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183" w:type="pct"/>
                  <w:tcBorders>
                    <w:left w:val="single" w:sz="4" w:space="0" w:color="auto"/>
                  </w:tcBorders>
                  <w:vAlign w:val="center"/>
                </w:tcPr>
                <w:p>
                  <w:pPr>
                    <w:pStyle w:val="25"/>
                    <w:tabs>
                      <w:tab w:val="left" w:pos="1680"/>
                      <w:tab w:val="left" w:pos="3465"/>
                    </w:tabs>
                    <w:bidi w:val="0"/>
                    <w:rPr>
                      <w:color w:val="auto"/>
                    </w:rPr>
                  </w:pPr>
                  <w:r>
                    <w:rPr>
                      <w:color w:val="auto"/>
                    </w:rPr>
                    <w:t>能源</w:t>
                  </w:r>
                </w:p>
              </w:tc>
              <w:tc>
                <w:tcPr>
                  <w:tcW w:w="420" w:type="pct"/>
                  <w:tcBorders>
                    <w:left w:val="single" w:sz="4" w:space="0" w:color="auto"/>
                  </w:tcBorders>
                  <w:vAlign w:val="center"/>
                </w:tcPr>
                <w:p>
                  <w:pPr>
                    <w:pStyle w:val="25"/>
                    <w:tabs>
                      <w:tab w:val="left" w:pos="1680"/>
                      <w:tab w:val="left" w:pos="3465"/>
                    </w:tabs>
                    <w:bidi w:val="0"/>
                    <w:rPr>
                      <w:color w:val="auto"/>
                    </w:rPr>
                  </w:pPr>
                  <w:r>
                    <w:rPr>
                      <w:color w:val="auto"/>
                    </w:rPr>
                    <w:t>一般</w:t>
                  </w:r>
                </w:p>
                <w:p>
                  <w:pPr>
                    <w:pStyle w:val="25"/>
                    <w:tabs>
                      <w:tab w:val="left" w:pos="1680"/>
                      <w:tab w:val="left" w:pos="3465"/>
                    </w:tabs>
                    <w:bidi w:val="0"/>
                    <w:rPr>
                      <w:color w:val="auto"/>
                    </w:rPr>
                  </w:pPr>
                  <w:r>
                    <w:rPr>
                      <w:color w:val="auto"/>
                    </w:rPr>
                    <w:t>管控区</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color w:val="auto"/>
                    </w:rPr>
                    <w:t>1、强化能源消费约束，严格实施能源消费总量和强度“双控”。从工艺技术、主要用能设备、节能措施等方面切实加强项目单耗先进性审查，新建高能耗项目单位产品（产值）能耗达到国际先进水平，用能设备达到国家一级能效标准。2、以工业、建筑和交通运输领域为重点，深入推进技术节能和管理节能。推进农业和农村节能，强化商用和民用节能，实施公共机构节能。完善节能措施引导完善峰谷电价、阶梯气价等价格政策等。3、控制煤炭消费总量，加快产业结构向高新高端产业转变，推进钢铁、水泥等重点行业去产能。大力实施散煤替代。4、深入推进煤炭清洁高效利用，扩大清洁能源利用。加强煤炭质量监管，严格落实省、市燃煤质量标准，全市禁止生产、销售灰分劣质煤。严厉打击销售使用劣质煤行为。燃煤发电企业使用的煤炭要符合河北省《工业和民用燃料煤》标准。</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项目由</w:t>
                  </w:r>
                  <w:r>
                    <w:rPr>
                      <w:rFonts w:hint="eastAsia"/>
                      <w:color w:val="auto"/>
                      <w:lang w:val="en-US" w:eastAsia="zh-CN"/>
                    </w:rPr>
                    <w:t>园区</w:t>
                  </w:r>
                  <w:r>
                    <w:rPr>
                      <w:color w:val="auto"/>
                    </w:rPr>
                    <w:t>电网供电，</w:t>
                  </w:r>
                  <w:r>
                    <w:rPr>
                      <w:rFonts w:hint="eastAsia"/>
                      <w:color w:val="auto"/>
                      <w:lang w:val="en-US" w:eastAsia="zh-CN"/>
                    </w:rPr>
                    <w:t>蒸汽发生器燃料为天然气，属于清洁能源，不涉及使用煤炭</w:t>
                  </w:r>
                  <w:r>
                    <w:rPr>
                      <w:color w:val="auto"/>
                    </w:rPr>
                    <w:t>。</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Align w:val="center"/>
                </w:tcPr>
                <w:p>
                  <w:pPr>
                    <w:pStyle w:val="25"/>
                    <w:tabs>
                      <w:tab w:val="left" w:pos="1680"/>
                      <w:tab w:val="left" w:pos="3465"/>
                    </w:tabs>
                    <w:bidi w:val="0"/>
                    <w:rPr>
                      <w:color w:val="auto"/>
                    </w:rPr>
                  </w:pPr>
                  <w:r>
                    <w:rPr>
                      <w:color w:val="auto"/>
                    </w:rPr>
                    <w:t>全市产业布局总体管控要求</w:t>
                  </w:r>
                </w:p>
              </w:tc>
              <w:tc>
                <w:tcPr>
                  <w:tcW w:w="604" w:type="pct"/>
                  <w:gridSpan w:val="2"/>
                  <w:tcBorders>
                    <w:left w:val="single" w:sz="4" w:space="0" w:color="auto"/>
                  </w:tcBorders>
                  <w:vAlign w:val="center"/>
                </w:tcPr>
                <w:p>
                  <w:pPr>
                    <w:pStyle w:val="25"/>
                    <w:tabs>
                      <w:tab w:val="left" w:pos="1680"/>
                      <w:tab w:val="left" w:pos="3465"/>
                    </w:tabs>
                    <w:bidi w:val="0"/>
                    <w:rPr>
                      <w:color w:val="auto"/>
                    </w:rPr>
                  </w:pPr>
                  <w:r>
                    <w:rPr>
                      <w:color w:val="auto"/>
                    </w:rPr>
                    <w:t>产业总体布局要求</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color w:val="auto"/>
                    </w:rPr>
                    <w:t>1.严格建设项目环境准入，新、改、扩建项目的环境影响评价应满足区域、规划环评要求。2.新建、改建、扩建用煤项目，应当实行煤炭的等量或者减量替代。3.严格执行国家《产业结构调整指导目录》《市场准入负面清单》以及《</w:t>
                  </w:r>
                  <w:r>
                    <w:rPr>
                      <w:rFonts w:hint="eastAsia"/>
                      <w:color w:val="auto"/>
                      <w:lang w:eastAsia="zh-CN"/>
                    </w:rPr>
                    <w:t>河北省</w:t>
                  </w:r>
                  <w:r>
                    <w:rPr>
                      <w:color w:val="auto"/>
                    </w:rPr>
                    <w:t>新增限制和淘汰类产业目录》中准入要求。4.严格控制《环境保护综合名录》中“高污染、高风险’产品加工项目，城市工业企业退城搬迁改造及产能置换项目除外。5.新建项目一律不得违规占用河库管理范围。6.以石化、化工、涂装、医药、包装印刷、油品储运销等行业领域为重点，安全高效推进挥发性有机物(VOCs)综合治理，实施原辅材料和产品源头替代、无组织排放和末端深度治理等提升改造工程。7.锅炉大气污染物排放控制要求、污染物监测要求、达标判定要求按照河北省地标《锅炉大气污染物排放标准》(DB13/5161-2020)执行。8.禁止在居民区和学校、医院、疗养院、养老院等单位周边新建、改建、扩建有色金属冶炼、石油加工、焦化、化工、电镀、制革等可能造成土壤污染的建设项目。9、在地下水超采区控制高耗水产业发展。10、涉重金属重点行业企业“十四五”期间依法依规至少开展一轮强制性清洁生产审核，到2025年底，涉重金属重点行业企业基本达到国内清洁生产先进水平。11、按照《关于进一步加强塑料污染治理的实施方案》要求，石家庄城市建成区和重点领域禁止、限制部分塑料制品的生产、销售和使用。12、实施制造业绿色改造重点专项，开展制造业绿色发展示范工程，推进生物医药、化工、钢铁等行业工艺技术装备绿色化改造。鼓励企业实施绿色战略、绿色标准、绿色管理和绿色生产，推行“互联网+绿色制造”模式，开发绿色产品，建设绿色工厂，打造绿色供应链，构建绿色制造体系。大力发展节能环保、清洁生产和清洁能源产业。在钢铁、火电、水泥、化工等重点行业</w:t>
                  </w:r>
                  <w:r>
                    <w:rPr>
                      <w:rFonts w:hint="eastAsia"/>
                      <w:color w:val="auto"/>
                      <w:lang w:eastAsia="zh-CN"/>
                    </w:rPr>
                    <w:t>推进</w:t>
                  </w:r>
                  <w:r>
                    <w:rPr>
                      <w:color w:val="auto"/>
                    </w:rPr>
                    <w:t>低碳节能技术改造，探索开展碳捕集、利用与封存试验示范，控制工业领域温室气体排放。加快构建绿色低碳的综合交通运输体系，实施一批绿色公路、绿色机场等示范工程。全面推行清洁生产，推进钢铁、石化、建材、纺织、食品等重点行业强制性清洁生产审核。13、新建、改建、扩建“两高”项目须符合生态环境保护法律法规和相关法定规划，满足重点污染物排放总量控制、碳排放达峰目标、生态环境准入清单、相关规划环评和相应行业建设项目环境准入条件、环评文件审批原则要求。新增主要污染物排放量的“两高”项目，严格落实生态环境部《关于加强重点行业建设项目区域削减措施监督管理的通知要求》，提出有效区域削减方案，主要污染物实行区域倍量削减，规范削减措施来源，强化建设单位、出让减排量排污单位和地方政府责任，确保落实区域削减措施。</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1、项目符合准入要求，满足区域、规划环评要求；</w:t>
                  </w:r>
                </w:p>
                <w:p>
                  <w:pPr>
                    <w:pStyle w:val="25"/>
                    <w:tabs>
                      <w:tab w:val="left" w:pos="1680"/>
                      <w:tab w:val="left" w:pos="3465"/>
                    </w:tabs>
                    <w:bidi w:val="0"/>
                    <w:rPr>
                      <w:color w:val="auto"/>
                    </w:rPr>
                  </w:pPr>
                  <w:r>
                    <w:rPr>
                      <w:color w:val="auto"/>
                    </w:rPr>
                    <w:t>2、不涉及用煤；</w:t>
                  </w:r>
                </w:p>
                <w:p>
                  <w:pPr>
                    <w:pStyle w:val="25"/>
                    <w:tabs>
                      <w:tab w:val="left" w:pos="1680"/>
                      <w:tab w:val="left" w:pos="3465"/>
                    </w:tabs>
                    <w:bidi w:val="0"/>
                    <w:rPr>
                      <w:color w:val="auto"/>
                    </w:rPr>
                  </w:pPr>
                  <w:r>
                    <w:rPr>
                      <w:color w:val="auto"/>
                    </w:rPr>
                    <w:t>3、符合产业政策要求；</w:t>
                  </w:r>
                </w:p>
                <w:p>
                  <w:pPr>
                    <w:pStyle w:val="25"/>
                    <w:tabs>
                      <w:tab w:val="left" w:pos="1680"/>
                      <w:tab w:val="left" w:pos="3465"/>
                    </w:tabs>
                    <w:bidi w:val="0"/>
                    <w:rPr>
                      <w:color w:val="auto"/>
                    </w:rPr>
                  </w:pPr>
                  <w:r>
                    <w:rPr>
                      <w:color w:val="auto"/>
                    </w:rPr>
                    <w:t>4、不涉及；</w:t>
                  </w:r>
                </w:p>
                <w:p>
                  <w:pPr>
                    <w:pStyle w:val="25"/>
                    <w:tabs>
                      <w:tab w:val="left" w:pos="1680"/>
                      <w:tab w:val="left" w:pos="3465"/>
                    </w:tabs>
                    <w:bidi w:val="0"/>
                    <w:rPr>
                      <w:color w:val="auto"/>
                    </w:rPr>
                  </w:pPr>
                  <w:r>
                    <w:rPr>
                      <w:color w:val="auto"/>
                    </w:rPr>
                    <w:t>5、不涉及；</w:t>
                  </w:r>
                </w:p>
                <w:p>
                  <w:pPr>
                    <w:pStyle w:val="25"/>
                    <w:tabs>
                      <w:tab w:val="left" w:pos="1680"/>
                      <w:tab w:val="left" w:pos="3465"/>
                    </w:tabs>
                    <w:bidi w:val="0"/>
                    <w:rPr>
                      <w:color w:val="auto"/>
                    </w:rPr>
                  </w:pPr>
                  <w:r>
                    <w:rPr>
                      <w:color w:val="auto"/>
                    </w:rPr>
                    <w:t>6、</w:t>
                  </w:r>
                  <w:r>
                    <w:rPr>
                      <w:rFonts w:hint="eastAsia"/>
                      <w:color w:val="auto"/>
                      <w:lang w:val="en-US" w:eastAsia="zh-CN"/>
                    </w:rPr>
                    <w:t>不属于石化、化工、涂装、医药、包装印刷、油品储运销等行业</w:t>
                  </w:r>
                  <w:r>
                    <w:rPr>
                      <w:color w:val="auto"/>
                    </w:rPr>
                    <w:t>；</w:t>
                  </w:r>
                </w:p>
                <w:p>
                  <w:pPr>
                    <w:pStyle w:val="25"/>
                    <w:tabs>
                      <w:tab w:val="left" w:pos="1680"/>
                      <w:tab w:val="left" w:pos="3465"/>
                    </w:tabs>
                    <w:bidi w:val="0"/>
                    <w:rPr>
                      <w:color w:val="auto"/>
                    </w:rPr>
                  </w:pPr>
                  <w:r>
                    <w:rPr>
                      <w:color w:val="auto"/>
                    </w:rPr>
                    <w:t>7、</w:t>
                  </w:r>
                  <w:r>
                    <w:rPr>
                      <w:rFonts w:hint="eastAsia"/>
                      <w:color w:val="auto"/>
                      <w:lang w:val="en-US" w:eastAsia="zh-CN"/>
                    </w:rPr>
                    <w:t>蒸汽发生器烟气排放满足《锅炉大气污染物排放标准》(DB13/5161-2020)限值要求</w:t>
                  </w:r>
                  <w:r>
                    <w:rPr>
                      <w:color w:val="auto"/>
                    </w:rPr>
                    <w:t>；</w:t>
                  </w:r>
                </w:p>
                <w:p>
                  <w:pPr>
                    <w:pStyle w:val="25"/>
                    <w:tabs>
                      <w:tab w:val="left" w:pos="1680"/>
                      <w:tab w:val="left" w:pos="3465"/>
                    </w:tabs>
                    <w:bidi w:val="0"/>
                    <w:rPr>
                      <w:color w:val="auto"/>
                    </w:rPr>
                  </w:pPr>
                  <w:r>
                    <w:rPr>
                      <w:color w:val="auto"/>
                    </w:rPr>
                    <w:t>8、项目</w:t>
                  </w:r>
                  <w:r>
                    <w:rPr>
                      <w:rFonts w:hint="eastAsia"/>
                      <w:color w:val="auto"/>
                      <w:lang w:val="en-US" w:eastAsia="zh-CN"/>
                    </w:rPr>
                    <w:t>周边无居民区和学校、医院、疗养院、养老院等单位</w:t>
                  </w:r>
                  <w:r>
                    <w:rPr>
                      <w:color w:val="auto"/>
                    </w:rPr>
                    <w:t>；</w:t>
                  </w:r>
                </w:p>
                <w:p>
                  <w:pPr>
                    <w:pStyle w:val="25"/>
                    <w:tabs>
                      <w:tab w:val="left" w:pos="1680"/>
                      <w:tab w:val="left" w:pos="3465"/>
                    </w:tabs>
                    <w:bidi w:val="0"/>
                    <w:rPr>
                      <w:color w:val="auto"/>
                    </w:rPr>
                  </w:pPr>
                  <w:r>
                    <w:rPr>
                      <w:color w:val="auto"/>
                    </w:rPr>
                    <w:t>9、不属于高耗水项目；</w:t>
                  </w:r>
                </w:p>
                <w:p>
                  <w:pPr>
                    <w:pStyle w:val="25"/>
                    <w:tabs>
                      <w:tab w:val="left" w:pos="1680"/>
                      <w:tab w:val="left" w:pos="3465"/>
                    </w:tabs>
                    <w:bidi w:val="0"/>
                    <w:rPr>
                      <w:color w:val="auto"/>
                    </w:rPr>
                  </w:pPr>
                  <w:r>
                    <w:rPr>
                      <w:color w:val="auto"/>
                    </w:rPr>
                    <w:t>10、不涉及；</w:t>
                  </w:r>
                </w:p>
                <w:p>
                  <w:pPr>
                    <w:pStyle w:val="25"/>
                    <w:tabs>
                      <w:tab w:val="left" w:pos="1680"/>
                      <w:tab w:val="left" w:pos="3465"/>
                    </w:tabs>
                    <w:bidi w:val="0"/>
                    <w:rPr>
                      <w:color w:val="auto"/>
                    </w:rPr>
                  </w:pPr>
                  <w:r>
                    <w:rPr>
                      <w:color w:val="auto"/>
                    </w:rPr>
                    <w:t>11、不涉及；</w:t>
                  </w:r>
                </w:p>
                <w:p>
                  <w:pPr>
                    <w:pStyle w:val="25"/>
                    <w:tabs>
                      <w:tab w:val="left" w:pos="1680"/>
                      <w:tab w:val="left" w:pos="3465"/>
                    </w:tabs>
                    <w:bidi w:val="0"/>
                    <w:rPr>
                      <w:color w:val="auto"/>
                    </w:rPr>
                  </w:pPr>
                  <w:r>
                    <w:rPr>
                      <w:color w:val="auto"/>
                    </w:rPr>
                    <w:t>12、项目采用清洁能源；</w:t>
                  </w:r>
                </w:p>
                <w:p>
                  <w:pPr>
                    <w:pStyle w:val="25"/>
                    <w:tabs>
                      <w:tab w:val="left" w:pos="1680"/>
                      <w:tab w:val="left" w:pos="3465"/>
                    </w:tabs>
                    <w:bidi w:val="0"/>
                    <w:rPr>
                      <w:color w:val="auto"/>
                    </w:rPr>
                  </w:pPr>
                  <w:r>
                    <w:rPr>
                      <w:color w:val="auto"/>
                    </w:rPr>
                    <w:t>13、不属于“两高”项目；</w:t>
                  </w:r>
                </w:p>
                <w:p>
                  <w:pPr>
                    <w:pStyle w:val="25"/>
                    <w:tabs>
                      <w:tab w:val="left" w:pos="1680"/>
                      <w:tab w:val="left" w:pos="3465"/>
                    </w:tabs>
                    <w:bidi w:val="0"/>
                    <w:rPr>
                      <w:color w:val="auto"/>
                    </w:rPr>
                  </w:pPr>
                  <w:r>
                    <w:rPr>
                      <w:color w:val="auto"/>
                    </w:rPr>
                    <w:t>14、项目位于园区内，园区已开展规划环评。</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restart"/>
                  <w:vAlign w:val="center"/>
                </w:tcPr>
                <w:p>
                  <w:pPr>
                    <w:pStyle w:val="25"/>
                    <w:tabs>
                      <w:tab w:val="left" w:pos="1680"/>
                      <w:tab w:val="left" w:pos="3465"/>
                    </w:tabs>
                    <w:bidi w:val="0"/>
                    <w:rPr>
                      <w:color w:val="auto"/>
                    </w:rPr>
                  </w:pPr>
                  <w:r>
                    <w:rPr>
                      <w:color w:val="auto"/>
                    </w:rPr>
                    <w:t>重点管控单元（ZH13011120066）</w:t>
                  </w:r>
                </w:p>
              </w:tc>
              <w:tc>
                <w:tcPr>
                  <w:tcW w:w="604" w:type="pct"/>
                  <w:gridSpan w:val="2"/>
                  <w:tcBorders>
                    <w:left w:val="single" w:sz="4" w:space="0" w:color="auto"/>
                  </w:tcBorders>
                  <w:vAlign w:val="center"/>
                </w:tcPr>
                <w:p>
                  <w:pPr>
                    <w:pStyle w:val="25"/>
                    <w:tabs>
                      <w:tab w:val="left" w:pos="1680"/>
                      <w:tab w:val="left" w:pos="3465"/>
                    </w:tabs>
                    <w:bidi w:val="0"/>
                    <w:rPr>
                      <w:color w:val="auto"/>
                    </w:rPr>
                  </w:pPr>
                  <w:r>
                    <w:rPr>
                      <w:color w:val="auto"/>
                    </w:rPr>
                    <w:t>空间</w:t>
                  </w:r>
                </w:p>
                <w:p>
                  <w:pPr>
                    <w:pStyle w:val="25"/>
                    <w:tabs>
                      <w:tab w:val="left" w:pos="1680"/>
                      <w:tab w:val="left" w:pos="3465"/>
                    </w:tabs>
                    <w:bidi w:val="0"/>
                    <w:rPr>
                      <w:color w:val="auto"/>
                    </w:rPr>
                  </w:pPr>
                  <w:r>
                    <w:rPr>
                      <w:color w:val="auto"/>
                    </w:rPr>
                    <w:t>布局</w:t>
                  </w:r>
                </w:p>
                <w:p>
                  <w:pPr>
                    <w:pStyle w:val="25"/>
                    <w:tabs>
                      <w:tab w:val="left" w:pos="1680"/>
                      <w:tab w:val="left" w:pos="3465"/>
                    </w:tabs>
                    <w:bidi w:val="0"/>
                    <w:rPr>
                      <w:color w:val="auto"/>
                    </w:rPr>
                  </w:pPr>
                  <w:r>
                    <w:rPr>
                      <w:color w:val="auto"/>
                    </w:rPr>
                    <w:t>约束</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color w:val="auto"/>
                    </w:rPr>
                    <w:t>1、严格落实国家、河北省以及石家庄市最新产业目录准入要求。2、严格落实最新规划环评及其批复文件制定的环境准入要求。</w:t>
                  </w:r>
                </w:p>
              </w:tc>
              <w:tc>
                <w:tcPr>
                  <w:tcW w:w="1409" w:type="pct"/>
                  <w:tcBorders>
                    <w:left w:val="single" w:sz="4" w:space="0" w:color="auto"/>
                  </w:tcBorders>
                  <w:vAlign w:val="center"/>
                </w:tcPr>
                <w:p>
                  <w:pPr>
                    <w:pStyle w:val="25"/>
                    <w:tabs>
                      <w:tab w:val="left" w:pos="1680"/>
                      <w:tab w:val="left" w:pos="3465"/>
                    </w:tabs>
                    <w:bidi w:val="0"/>
                    <w:rPr>
                      <w:color w:val="auto"/>
                    </w:rPr>
                  </w:pPr>
                  <w:r>
                    <w:rPr>
                      <w:color w:val="auto"/>
                    </w:rPr>
                    <w:t>符合国家、地方产业政策</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604" w:type="pct"/>
                  <w:gridSpan w:val="2"/>
                  <w:tcBorders>
                    <w:left w:val="single" w:sz="4" w:space="0" w:color="auto"/>
                  </w:tcBorders>
                  <w:vAlign w:val="center"/>
                </w:tcPr>
                <w:p>
                  <w:pPr>
                    <w:pStyle w:val="25"/>
                    <w:tabs>
                      <w:tab w:val="left" w:pos="1680"/>
                      <w:tab w:val="left" w:pos="3465"/>
                    </w:tabs>
                    <w:bidi w:val="0"/>
                    <w:rPr>
                      <w:color w:val="auto"/>
                    </w:rPr>
                  </w:pPr>
                  <w:r>
                    <w:rPr>
                      <w:color w:val="auto"/>
                    </w:rPr>
                    <w:t>污染物排放管控</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rFonts w:hint="eastAsia"/>
                      <w:color w:val="auto"/>
                      <w:lang w:val="en-US" w:eastAsia="zh-CN"/>
                    </w:rPr>
                    <w:t>1、</w:t>
                  </w:r>
                  <w:r>
                    <w:rPr>
                      <w:color w:val="auto"/>
                    </w:rPr>
                    <w:t>落实《关于加强重点行业建设项目区域削减措施监督管理的通知》环办环评〔2020〕36号的要求。</w:t>
                  </w:r>
                </w:p>
                <w:p>
                  <w:pPr>
                    <w:pStyle w:val="25"/>
                    <w:tabs>
                      <w:tab w:val="left" w:pos="1680"/>
                      <w:tab w:val="left" w:pos="3465"/>
                    </w:tabs>
                    <w:bidi w:val="0"/>
                    <w:rPr>
                      <w:color w:val="auto"/>
                    </w:rPr>
                  </w:pPr>
                  <w:r>
                    <w:rPr>
                      <w:color w:val="auto"/>
                    </w:rPr>
                    <w:t>2、加快配套管网建设。新(改、扩)建向环境水体直接排放污水的排污单位执行《子牙河流域水污染物排放标准》(DB13/2796-2018)排放限值。</w:t>
                  </w:r>
                </w:p>
                <w:p>
                  <w:pPr>
                    <w:pStyle w:val="25"/>
                    <w:tabs>
                      <w:tab w:val="left" w:pos="1680"/>
                      <w:tab w:val="left" w:pos="3465"/>
                    </w:tabs>
                    <w:bidi w:val="0"/>
                    <w:rPr>
                      <w:color w:val="auto"/>
                    </w:rPr>
                  </w:pPr>
                  <w:r>
                    <w:rPr>
                      <w:color w:val="auto"/>
                    </w:rPr>
                    <w:t>3、提高生产生活废水收集处理率。</w:t>
                  </w:r>
                </w:p>
              </w:tc>
              <w:tc>
                <w:tcPr>
                  <w:tcW w:w="1409" w:type="pct"/>
                  <w:tcBorders>
                    <w:left w:val="single" w:sz="4" w:space="0" w:color="auto"/>
                  </w:tcBorders>
                  <w:vAlign w:val="center"/>
                </w:tcPr>
                <w:p>
                  <w:pPr>
                    <w:pStyle w:val="25"/>
                    <w:tabs>
                      <w:tab w:val="left" w:pos="1680"/>
                      <w:tab w:val="left" w:pos="3465"/>
                    </w:tabs>
                    <w:bidi w:val="0"/>
                    <w:rPr>
                      <w:color w:val="auto"/>
                    </w:rPr>
                  </w:pPr>
                  <w:r>
                    <w:rPr>
                      <w:rFonts w:hint="eastAsia"/>
                      <w:color w:val="auto"/>
                      <w:lang w:val="en-US" w:eastAsia="zh-CN"/>
                    </w:rPr>
                    <w:t>全厂废水经厂区污水处理站处理后经市政管网排入德威华泰石家庄市栾城水务有限公司</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335" w:type="pct"/>
                  <w:vMerge/>
                  <w:vAlign w:val="center"/>
                </w:tcPr>
                <w:p/>
              </w:tc>
              <w:tc>
                <w:tcPr>
                  <w:tcW w:w="604" w:type="pct"/>
                  <w:gridSpan w:val="2"/>
                  <w:tcBorders>
                    <w:left w:val="single" w:sz="4" w:space="0" w:color="auto"/>
                  </w:tcBorders>
                  <w:vAlign w:val="center"/>
                </w:tcPr>
                <w:p>
                  <w:pPr>
                    <w:pStyle w:val="25"/>
                    <w:tabs>
                      <w:tab w:val="left" w:pos="1680"/>
                      <w:tab w:val="left" w:pos="3465"/>
                    </w:tabs>
                    <w:bidi w:val="0"/>
                    <w:rPr>
                      <w:color w:val="auto"/>
                    </w:rPr>
                  </w:pPr>
                  <w:r>
                    <w:rPr>
                      <w:color w:val="auto"/>
                    </w:rPr>
                    <w:t>环境风险防控</w:t>
                  </w:r>
                </w:p>
              </w:tc>
              <w:tc>
                <w:tcPr>
                  <w:tcW w:w="1489" w:type="pct"/>
                  <w:gridSpan w:val="2"/>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w:t>
                  </w:r>
                </w:p>
              </w:tc>
              <w:tc>
                <w:tcPr>
                  <w:tcW w:w="1409" w:type="pct"/>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w:t>
                  </w:r>
                </w:p>
              </w:tc>
              <w:tc>
                <w:tcPr>
                  <w:tcW w:w="161" w:type="pct"/>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w:t>
                  </w:r>
                </w:p>
              </w:tc>
            </w:tr>
            <w:tr>
              <w:trPr>
                <w:trHeight w:val="23"/>
              </w:trPr>
              <w:tc>
                <w:tcPr>
                  <w:tcW w:w="1335" w:type="pct"/>
                  <w:vMerge/>
                  <w:vAlign w:val="center"/>
                </w:tcPr>
                <w:p/>
              </w:tc>
              <w:tc>
                <w:tcPr>
                  <w:tcW w:w="604" w:type="pct"/>
                  <w:gridSpan w:val="2"/>
                  <w:tcBorders>
                    <w:left w:val="single" w:sz="4" w:space="0" w:color="auto"/>
                  </w:tcBorders>
                  <w:vAlign w:val="center"/>
                </w:tcPr>
                <w:p>
                  <w:pPr>
                    <w:pStyle w:val="25"/>
                    <w:tabs>
                      <w:tab w:val="left" w:pos="1680"/>
                      <w:tab w:val="left" w:pos="3465"/>
                    </w:tabs>
                    <w:bidi w:val="0"/>
                    <w:rPr>
                      <w:color w:val="auto"/>
                    </w:rPr>
                  </w:pPr>
                  <w:r>
                    <w:rPr>
                      <w:color w:val="auto"/>
                    </w:rPr>
                    <w:t>资源利用效率</w:t>
                  </w:r>
                </w:p>
              </w:tc>
              <w:tc>
                <w:tcPr>
                  <w:tcW w:w="1489" w:type="pct"/>
                  <w:gridSpan w:val="2"/>
                  <w:tcBorders>
                    <w:left w:val="single" w:sz="4" w:space="0" w:color="auto"/>
                  </w:tcBorders>
                  <w:vAlign w:val="center"/>
                </w:tcPr>
                <w:p>
                  <w:pPr>
                    <w:pStyle w:val="25"/>
                    <w:tabs>
                      <w:tab w:val="left" w:pos="1680"/>
                      <w:tab w:val="left" w:pos="3465"/>
                    </w:tabs>
                    <w:bidi w:val="0"/>
                    <w:rPr>
                      <w:color w:val="auto"/>
                    </w:rPr>
                  </w:pPr>
                  <w:r>
                    <w:rPr>
                      <w:color w:val="auto"/>
                    </w:rPr>
                    <w:t>1、严格执行石家庄市禁燃区相关要求。</w:t>
                  </w:r>
                </w:p>
                <w:p>
                  <w:pPr>
                    <w:pStyle w:val="25"/>
                    <w:tabs>
                      <w:tab w:val="left" w:pos="1680"/>
                      <w:tab w:val="left" w:pos="3465"/>
                    </w:tabs>
                    <w:bidi w:val="0"/>
                    <w:rPr>
                      <w:color w:val="auto"/>
                    </w:rPr>
                  </w:pPr>
                  <w:r>
                    <w:rPr>
                      <w:color w:val="auto"/>
                    </w:rPr>
                    <w:t>2、提高区域中水使用比例。 3、鼓励锅炉进行余热利用。 4、新建项目清洁生产应达到国内同行业先进水平。</w:t>
                  </w:r>
                </w:p>
              </w:tc>
              <w:tc>
                <w:tcPr>
                  <w:tcW w:w="1409" w:type="pct"/>
                  <w:tcBorders>
                    <w:left w:val="single" w:sz="4" w:space="0" w:color="auto"/>
                  </w:tcBorders>
                  <w:vAlign w:val="center"/>
                </w:tcPr>
                <w:p>
                  <w:pPr>
                    <w:pStyle w:val="25"/>
                    <w:tabs>
                      <w:tab w:val="left" w:pos="1680"/>
                      <w:tab w:val="left" w:pos="3465"/>
                    </w:tabs>
                    <w:bidi w:val="0"/>
                    <w:rPr>
                      <w:rFonts w:eastAsia="宋体" w:hint="eastAsia"/>
                      <w:color w:val="auto"/>
                      <w:lang w:val="en-US" w:eastAsia="zh-CN"/>
                    </w:rPr>
                  </w:pPr>
                  <w:r>
                    <w:rPr>
                      <w:rFonts w:hint="eastAsia"/>
                      <w:color w:val="auto"/>
                      <w:lang w:val="en-US" w:eastAsia="zh-CN"/>
                    </w:rPr>
                    <w:t>本项目用水由园区管网提供，本项目为饮料制造业，暂无</w:t>
                  </w:r>
                  <w:r>
                    <w:rPr>
                      <w:color w:val="auto"/>
                    </w:rPr>
                    <w:t>清洁生产</w:t>
                  </w:r>
                  <w:r>
                    <w:rPr>
                      <w:rFonts w:hint="eastAsia"/>
                      <w:color w:val="auto"/>
                      <w:lang w:val="en-US" w:eastAsia="zh-CN"/>
                    </w:rPr>
                    <w:t>指标。</w:t>
                  </w:r>
                </w:p>
              </w:tc>
              <w:tc>
                <w:tcPr>
                  <w:tcW w:w="161" w:type="pct"/>
                  <w:tcBorders>
                    <w:left w:val="single" w:sz="4" w:space="0" w:color="auto"/>
                  </w:tcBorders>
                  <w:vAlign w:val="center"/>
                </w:tcPr>
                <w:p>
                  <w:pPr>
                    <w:pStyle w:val="25"/>
                    <w:tabs>
                      <w:tab w:val="left" w:pos="1680"/>
                      <w:tab w:val="left" w:pos="3465"/>
                    </w:tabs>
                    <w:bidi w:val="0"/>
                    <w:rPr>
                      <w:color w:val="auto"/>
                    </w:rPr>
                  </w:pPr>
                  <w:r>
                    <w:rPr>
                      <w:color w:val="auto"/>
                    </w:rPr>
                    <w:t>符合</w:t>
                  </w:r>
                </w:p>
              </w:tc>
            </w:tr>
            <w:tr>
              <w:trPr>
                <w:trHeight w:val="23"/>
              </w:trPr>
              <w:tc>
                <w:tcPr>
                  <w:tcW w:w="1939" w:type="pct"/>
                  <w:gridSpan w:val="3"/>
                  <w:vMerge w:val="restart"/>
                  <w:vAlign w:val="center"/>
                </w:tcPr>
                <w:p>
                  <w:pPr>
                    <w:pStyle w:val="25"/>
                    <w:tabs>
                      <w:tab w:val="left" w:pos="1680"/>
                      <w:tab w:val="left" w:pos="3465"/>
                    </w:tabs>
                    <w:bidi w:val="0"/>
                    <w:rPr>
                      <w:color w:val="auto"/>
                    </w:rPr>
                  </w:pPr>
                  <w:r>
                    <w:rPr>
                      <w:color w:val="auto"/>
                    </w:rPr>
                    <w:t>关于加强生态环境分区管控的实施意见</w:t>
                  </w:r>
                  <w:r>
                    <w:rPr>
                      <w:rFonts w:hint="eastAsia"/>
                      <w:color w:val="auto"/>
                      <w:lang w:eastAsia="zh-CN"/>
                    </w:rPr>
                    <w:t>（</w:t>
                  </w:r>
                  <w:r>
                    <w:rPr>
                      <w:rFonts w:hint="eastAsia"/>
                      <w:color w:val="auto"/>
                      <w:lang w:val="en-US" w:eastAsia="zh-CN"/>
                    </w:rPr>
                    <w:t>2024.10.29</w:t>
                  </w:r>
                  <w:r>
                    <w:rPr>
                      <w:rFonts w:hint="eastAsia"/>
                      <w:color w:val="auto"/>
                      <w:lang w:eastAsia="zh-CN"/>
                    </w:rPr>
                    <w:t>）</w:t>
                  </w:r>
                </w:p>
              </w:tc>
              <w:tc>
                <w:tcPr>
                  <w:tcW w:w="1489" w:type="pct"/>
                  <w:gridSpan w:val="2"/>
                  <w:tcBorders>
                    <w:left w:val="single" w:sz="4" w:space="0" w:color="auto"/>
                  </w:tcBorders>
                  <w:shd w:val="clear" w:color="auto" w:fill="auto"/>
                  <w:vAlign w:val="center"/>
                </w:tcPr>
                <w:p>
                  <w:pPr>
                    <w:pStyle w:val="23"/>
                    <w:ind w:firstLine="0"/>
                    <w:jc w:val="both"/>
                    <w:rPr>
                      <w:rFonts w:ascii="Times New Roman" w:eastAsia="宋体" w:cs="Times New Roman" w:hAnsi="Times New Roman" w:hint="eastAsia"/>
                      <w:color w:val="auto"/>
                      <w:kern w:val="0"/>
                      <w:sz w:val="21"/>
                      <w:szCs w:val="24"/>
                      <w:lang w:val="en-US" w:eastAsia="zh-CN" w:bidi="ar-SA"/>
                      <w:highlight w:val="none"/>
                    </w:rPr>
                  </w:pPr>
                  <w:r>
                    <w:rPr>
                      <w:rFonts w:hint="eastAsia"/>
                      <w:color w:val="auto"/>
                      <w:highlight w:val="none"/>
                    </w:rPr>
                    <w:t>推动绿色低碳发展。强化生态环境分区管控措施，推动产业结构深度优化调整，引导重点行业科学布局和有序发展，落实国家高耗能、高排放、低水平项目管理有关制度和政策要求。在生态环境优先保护单元，争取国家生态产品价值实现机制试点，鼓励探索生态产品价值实现模式和路径，提升生态碳汇能力。在生态环境重点管控单元，推进钢铁、焦化、石化、建材等传统产业绿色低碳转型升级和清洁生产改造，推动重点行业环保绩效创A。强化生态环境准入清单引导作用，鼓励传统产业“退城入园”，实施制造业重大技术改造升级和大规模设备更新，加强简易低效污染治理设施整治，支持信息智能、生物制药、新材料、新能源汽车、高端装备制造等战略性新兴产业发展，支持风电、光伏、氢能、新型储能等清洁能源装备产业在张家口、承德以及沿海地区集群化发展，支持优化海洋产业空间布局，加快建设沿海经济崛起带。</w:t>
                  </w:r>
                </w:p>
              </w:tc>
              <w:tc>
                <w:tcPr>
                  <w:tcW w:w="1409" w:type="pct"/>
                  <w:tcBorders>
                    <w:left w:val="single" w:sz="4" w:space="0" w:color="auto"/>
                  </w:tcBorders>
                  <w:shd w:val="clear" w:color="auto" w:fill="auto"/>
                  <w:vAlign w:val="center"/>
                </w:tcPr>
                <w:p>
                  <w:pPr>
                    <w:pStyle w:val="23"/>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highlight w:val="none"/>
                    </w:rPr>
                    <w:t>本项目</w:t>
                  </w:r>
                  <w:r>
                    <w:rPr>
                      <w:rFonts w:hint="eastAsia"/>
                      <w:color w:val="auto"/>
                      <w:lang w:val="en-US" w:eastAsia="zh-CN"/>
                      <w:highlight w:val="none"/>
                    </w:rPr>
                    <w:t>不属于《环境保护综合名录（2021年版）》中所列的“高污染、高环境风险”项目，</w:t>
                  </w:r>
                  <w:r>
                    <w:rPr>
                      <w:rFonts w:hint="eastAsia"/>
                      <w:color w:val="auto"/>
                      <w:highlight w:val="none"/>
                    </w:rPr>
                    <w:t>消耗能源为电</w:t>
                  </w:r>
                  <w:r>
                    <w:rPr>
                      <w:rFonts w:hint="eastAsia"/>
                      <w:color w:val="auto"/>
                      <w:lang w:eastAsia="zh-CN"/>
                      <w:highlight w:val="none"/>
                    </w:rPr>
                    <w:t>、</w:t>
                  </w:r>
                  <w:r>
                    <w:rPr>
                      <w:rFonts w:hint="eastAsia"/>
                      <w:color w:val="auto"/>
                      <w:lang w:val="en-US" w:eastAsia="zh-CN"/>
                      <w:highlight w:val="none"/>
                    </w:rPr>
                    <w:t>天然气</w:t>
                  </w:r>
                  <w:r>
                    <w:rPr>
                      <w:rFonts w:hint="eastAsia"/>
                      <w:color w:val="auto"/>
                      <w:highlight w:val="none"/>
                    </w:rPr>
                    <w:t>，用电</w:t>
                  </w:r>
                  <w:r>
                    <w:rPr>
                      <w:rFonts w:hint="eastAsia"/>
                      <w:color w:val="auto"/>
                      <w:lang w:eastAsia="zh-CN"/>
                      <w:highlight w:val="none"/>
                    </w:rPr>
                    <w:t>、</w:t>
                  </w:r>
                  <w:r>
                    <w:rPr>
                      <w:rFonts w:hint="eastAsia"/>
                      <w:color w:val="auto"/>
                      <w:lang w:val="en-US" w:eastAsia="zh-CN"/>
                      <w:highlight w:val="none"/>
                    </w:rPr>
                    <w:t>用气</w:t>
                  </w:r>
                  <w:r>
                    <w:rPr>
                      <w:rFonts w:hint="eastAsia"/>
                      <w:color w:val="auto"/>
                      <w:highlight w:val="none"/>
                    </w:rPr>
                    <w:t>依托</w:t>
                  </w:r>
                  <w:r>
                    <w:rPr>
                      <w:rFonts w:hint="eastAsia"/>
                      <w:color w:val="auto"/>
                      <w:lang w:val="en-US" w:eastAsia="zh-CN"/>
                      <w:highlight w:val="none"/>
                    </w:rPr>
                    <w:t>园区管网</w:t>
                  </w:r>
                  <w:r>
                    <w:rPr>
                      <w:rFonts w:hint="eastAsia"/>
                      <w:color w:val="auto"/>
                      <w:highlight w:val="none"/>
                    </w:rPr>
                    <w:t>，</w:t>
                  </w:r>
                  <w:r>
                    <w:rPr>
                      <w:rFonts w:hint="eastAsia"/>
                      <w:color w:val="auto"/>
                      <w:lang w:val="en-US" w:eastAsia="zh-CN"/>
                      <w:highlight w:val="none"/>
                    </w:rPr>
                    <w:t>所用燃料为天然气，属于清洁能源</w:t>
                  </w:r>
                  <w:r>
                    <w:rPr>
                      <w:rFonts w:hint="eastAsia"/>
                      <w:color w:val="auto"/>
                      <w:highlight w:val="none"/>
                    </w:rPr>
                    <w:t>。</w:t>
                  </w:r>
                </w:p>
              </w:tc>
              <w:tc>
                <w:tcPr>
                  <w:tcW w:w="161" w:type="pct"/>
                  <w:tcBorders>
                    <w:left w:val="single" w:sz="4" w:space="0" w:color="auto"/>
                  </w:tcBorders>
                  <w:vAlign w:val="center"/>
                </w:tcPr>
                <w:p>
                  <w:pPr>
                    <w:pStyle w:val="25"/>
                    <w:tabs>
                      <w:tab w:val="left" w:pos="1680"/>
                      <w:tab w:val="left" w:pos="3465"/>
                    </w:tabs>
                    <w:bidi w:val="0"/>
                    <w:rPr>
                      <w:rFonts w:eastAsia="宋体" w:hint="eastAsia"/>
                      <w:color w:val="auto"/>
                      <w:lang w:val="en-US" w:eastAsia="zh-CN"/>
                    </w:rPr>
                  </w:pPr>
                  <w:r>
                    <w:rPr>
                      <w:rFonts w:hint="eastAsia"/>
                      <w:color w:val="auto"/>
                      <w:lang w:val="en-US" w:eastAsia="zh-CN"/>
                    </w:rPr>
                    <w:t>符合</w:t>
                  </w:r>
                </w:p>
              </w:tc>
            </w:tr>
            <w:tr>
              <w:trPr>
                <w:trHeight w:val="23"/>
              </w:trPr>
              <w:tc>
                <w:tcPr>
                  <w:tcW w:w="1939" w:type="pct"/>
                  <w:gridSpan w:val="3"/>
                  <w:vMerge/>
                  <w:vAlign w:val="center"/>
                </w:tcPr>
                <w:p/>
              </w:tc>
              <w:tc>
                <w:tcPr>
                  <w:tcW w:w="1489" w:type="pct"/>
                  <w:gridSpan w:val="2"/>
                  <w:tcBorders>
                    <w:left w:val="single" w:sz="4" w:space="0" w:color="auto"/>
                  </w:tcBorders>
                  <w:shd w:val="clear" w:color="auto" w:fill="auto"/>
                  <w:vAlign w:val="center"/>
                </w:tcPr>
                <w:p>
                  <w:pPr>
                    <w:pStyle w:val="23"/>
                    <w:ind w:firstLine="0"/>
                    <w:jc w:val="both"/>
                    <w:rPr>
                      <w:rFonts w:ascii="Times New Roman" w:eastAsia="宋体" w:cs="Times New Roman" w:hAnsi="Times New Roman" w:hint="eastAsia"/>
                      <w:color w:val="auto"/>
                      <w:kern w:val="0"/>
                      <w:sz w:val="21"/>
                      <w:szCs w:val="24"/>
                      <w:lang w:val="en-US" w:eastAsia="zh-CN" w:bidi="ar-SA"/>
                      <w:highlight w:val="none"/>
                    </w:rPr>
                  </w:pPr>
                  <w:r>
                    <w:rPr>
                      <w:rFonts w:hint="eastAsia"/>
                      <w:color w:val="auto"/>
                      <w:highlight w:val="none"/>
                    </w:rPr>
                    <w:t>指导开发建设活动。充分发挥生态环境分区管控在源头预防体系中的基础作用，国土空间规划环评、产业园区规划环评等应衔接落实生态环境分区管控要求，建设项目环评要加强与生态环境分区管控成果的符合性分析。推动生态环境分区管控与规划环评、项目环评及排污许可等管理制度联动，优化管理流程和审批程序。强化生态环境分区管控对企业投资的引导作用，为项目环境准入提供研判服务。在保证生态系统多样性、稳定性、持续性的前提下，支持国家重大战略、重大基础设施、民生保障等项目建设。</w:t>
                  </w:r>
                </w:p>
              </w:tc>
              <w:tc>
                <w:tcPr>
                  <w:tcW w:w="1409" w:type="pct"/>
                  <w:tcBorders>
                    <w:left w:val="single" w:sz="4" w:space="0" w:color="auto"/>
                  </w:tcBorders>
                  <w:shd w:val="clear" w:color="auto" w:fill="auto"/>
                  <w:vAlign w:val="center"/>
                </w:tcPr>
                <w:p>
                  <w:pPr>
                    <w:pStyle w:val="23"/>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本项目位于河北省石家庄市栾城区栾城镇环城南路11号，对照园区产业布局图（见附图6），项目位于食品和医药产业园区，本项目是饮料制造业，符合园区规划</w:t>
                  </w:r>
                </w:p>
              </w:tc>
              <w:tc>
                <w:tcPr>
                  <w:tcW w:w="161" w:type="pct"/>
                  <w:tcBorders>
                    <w:left w:val="single" w:sz="4" w:space="0" w:color="auto"/>
                  </w:tcBorders>
                  <w:vAlign w:val="center"/>
                </w:tcPr>
                <w:p>
                  <w:pPr>
                    <w:pStyle w:val="25"/>
                    <w:tabs>
                      <w:tab w:val="left" w:pos="1680"/>
                      <w:tab w:val="left" w:pos="3465"/>
                    </w:tabs>
                    <w:bidi w:val="0"/>
                    <w:rPr>
                      <w:color w:val="auto"/>
                    </w:rPr>
                  </w:pPr>
                </w:p>
              </w:tc>
            </w:tr>
          </w:tbl>
          <w:p>
            <w:pPr>
              <w:spacing w:line="360" w:lineRule="auto"/>
              <w:ind w:firstLineChars="200" w:firstLine="480"/>
              <w:rPr>
                <w:color w:val="auto"/>
                <w:sz w:val="24"/>
              </w:rPr>
            </w:pPr>
            <w:r>
              <w:rPr>
                <w:color w:val="auto"/>
                <w:sz w:val="24"/>
              </w:rPr>
              <w:t>综合以上分析可知，本项目符合</w:t>
            </w:r>
            <w:r>
              <w:rPr>
                <w:rFonts w:hint="eastAsia"/>
                <w:color w:val="auto"/>
                <w:sz w:val="24"/>
                <w:lang w:eastAsia="zh-CN"/>
              </w:rPr>
              <w:t>《</w:t>
            </w:r>
            <w:r>
              <w:rPr>
                <w:color w:val="auto"/>
                <w:sz w:val="24"/>
                <w:lang w:val="en-US" w:eastAsia="zh-CN"/>
              </w:rPr>
              <w:t>石家庄市“三线一单”生态环境准入清单</w:t>
            </w:r>
            <w:r>
              <w:rPr>
                <w:rFonts w:hint="eastAsia"/>
                <w:color w:val="auto"/>
                <w:sz w:val="24"/>
                <w:lang w:eastAsia="zh-CN"/>
              </w:rPr>
              <w:t>（</w:t>
            </w:r>
            <w:r>
              <w:rPr>
                <w:rFonts w:hint="eastAsia"/>
                <w:color w:val="auto"/>
                <w:sz w:val="24"/>
                <w:lang w:val="en-US" w:eastAsia="zh-CN"/>
              </w:rPr>
              <w:t>2023年版</w:t>
            </w:r>
            <w:r>
              <w:rPr>
                <w:rFonts w:hint="eastAsia"/>
                <w:color w:val="auto"/>
                <w:sz w:val="24"/>
                <w:lang w:eastAsia="zh-CN"/>
              </w:rPr>
              <w:t>）》</w:t>
            </w:r>
            <w:r>
              <w:rPr>
                <w:rFonts w:ascii="宋体" w:cs="宋体" w:hAnsi="宋体" w:hint="eastAsia"/>
                <w:color w:val="auto"/>
                <w:sz w:val="24"/>
              </w:rPr>
              <w:t>生</w:t>
            </w:r>
            <w:r>
              <w:rPr>
                <w:color w:val="auto"/>
                <w:sz w:val="24"/>
              </w:rPr>
              <w:t>态环境分区管控的意见要求。</w:t>
            </w:r>
          </w:p>
          <w:p>
            <w:pPr>
              <w:spacing w:line="360" w:lineRule="auto"/>
              <w:ind w:firstLineChars="200" w:firstLine="480"/>
              <w:rPr>
                <w:color w:val="auto"/>
                <w:sz w:val="24"/>
                <w:highlight w:val="none"/>
              </w:rPr>
            </w:pPr>
            <w:r>
              <w:rPr>
                <w:b/>
                <w:bCs/>
                <w:color w:val="auto"/>
                <w:sz w:val="24"/>
                <w:highlight w:val="none"/>
              </w:rPr>
              <w:t>2、产业政策分析</w:t>
            </w:r>
          </w:p>
          <w:p>
            <w:pPr>
              <w:bidi w:val="0"/>
              <w:rPr>
                <w:rFonts w:hint="eastAsia"/>
                <w:color w:val="auto"/>
                <w:sz w:val="24"/>
                <w:lang w:eastAsia="zh-CN"/>
                <w:highlight w:val="none"/>
              </w:rPr>
            </w:pPr>
            <w:r>
              <w:rPr>
                <w:color w:val="auto"/>
                <w:highlight w:val="none"/>
              </w:rPr>
              <w:t>本项目</w:t>
            </w:r>
            <w:r>
              <w:rPr>
                <w:rFonts w:hint="eastAsia"/>
                <w:color w:val="auto"/>
                <w:highlight w:val="none"/>
              </w:rPr>
              <w:t>行业类别为</w:t>
            </w:r>
            <w:r>
              <w:rPr>
                <w:rFonts w:hint="eastAsia"/>
                <w:color w:val="auto"/>
                <w:lang w:val="en-US" w:eastAsia="zh-CN"/>
                <w:highlight w:val="none"/>
              </w:rPr>
              <w:t>饮料制造</w:t>
            </w:r>
            <w:r>
              <w:rPr>
                <w:rFonts w:hint="eastAsia"/>
                <w:color w:val="auto"/>
                <w:highlight w:val="none"/>
              </w:rPr>
              <w:t>，</w:t>
            </w:r>
            <w:r>
              <w:rPr>
                <w:rFonts w:hint="eastAsia"/>
                <w:color w:val="auto"/>
                <w:lang w:eastAsia="zh-CN"/>
                <w:highlight w:val="none"/>
              </w:rPr>
              <w:t>对照《产业结构调整指导目录》（20</w:t>
            </w:r>
            <w:r>
              <w:rPr>
                <w:rFonts w:hint="eastAsia"/>
                <w:color w:val="auto"/>
                <w:lang w:val="en-US" w:eastAsia="zh-CN"/>
                <w:highlight w:val="none"/>
              </w:rPr>
              <w:t>24</w:t>
            </w:r>
            <w:r>
              <w:rPr>
                <w:rFonts w:hint="eastAsia"/>
                <w:color w:val="auto"/>
                <w:lang w:eastAsia="zh-CN"/>
                <w:highlight w:val="none"/>
              </w:rPr>
              <w:t>年本）</w:t>
            </w:r>
            <w:r>
              <w:rPr>
                <w:color w:val="auto"/>
                <w:highlight w:val="none"/>
              </w:rPr>
              <w:t>，本项目不属于限制类和淘汰类</w:t>
            </w:r>
            <w:r>
              <w:rPr>
                <w:rFonts w:hint="eastAsia"/>
                <w:color w:val="auto"/>
                <w:lang w:eastAsia="zh-CN"/>
                <w:highlight w:val="none"/>
              </w:rPr>
              <w:t>，</w:t>
            </w:r>
            <w:r>
              <w:rPr>
                <w:rFonts w:hint="eastAsia"/>
                <w:color w:val="auto"/>
                <w:lang w:val="en-US" w:eastAsia="zh-CN"/>
                <w:highlight w:val="none"/>
              </w:rPr>
              <w:t>为允许类项目</w:t>
            </w:r>
            <w:r>
              <w:rPr>
                <w:color w:val="auto"/>
                <w:highlight w:val="none"/>
              </w:rPr>
              <w:t>。</w:t>
            </w:r>
            <w:r>
              <w:rPr>
                <w:rFonts w:hint="eastAsia"/>
                <w:color w:val="auto"/>
                <w:lang w:val="en-US" w:eastAsia="zh-CN"/>
                <w:highlight w:val="none"/>
              </w:rPr>
              <w:t>对照</w:t>
            </w:r>
            <w:r>
              <w:rPr>
                <w:rFonts w:hint="eastAsia"/>
                <w:color w:val="auto"/>
                <w:sz w:val="24"/>
                <w:highlight w:val="none"/>
              </w:rPr>
              <w:t>《市场准入负面清单（</w:t>
            </w:r>
            <w:r>
              <w:rPr>
                <w:rFonts w:hint="eastAsia"/>
                <w:color w:val="auto"/>
                <w:sz w:val="24"/>
                <w:lang w:eastAsia="zh-CN"/>
                <w:highlight w:val="none"/>
              </w:rPr>
              <w:t>2025</w:t>
            </w:r>
            <w:r>
              <w:rPr>
                <w:rFonts w:hint="eastAsia"/>
                <w:color w:val="auto"/>
                <w:sz w:val="24"/>
                <w:highlight w:val="none"/>
              </w:rPr>
              <w:t>年版）》</w:t>
            </w:r>
            <w:r>
              <w:rPr>
                <w:rFonts w:hint="eastAsia"/>
                <w:color w:val="auto"/>
                <w:sz w:val="24"/>
                <w:lang w:eastAsia="zh-CN"/>
                <w:highlight w:val="none"/>
              </w:rPr>
              <w:t>，</w:t>
            </w:r>
            <w:r>
              <w:rPr>
                <w:rFonts w:hint="eastAsia"/>
                <w:color w:val="auto"/>
                <w:sz w:val="24"/>
                <w:lang w:val="en-US" w:eastAsia="zh-CN"/>
                <w:highlight w:val="none"/>
              </w:rPr>
              <w:t>不属于</w:t>
            </w:r>
            <w:r>
              <w:rPr>
                <w:rFonts w:hint="eastAsia"/>
                <w:color w:val="auto"/>
                <w:sz w:val="24"/>
                <w:highlight w:val="none"/>
              </w:rPr>
              <w:t>禁止准入类和许可准入类项目</w:t>
            </w:r>
            <w:r>
              <w:rPr>
                <w:rFonts w:hint="eastAsia"/>
                <w:color w:val="auto"/>
                <w:sz w:val="24"/>
                <w:lang w:eastAsia="zh-CN"/>
                <w:highlight w:val="none"/>
              </w:rPr>
              <w:t>。</w:t>
            </w:r>
          </w:p>
          <w:p>
            <w:pPr>
              <w:bidi w:val="0"/>
              <w:rPr>
                <w:color w:val="auto"/>
                <w:sz w:val="24"/>
                <w:highlight w:val="none"/>
              </w:rPr>
            </w:pPr>
            <w:r>
              <w:rPr>
                <w:color w:val="auto"/>
                <w:sz w:val="24"/>
                <w:highlight w:val="none"/>
              </w:rPr>
              <w:t>河北石家庄装备制造产业园管理委员会出具了关于本项目的备案信息，备案编号：</w:t>
            </w:r>
            <w:r>
              <w:rPr>
                <w:rFonts w:hint="eastAsia"/>
                <w:color w:val="auto"/>
                <w:sz w:val="24"/>
                <w:lang w:val="en-US" w:eastAsia="zh-CN"/>
                <w:highlight w:val="none"/>
              </w:rPr>
              <w:t>装管委投资备字〔2026〕38号</w:t>
            </w:r>
            <w:r>
              <w:rPr>
                <w:color w:val="auto"/>
                <w:sz w:val="24"/>
                <w:highlight w:val="none"/>
              </w:rPr>
              <w:t>（详见附件）。</w:t>
            </w:r>
          </w:p>
          <w:p>
            <w:pPr>
              <w:spacing w:line="360" w:lineRule="auto"/>
              <w:ind w:firstLineChars="200" w:firstLine="480"/>
              <w:rPr>
                <w:color w:val="auto"/>
                <w:sz w:val="24"/>
                <w:highlight w:val="none"/>
              </w:rPr>
            </w:pPr>
            <w:r>
              <w:rPr>
                <w:color w:val="auto"/>
                <w:sz w:val="24"/>
                <w:highlight w:val="none"/>
              </w:rPr>
              <w:t>综合以上分析，本项目符合国家及地方相关产业政策要求。</w:t>
            </w:r>
          </w:p>
          <w:p>
            <w:pPr>
              <w:spacing w:line="360" w:lineRule="auto"/>
              <w:ind w:firstLineChars="200" w:firstLine="480"/>
              <w:rPr>
                <w:b/>
                <w:bCs/>
                <w:color w:val="auto"/>
                <w:sz w:val="24"/>
              </w:rPr>
            </w:pPr>
            <w:r>
              <w:rPr>
                <w:b/>
                <w:bCs/>
                <w:color w:val="auto"/>
                <w:sz w:val="24"/>
              </w:rPr>
              <w:t>3、环境管理政策分析</w:t>
            </w:r>
          </w:p>
          <w:p>
            <w:pPr>
              <w:spacing w:line="360" w:lineRule="auto"/>
              <w:ind w:firstLineChars="200" w:firstLine="480"/>
              <w:rPr>
                <w:b/>
                <w:bCs/>
                <w:color w:val="auto"/>
                <w:sz w:val="24"/>
              </w:rPr>
            </w:pPr>
            <w:r>
              <w:rPr>
                <w:color w:val="auto"/>
                <w:sz w:val="24"/>
              </w:rPr>
              <w:t>本项目与相关法律法规、规划符合性分析见下表。</w:t>
            </w:r>
          </w:p>
          <w:p>
            <w:pPr>
              <w:pStyle w:val="24"/>
              <w:bidi w:val="0"/>
              <w:rPr>
                <w:color w:val="auto"/>
              </w:rPr>
            </w:pPr>
            <w:r>
              <w:rPr>
                <w:color w:val="auto"/>
              </w:rPr>
              <w:t>表1-</w:t>
            </w:r>
            <w:r>
              <w:rPr>
                <w:rFonts w:hint="eastAsia"/>
                <w:color w:val="auto"/>
                <w:lang w:val="en-US" w:eastAsia="zh-CN"/>
              </w:rPr>
              <w:t xml:space="preserve">4  </w:t>
            </w:r>
            <w:r>
              <w:rPr>
                <w:color w:val="auto"/>
              </w:rPr>
              <w:t>与“相关法律法规及政策”符合性分析一览表</w:t>
            </w:r>
          </w:p>
          <w:tbl>
            <w:tblPr>
              <w:tblpPr w:leftFromText="180" w:rightFromText="180" w:vertAnchor="text" w:tblpXSpec="center" w:tblpY="1"/>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6"/>
              <w:gridCol w:w="426"/>
              <w:gridCol w:w="1056"/>
              <w:gridCol w:w="3232"/>
              <w:gridCol w:w="1691"/>
              <w:gridCol w:w="426"/>
            </w:tblGrid>
            <w:tr>
              <w:trPr>
                <w:trHeight w:val="57"/>
              </w:trPr>
              <w:tc>
                <w:tcPr>
                  <w:vAlign w:val="center"/>
                </w:tcPr>
                <w:p>
                  <w:pPr>
                    <w:pStyle w:val="23"/>
                    <w:bidi w:val="0"/>
                    <w:rPr>
                      <w:color w:val="auto"/>
                      <w:highlight w:val="none"/>
                    </w:rPr>
                  </w:pPr>
                  <w:r>
                    <w:rPr>
                      <w:color w:val="auto"/>
                      <w:highlight w:val="none"/>
                    </w:rPr>
                    <w:t>序号</w:t>
                  </w:r>
                </w:p>
              </w:tc>
              <w:tc>
                <w:tcPr>
                  <w:gridSpan w:val="2"/>
                  <w:vAlign w:val="center"/>
                </w:tcPr>
                <w:p>
                  <w:pPr>
                    <w:pStyle w:val="23"/>
                    <w:bidi w:val="0"/>
                    <w:rPr>
                      <w:color w:val="auto"/>
                      <w:highlight w:val="none"/>
                    </w:rPr>
                  </w:pPr>
                  <w:r>
                    <w:rPr>
                      <w:color w:val="auto"/>
                      <w:highlight w:val="none"/>
                    </w:rPr>
                    <w:t>法律法规名称</w:t>
                  </w:r>
                </w:p>
              </w:tc>
              <w:tc>
                <w:tcPr>
                  <w:vAlign w:val="center"/>
                </w:tcPr>
                <w:p>
                  <w:pPr>
                    <w:pStyle w:val="23"/>
                    <w:bidi w:val="0"/>
                    <w:rPr>
                      <w:color w:val="auto"/>
                      <w:highlight w:val="none"/>
                    </w:rPr>
                  </w:pPr>
                  <w:r>
                    <w:rPr>
                      <w:color w:val="auto"/>
                      <w:highlight w:val="none"/>
                    </w:rPr>
                    <w:t>相关法律法规及政策内容</w:t>
                  </w:r>
                </w:p>
              </w:tc>
              <w:tc>
                <w:tcPr>
                  <w:vAlign w:val="center"/>
                </w:tcPr>
                <w:p>
                  <w:pPr>
                    <w:pStyle w:val="23"/>
                    <w:bidi w:val="0"/>
                    <w:rPr>
                      <w:color w:val="auto"/>
                      <w:highlight w:val="none"/>
                    </w:rPr>
                  </w:pPr>
                  <w:r>
                    <w:rPr>
                      <w:color w:val="auto"/>
                      <w:highlight w:val="none"/>
                    </w:rPr>
                    <w:t>本项目情况</w:t>
                  </w:r>
                </w:p>
              </w:tc>
              <w:tc>
                <w:tcPr>
                  <w:vAlign w:val="center"/>
                </w:tcPr>
                <w:p>
                  <w:pPr>
                    <w:pStyle w:val="23"/>
                    <w:bidi w:val="0"/>
                    <w:rPr>
                      <w:color w:val="auto"/>
                      <w:highlight w:val="none"/>
                    </w:rPr>
                  </w:pPr>
                  <w:r>
                    <w:rPr>
                      <w:color w:val="auto"/>
                      <w:highlight w:val="none"/>
                    </w:rPr>
                    <w:t>符合性</w:t>
                  </w:r>
                </w:p>
              </w:tc>
            </w:tr>
            <w:tr>
              <w:trPr>
                <w:trHeight w:val="57"/>
              </w:trPr>
              <w:tc>
                <w:tcPr>
                  <w:vMerge w:val="restart"/>
                  <w:vAlign w:val="center"/>
                </w:tcPr>
                <w:p>
                  <w:pPr>
                    <w:pStyle w:val="23"/>
                    <w:bidi w:val="0"/>
                    <w:rPr>
                      <w:rFonts w:eastAsia="宋体" w:hint="eastAsia"/>
                      <w:color w:val="auto"/>
                      <w:lang w:eastAsia="zh-CN"/>
                      <w:highlight w:val="none"/>
                    </w:rPr>
                  </w:pPr>
                  <w:r>
                    <w:rPr>
                      <w:rFonts w:hint="eastAsia"/>
                      <w:color w:val="auto"/>
                      <w:lang w:val="en-US" w:eastAsia="zh-CN"/>
                      <w:highlight w:val="none"/>
                    </w:rPr>
                    <w:t>1</w:t>
                  </w:r>
                </w:p>
              </w:tc>
              <w:tc>
                <w:tcPr>
                  <w:vMerge w:val="restart"/>
                  <w:tcBorders>
                    <w:left w:val="single" w:sz="4" w:space="0" w:color="auto"/>
                  </w:tcBorders>
                  <w:vAlign w:val="center"/>
                </w:tcPr>
                <w:p>
                  <w:pPr>
                    <w:pStyle w:val="23"/>
                    <w:bidi w:val="0"/>
                    <w:rPr>
                      <w:color w:val="auto"/>
                      <w:highlight w:val="none"/>
                    </w:rPr>
                  </w:pPr>
                  <w:r>
                    <w:rPr>
                      <w:color w:val="auto"/>
                      <w:highlight w:val="none"/>
                    </w:rPr>
                    <w:t>大气污染防治政策</w:t>
                  </w:r>
                </w:p>
              </w:tc>
              <w:tc>
                <w:tcPr>
                  <w:vMerge w:val="restart"/>
                  <w:tcBorders>
                    <w:left w:val="single" w:sz="4" w:space="0" w:color="auto"/>
                  </w:tcBorders>
                  <w:vAlign w:val="center"/>
                </w:tcPr>
                <w:p>
                  <w:pPr>
                    <w:pStyle w:val="23"/>
                    <w:bidi w:val="0"/>
                    <w:rPr>
                      <w:color w:val="auto"/>
                      <w:highlight w:val="none"/>
                    </w:rPr>
                  </w:pPr>
                  <w:r>
                    <w:rPr>
                      <w:rFonts w:hint="eastAsia"/>
                      <w:color w:val="auto"/>
                      <w:lang w:eastAsia="zh-CN"/>
                      <w:highlight w:val="none"/>
                    </w:rPr>
                    <w:t>《河北省</w:t>
                  </w:r>
                  <w:r>
                    <w:rPr>
                      <w:rFonts w:hint="eastAsia"/>
                      <w:color w:val="auto"/>
                      <w:highlight w:val="none"/>
                    </w:rPr>
                    <w:t>空气质量持续改善行动计划实施方案》（冀政发〔2024〕4号）</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严格环境准入。坚决遏制高耗能、高排放、低水平项目盲目上马。新改扩建项目严格落实国家和省产业规划、产业政策、生态环境分区管控方案、产能置换、重点污染物总量控制、污染物排放区域削减、碳排放达峰目标等相关要求，原则上采用清洁运输方式。被置换产能项目关停后，新建项目方可投产。</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本项目不属于高耗能、高排放、低水平项目，项目建设符合国家和地方产业政策等要求，项目采用了清洁运输方式；不属于被转换产能项目。</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2692"/>
              </w:trPr>
              <w:tc>
                <w:tcPr>
                  <w:vMerge/>
                  <w:vAlign w:val="center"/>
                </w:tcPr>
                <w:p/>
              </w:tc>
              <w:tc>
                <w:tcPr>
                  <w:vMerge/>
                  <w:tcBorders>
                    <w:left w:val="single" w:sz="4" w:space="0" w:color="auto"/>
                  </w:tcBorders>
                  <w:vAlign w:val="center"/>
                </w:tcPr>
                <w:p/>
              </w:tc>
              <w:tc>
                <w:tcPr>
                  <w:vMerge/>
                  <w:tcBorders>
                    <w:left w:val="single" w:sz="4" w:space="0" w:color="auto"/>
                  </w:tcBorders>
                  <w:vAlign w:val="center"/>
                </w:tcP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加快退出重点行业落后产能和优化产业布局。严格执行《产业结构调整指导目录（2024年本）》，逐步淘汰步进式烧结机和球团竖炉以及半封闭式硅锰合金、镍铁、高碳铬铁、高碳锰铁矿热炉。加快调整优化不符合生态环境功能定位的产业布局、规模和结构。</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本项目建设符合国家和地方产业政策要求；不属于钢铁行业。</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57"/>
              </w:trPr>
              <w:tc>
                <w:tcPr>
                  <w:vAlign w:val="center"/>
                </w:tcPr>
                <w:p>
                  <w:pPr>
                    <w:pStyle w:val="23"/>
                    <w:bidi w:val="0"/>
                    <w:rPr>
                      <w:rFonts w:eastAsia="宋体"/>
                      <w:color w:val="auto"/>
                      <w:lang w:val="en-US" w:eastAsia="zh-CN"/>
                      <w:highlight w:val="none"/>
                    </w:rPr>
                  </w:pPr>
                  <w:r>
                    <w:rPr>
                      <w:rFonts w:hint="eastAsia"/>
                      <w:color w:val="auto"/>
                      <w:lang w:val="en-US" w:eastAsia="zh-CN"/>
                      <w:highlight w:val="none"/>
                    </w:rPr>
                    <w:t>2</w:t>
                  </w:r>
                </w:p>
              </w:tc>
              <w:tc>
                <w:tcPr>
                  <w:vMerge/>
                  <w:tcBorders>
                    <w:left w:val="single" w:sz="4" w:space="0" w:color="auto"/>
                  </w:tcBorders>
                  <w:vAlign w:val="center"/>
                </w:tcP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国务院关于印发《空气质量持续改善行动计划》的通知国发〔2023〕24号</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本项目不属于高耗能、高排放、低水平项目。 本项目符合国家产业政策、生态环境分区管控方案。</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57"/>
              </w:trPr>
              <w:tc>
                <w:tcPr>
                  <w:vMerge w:val="restart"/>
                  <w:vAlign w:val="center"/>
                </w:tcPr>
                <w:p>
                  <w:pPr>
                    <w:pStyle w:val="23"/>
                    <w:bidi w:val="0"/>
                    <w:rPr>
                      <w:rFonts w:eastAsia="宋体" w:hint="eastAsia"/>
                      <w:color w:val="auto"/>
                      <w:lang w:val="en-US" w:eastAsia="zh-CN"/>
                      <w:highlight w:val="none"/>
                    </w:rPr>
                  </w:pPr>
                  <w:r>
                    <w:rPr>
                      <w:rFonts w:hint="eastAsia"/>
                      <w:color w:val="auto"/>
                      <w:lang w:val="en-US" w:eastAsia="zh-CN"/>
                      <w:highlight w:val="none"/>
                    </w:rPr>
                    <w:t>3</w:t>
                  </w:r>
                </w:p>
              </w:tc>
              <w:tc>
                <w:tcPr>
                  <w:vMerge/>
                  <w:tcBorders>
                    <w:left w:val="single" w:sz="4" w:space="0" w:color="auto"/>
                  </w:tcBorders>
                  <w:vAlign w:val="center"/>
                </w:tcPr>
                <w:p/>
              </w:tc>
              <w:tc>
                <w:tcPr>
                  <w:vMerge w:val="restart"/>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石家庄市2025年挥发性有机物治理工作实施方案</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严把活性炭质量。县(市、区)配备足量的便携式活性炭碘值检测仪，确保颗粒型活性炭碘值不低于800g/mg，蜂窝状活性炭碘值不低于650g/mg，严禁使用不合格活性炭。</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本项目活性炭吸附装置设计填装碘值为800g/mg蜂窝活性炭</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57"/>
              </w:trPr>
              <w:tc>
                <w:tcPr>
                  <w:vMerge/>
                  <w:vAlign w:val="center"/>
                </w:tcPr>
                <w:p/>
              </w:tc>
              <w:tc>
                <w:tcPr>
                  <w:vMerge/>
                  <w:tcBorders>
                    <w:left w:val="single" w:sz="4" w:space="0" w:color="auto"/>
                  </w:tcBorders>
                  <w:vAlign w:val="center"/>
                </w:tcPr>
                <w:p/>
              </w:tc>
              <w:tc>
                <w:tcPr>
                  <w:vMerge/>
                  <w:tcBorders>
                    <w:left w:val="single" w:sz="4" w:space="0" w:color="auto"/>
                  </w:tcBorders>
                  <w:vAlign w:val="center"/>
                </w:tcPr>
                <w:p/>
              </w:tc>
              <w:tc>
                <w:tcPr>
                  <w:tcBorders>
                    <w:left w:val="single" w:sz="4" w:space="0" w:color="auto"/>
                  </w:tcBorders>
                  <w:vAlign w:val="center"/>
                </w:tcPr>
                <w:p>
                  <w:pPr>
                    <w:pStyle w:val="23"/>
                    <w:bidi w:val="0"/>
                    <w:rPr>
                      <w:color w:val="auto"/>
                      <w:highlight w:val="none"/>
                    </w:rPr>
                  </w:pPr>
                  <w:r>
                    <w:rPr>
                      <w:rFonts w:hint="eastAsia"/>
                      <w:color w:val="auto"/>
                      <w:lang w:val="en-US" w:eastAsia="zh-CN"/>
                      <w:highlight w:val="none"/>
                    </w:rPr>
                    <w:t>严格活性炭使用管理。颗粒型活性炭填充量与每小时处理废气量体积比例1:7000，蜂窝状活性炭填充量与每小时处理废气量体积比例1:5000；</w:t>
                  </w:r>
                </w:p>
              </w:tc>
              <w:tc>
                <w:tcPr>
                  <w:tcBorders>
                    <w:left w:val="single" w:sz="4" w:space="0" w:color="auto"/>
                  </w:tcBorders>
                  <w:vAlign w:val="center"/>
                </w:tcPr>
                <w:p>
                  <w:pPr>
                    <w:pStyle w:val="23"/>
                    <w:bidi w:val="0"/>
                    <w:rPr>
                      <w:color w:val="auto"/>
                      <w:highlight w:val="none"/>
                    </w:rPr>
                  </w:pPr>
                  <w:r>
                    <w:rPr>
                      <w:rFonts w:hint="eastAsia"/>
                      <w:color w:val="auto"/>
                      <w:lang w:val="en-US" w:eastAsia="zh-CN"/>
                      <w:highlight w:val="none"/>
                    </w:rPr>
                    <w:t>本项目活性炭吸附装置填充蜂窝活性炭，废气量与填装体积比例大于1:5000。</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57"/>
              </w:trPr>
              <w:tc>
                <w:tcPr>
                  <w:vAlign w:val="center"/>
                </w:tcPr>
                <w:p>
                  <w:pPr>
                    <w:pStyle w:val="23"/>
                    <w:bidi w:val="0"/>
                    <w:rPr>
                      <w:rFonts w:eastAsia="宋体"/>
                      <w:color w:val="auto"/>
                      <w:lang w:val="en-US" w:eastAsia="zh-CN"/>
                      <w:highlight w:val="none"/>
                    </w:rPr>
                  </w:pPr>
                  <w:r>
                    <w:rPr>
                      <w:rFonts w:hint="eastAsia"/>
                      <w:color w:val="auto"/>
                      <w:lang w:val="en-US" w:eastAsia="zh-CN"/>
                      <w:highlight w:val="none"/>
                    </w:rPr>
                    <w:t>4</w:t>
                  </w:r>
                </w:p>
              </w:tc>
              <w:tc>
                <w:tcPr>
                  <w:vMerge w:val="restart"/>
                  <w:tcBorders>
                    <w:left w:val="single" w:sz="4" w:space="0" w:color="auto"/>
                  </w:tcBorders>
                  <w:vAlign w:val="center"/>
                </w:tcPr>
                <w:p>
                  <w:pPr>
                    <w:pStyle w:val="23"/>
                    <w:bidi w:val="0"/>
                    <w:rPr>
                      <w:color w:val="auto"/>
                      <w:highlight w:val="none"/>
                    </w:rPr>
                  </w:pPr>
                  <w:r>
                    <w:rPr>
                      <w:color w:val="auto"/>
                      <w:highlight w:val="none"/>
                    </w:rPr>
                    <w:t>水污染防治政策</w:t>
                  </w:r>
                </w:p>
              </w:tc>
              <w:tc>
                <w:tcPr>
                  <w:tcBorders>
                    <w:left w:val="single" w:sz="4" w:space="0" w:color="auto"/>
                  </w:tcBorders>
                  <w:vAlign w:val="center"/>
                </w:tcPr>
                <w:p>
                  <w:pPr>
                    <w:pStyle w:val="23"/>
                    <w:bidi w:val="0"/>
                    <w:rPr>
                      <w:color w:val="auto"/>
                      <w:highlight w:val="none"/>
                    </w:rPr>
                  </w:pPr>
                  <w:r>
                    <w:rPr>
                      <w:color w:val="auto"/>
                      <w:highlight w:val="none"/>
                    </w:rPr>
                    <w:t>《国务院关于印发水污染防治行动计划的通知》</w:t>
                  </w:r>
                </w:p>
              </w:tc>
              <w:tc>
                <w:tcPr>
                  <w:tcBorders>
                    <w:left w:val="single" w:sz="4" w:space="0" w:color="auto"/>
                  </w:tcBorders>
                  <w:vAlign w:val="center"/>
                </w:tcPr>
                <w:p>
                  <w:pPr>
                    <w:pStyle w:val="23"/>
                    <w:bidi w:val="0"/>
                    <w:rPr>
                      <w:color w:val="auto"/>
                      <w:highlight w:val="none"/>
                    </w:rPr>
                  </w:pPr>
                  <w:r>
                    <w:rPr>
                      <w:color w:val="auto"/>
                      <w:highlight w:val="none"/>
                    </w:rPr>
                    <w:t>集中治理工业集聚区水污染。集聚区内工业废水必须经预处理达到集中处理要求，方可进入污水集中处理设施。</w:t>
                  </w:r>
                </w:p>
              </w:tc>
              <w:tc>
                <w:tcPr>
                  <w:tcBorders>
                    <w:left w:val="single" w:sz="4" w:space="0" w:color="auto"/>
                  </w:tcBorders>
                  <w:vAlign w:val="center"/>
                </w:tcPr>
                <w:p>
                  <w:pPr>
                    <w:pStyle w:val="23"/>
                    <w:bidi w:val="0"/>
                    <w:rPr>
                      <w:color w:val="auto"/>
                      <w:highlight w:val="none"/>
                    </w:rPr>
                  </w:pPr>
                  <w:r>
                    <w:rPr>
                      <w:rFonts w:hint="eastAsia"/>
                      <w:color w:val="auto"/>
                      <w:highlight w:val="none"/>
                    </w:rPr>
                    <w:t>本项目</w:t>
                  </w:r>
                  <w:r>
                    <w:rPr>
                      <w:color w:val="auto"/>
                      <w:highlight w:val="none"/>
                    </w:rPr>
                    <w:t>废水均排入厂区污水处理站处理，处理后经市政管网排入</w:t>
                  </w:r>
                  <w:r>
                    <w:rPr>
                      <w:rFonts w:hint="eastAsia"/>
                      <w:color w:val="auto"/>
                      <w:highlight w:val="none"/>
                    </w:rPr>
                    <w:t>德威华泰石家庄市栾城水务有限公司</w:t>
                  </w:r>
                  <w:r>
                    <w:rPr>
                      <w:color w:val="auto"/>
                      <w:highlight w:val="none"/>
                    </w:rPr>
                    <w:t>。</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57"/>
              </w:trPr>
              <w:tc>
                <w:tcPr>
                  <w:vAlign w:val="center"/>
                </w:tcPr>
                <w:p>
                  <w:pPr>
                    <w:pStyle w:val="23"/>
                    <w:bidi w:val="0"/>
                    <w:rPr>
                      <w:rFonts w:eastAsia="宋体"/>
                      <w:color w:val="auto"/>
                      <w:lang w:val="en-US" w:eastAsia="zh-CN"/>
                      <w:highlight w:val="none"/>
                    </w:rPr>
                  </w:pPr>
                  <w:r>
                    <w:rPr>
                      <w:rFonts w:hint="eastAsia"/>
                      <w:color w:val="auto"/>
                      <w:lang w:val="en-US" w:eastAsia="zh-CN"/>
                      <w:highlight w:val="none"/>
                    </w:rPr>
                    <w:t>5</w:t>
                  </w:r>
                </w:p>
              </w:tc>
              <w:tc>
                <w:tcPr>
                  <w:vMerge/>
                  <w:tcBorders>
                    <w:left w:val="single" w:sz="4" w:space="0" w:color="auto"/>
                  </w:tcBorders>
                  <w:vAlign w:val="center"/>
                </w:tcPr>
                <w:p/>
              </w:tc>
              <w:tc>
                <w:tcPr>
                  <w:tcBorders>
                    <w:left w:val="single" w:sz="4" w:space="0" w:color="auto"/>
                  </w:tcBorders>
                  <w:vAlign w:val="center"/>
                </w:tcPr>
                <w:p>
                  <w:pPr>
                    <w:pStyle w:val="23"/>
                    <w:bidi w:val="0"/>
                    <w:rPr>
                      <w:color w:val="auto"/>
                      <w:highlight w:val="none"/>
                    </w:rPr>
                  </w:pPr>
                  <w:r>
                    <w:rPr>
                      <w:color w:val="auto"/>
                      <w:highlight w:val="none"/>
                    </w:rPr>
                    <w:t>《河北省水污染防治工作方案》</w:t>
                  </w:r>
                </w:p>
              </w:tc>
              <w:tc>
                <w:tcPr>
                  <w:tcBorders>
                    <w:left w:val="single" w:sz="4" w:space="0" w:color="auto"/>
                  </w:tcBorders>
                  <w:vAlign w:val="center"/>
                </w:tcPr>
                <w:p>
                  <w:pPr>
                    <w:pStyle w:val="23"/>
                    <w:bidi w:val="0"/>
                    <w:rPr>
                      <w:color w:val="auto"/>
                      <w:highlight w:val="none"/>
                    </w:rPr>
                  </w:pPr>
                  <w:r>
                    <w:rPr>
                      <w:color w:val="auto"/>
                      <w:highlight w:val="none"/>
                    </w:rPr>
                    <w:t>坚持空间均衡。全省七大水系干流沿岸、重要饮用水水源地补给区，严格控制化学原料和化学制品制造、医药制造、制革、造纸、焦化、化学纤维制造、石油加工、纺织印染等项目环境风险，合理布局生产装置及危险化学品仓储等设施。重大项目原则上布局在优化开发区和重点开发区，并符合城乡规划和土地利用总体规划。</w:t>
                  </w:r>
                </w:p>
              </w:tc>
              <w:tc>
                <w:tcPr>
                  <w:tcBorders>
                    <w:left w:val="single" w:sz="4" w:space="0" w:color="auto"/>
                  </w:tcBorders>
                  <w:vAlign w:val="center"/>
                </w:tcPr>
                <w:p>
                  <w:pPr>
                    <w:pStyle w:val="23"/>
                    <w:bidi w:val="0"/>
                    <w:rPr>
                      <w:color w:val="auto"/>
                      <w:highlight w:val="none"/>
                    </w:rPr>
                  </w:pPr>
                  <w:r>
                    <w:rPr>
                      <w:rFonts w:hint="eastAsia"/>
                      <w:color w:val="auto"/>
                      <w:highlight w:val="none"/>
                    </w:rPr>
                    <w:t>本</w:t>
                  </w:r>
                  <w:r>
                    <w:rPr>
                      <w:color w:val="auto"/>
                      <w:highlight w:val="none"/>
                    </w:rPr>
                    <w:t>项目采取了严格的污染治理措施。本项目位于河北石家庄装备制造产业园区，符合城乡规划和土地利用总体规划。</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57"/>
              </w:trPr>
              <w:tc>
                <w:tcPr>
                  <w:vAlign w:val="center"/>
                </w:tcPr>
                <w:p>
                  <w:pPr>
                    <w:pStyle w:val="23"/>
                    <w:bidi w:val="0"/>
                    <w:rPr>
                      <w:rFonts w:eastAsia="宋体"/>
                      <w:color w:val="auto"/>
                      <w:lang w:val="en-US" w:eastAsia="zh-CN"/>
                      <w:highlight w:val="none"/>
                    </w:rPr>
                  </w:pPr>
                  <w:r>
                    <w:rPr>
                      <w:rFonts w:hint="eastAsia"/>
                      <w:color w:val="auto"/>
                      <w:lang w:val="en-US" w:eastAsia="zh-CN"/>
                      <w:highlight w:val="none"/>
                    </w:rPr>
                    <w:t>6</w:t>
                  </w:r>
                </w:p>
              </w:tc>
              <w:tc>
                <w:tcPr>
                  <w:vMerge/>
                  <w:tcBorders>
                    <w:left w:val="single" w:sz="4" w:space="0" w:color="auto"/>
                  </w:tcBorders>
                  <w:vAlign w:val="center"/>
                </w:tcPr>
                <w:p/>
              </w:tc>
              <w:tc>
                <w:tcPr>
                  <w:tcBorders>
                    <w:left w:val="single" w:sz="4" w:space="0" w:color="auto"/>
                  </w:tcBorders>
                  <w:vAlign w:val="center"/>
                </w:tcPr>
                <w:p>
                  <w:pPr>
                    <w:pStyle w:val="23"/>
                    <w:bidi w:val="0"/>
                    <w:rPr>
                      <w:color w:val="auto"/>
                      <w:highlight w:val="none"/>
                    </w:rPr>
                  </w:pPr>
                  <w:r>
                    <w:rPr>
                      <w:color w:val="auto"/>
                      <w:highlight w:val="none"/>
                    </w:rPr>
                    <w:t>《石家庄市重点流域水污染防治专项行动》</w:t>
                  </w:r>
                </w:p>
              </w:tc>
              <w:tc>
                <w:tcPr>
                  <w:tcBorders>
                    <w:left w:val="single" w:sz="4" w:space="0" w:color="auto"/>
                  </w:tcBorders>
                  <w:vAlign w:val="center"/>
                </w:tcPr>
                <w:p>
                  <w:pPr>
                    <w:pStyle w:val="23"/>
                    <w:bidi w:val="0"/>
                    <w:rPr>
                      <w:color w:val="auto"/>
                      <w:highlight w:val="none"/>
                    </w:rPr>
                  </w:pPr>
                  <w:r>
                    <w:rPr>
                      <w:color w:val="auto"/>
                      <w:highlight w:val="none"/>
                    </w:rPr>
                    <w:t>对造纸、医药、纺织、印染、化工、钢铁、食品、酿造、皮革、电镀等10个重污染行业日排水量100立方米或日排COD30千克以上的企业和城镇污水处理厂安装在线监控装置，并与环保部门联网，实行全天候、全自动监控。</w:t>
                  </w:r>
                </w:p>
              </w:tc>
              <w:tc>
                <w:tcPr>
                  <w:tcBorders>
                    <w:left w:val="single" w:sz="4" w:space="0" w:color="auto"/>
                  </w:tcBorders>
                  <w:vAlign w:val="center"/>
                </w:tcPr>
                <w:p>
                  <w:pPr>
                    <w:pStyle w:val="23"/>
                    <w:bidi w:val="0"/>
                    <w:rPr>
                      <w:color w:val="auto"/>
                      <w:highlight w:val="none"/>
                    </w:rPr>
                  </w:pPr>
                  <w:r>
                    <w:rPr>
                      <w:rFonts w:hint="eastAsia"/>
                      <w:color w:val="auto"/>
                      <w:highlight w:val="none"/>
                    </w:rPr>
                    <w:t>本</w:t>
                  </w:r>
                  <w:r>
                    <w:rPr>
                      <w:color w:val="auto"/>
                      <w:highlight w:val="none"/>
                    </w:rPr>
                    <w:t>项目</w:t>
                  </w:r>
                  <w:r>
                    <w:rPr>
                      <w:rFonts w:hint="eastAsia"/>
                      <w:color w:val="auto"/>
                      <w:lang w:val="en-US" w:eastAsia="zh-CN"/>
                      <w:highlight w:val="none"/>
                    </w:rPr>
                    <w:t>日排水量未达到100立方米，日排COD未达到30千克以上</w:t>
                  </w:r>
                  <w:r>
                    <w:rPr>
                      <w:rFonts w:hint="eastAsia"/>
                      <w:color w:val="auto"/>
                      <w:lang w:eastAsia="zh-CN"/>
                      <w:highlight w:val="none"/>
                    </w:rPr>
                    <w:t>，</w:t>
                  </w:r>
                  <w:r>
                    <w:rPr>
                      <w:rFonts w:hint="eastAsia"/>
                      <w:color w:val="auto"/>
                      <w:lang w:val="en-US" w:eastAsia="zh-CN"/>
                      <w:highlight w:val="none"/>
                    </w:rPr>
                    <w:t>暂不安装在线监控装置</w:t>
                  </w:r>
                  <w:r>
                    <w:rPr>
                      <w:rFonts w:hint="eastAsia"/>
                      <w:color w:val="auto"/>
                      <w:lang w:eastAsia="zh-CN"/>
                      <w:highlight w:val="none"/>
                    </w:rPr>
                    <w:t>，</w:t>
                  </w:r>
                  <w:r>
                    <w:rPr>
                      <w:rFonts w:hint="eastAsia"/>
                      <w:color w:val="auto"/>
                      <w:lang w:val="en-US" w:eastAsia="zh-CN"/>
                      <w:highlight w:val="none"/>
                    </w:rPr>
                    <w:t>厂区废水</w:t>
                  </w:r>
                  <w:r>
                    <w:rPr>
                      <w:color w:val="auto"/>
                      <w:highlight w:val="none"/>
                    </w:rPr>
                    <w:t>均排入厂区污水处理站处理，处理后经市政管网排入</w:t>
                  </w:r>
                  <w:r>
                    <w:rPr>
                      <w:rFonts w:hint="eastAsia"/>
                      <w:color w:val="auto"/>
                      <w:highlight w:val="none"/>
                    </w:rPr>
                    <w:t>德威华泰石家庄市栾城水务有限公司</w:t>
                  </w:r>
                  <w:r>
                    <w:rPr>
                      <w:color w:val="auto"/>
                      <w:highlight w:val="none"/>
                    </w:rPr>
                    <w:t>。</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1058"/>
              </w:trPr>
              <w:tc>
                <w:tcPr>
                  <w:vAlign w:val="center"/>
                </w:tcPr>
                <w:p>
                  <w:pPr>
                    <w:pStyle w:val="23"/>
                    <w:bidi w:val="0"/>
                    <w:rPr>
                      <w:rFonts w:eastAsia="宋体"/>
                      <w:color w:val="auto"/>
                      <w:lang w:val="en-US" w:eastAsia="zh-CN"/>
                      <w:highlight w:val="none"/>
                    </w:rPr>
                  </w:pPr>
                  <w:r>
                    <w:rPr>
                      <w:rFonts w:hint="eastAsia"/>
                      <w:color w:val="auto"/>
                      <w:lang w:val="en-US" w:eastAsia="zh-CN"/>
                      <w:highlight w:val="none"/>
                    </w:rPr>
                    <w:t>7</w:t>
                  </w:r>
                </w:p>
              </w:tc>
              <w:tc>
                <w:tcPr>
                  <w:tcBorders>
                    <w:left w:val="single" w:sz="4" w:space="0" w:color="auto"/>
                  </w:tcBorders>
                  <w:vAlign w:val="center"/>
                </w:tcPr>
                <w:p>
                  <w:pPr>
                    <w:pStyle w:val="23"/>
                    <w:bidi w:val="0"/>
                    <w:rPr>
                      <w:rFonts w:eastAsia="宋体" w:hint="eastAsia"/>
                      <w:color w:val="auto"/>
                      <w:lang w:eastAsia="zh-CN"/>
                      <w:highlight w:val="none"/>
                    </w:rPr>
                  </w:pPr>
                  <w:r>
                    <w:rPr>
                      <w:color w:val="auto"/>
                      <w:highlight w:val="none"/>
                    </w:rPr>
                    <w:t>土壤污染防治</w:t>
                  </w:r>
                  <w:r>
                    <w:rPr>
                      <w:rFonts w:hint="eastAsia"/>
                      <w:color w:val="auto"/>
                      <w:lang w:val="en-US" w:eastAsia="zh-CN"/>
                      <w:highlight w:val="none"/>
                    </w:rPr>
                    <w:t>政策</w:t>
                  </w:r>
                </w:p>
              </w:tc>
              <w:tc>
                <w:tcPr>
                  <w:tcBorders>
                    <w:left w:val="single" w:sz="4" w:space="0" w:color="auto"/>
                  </w:tcBorders>
                  <w:shd w:val="clear" w:color="auto" w:fill="auto"/>
                  <w:vAlign w:val="center"/>
                </w:tcPr>
                <w:p>
                  <w:pPr>
                    <w:pStyle w:val="23"/>
                    <w:bidi w:val="0"/>
                    <w:rPr>
                      <w:color w:val="auto"/>
                      <w:highlight w:val="none"/>
                    </w:rPr>
                  </w:pPr>
                  <w:r>
                    <w:rPr>
                      <w:color w:val="auto"/>
                      <w:highlight w:val="none"/>
                    </w:rPr>
                    <w:t>《河北省</w:t>
                  </w:r>
                  <w:r>
                    <w:rPr>
                      <w:rFonts w:hint="eastAsia"/>
                      <w:color w:val="auto"/>
                      <w:highlight w:val="none"/>
                    </w:rPr>
                    <w:t>“净土行动”</w:t>
                  </w:r>
                  <w:r>
                    <w:rPr>
                      <w:color w:val="auto"/>
                      <w:highlight w:val="none"/>
                    </w:rPr>
                    <w:t>土壤污染防治工作方案》</w:t>
                  </w:r>
                </w:p>
              </w:tc>
              <w:tc>
                <w:tcPr>
                  <w:tcBorders>
                    <w:left w:val="single" w:sz="4" w:space="0" w:color="auto"/>
                  </w:tcBorders>
                  <w:shd w:val="clear" w:color="auto" w:fill="auto"/>
                  <w:vAlign w:val="center"/>
                </w:tcPr>
                <w:p>
                  <w:pPr>
                    <w:pStyle w:val="23"/>
                    <w:bidi w:val="0"/>
                    <w:rPr>
                      <w:color w:val="auto"/>
                      <w:highlight w:val="none"/>
                    </w:rPr>
                  </w:pPr>
                  <w:r>
                    <w:rPr>
                      <w:color w:val="auto"/>
                      <w:highlight w:val="none"/>
                    </w:rPr>
                    <w:t>各市、县（市、区）政府编制城市总体规划时，要根据疑似污染地块、污染地块名录及其土壤环境质量评估结果、负面清单，合理确定污染地块的土地用途。城乡规划部门在编制控制性详细规划时，要根据疑似污染地块、污染地块名录及其土壤环境质量评估结果、负面清单，合理确定污染地块的土地用途，明确污染地块再开发利用必须符合规划用途的土壤环境质量要求，并征求同级生态环境部门意见，反馈意见作为附件随控制性详细规划报批。不符合相应规划用地土壤环境质量要求的地块，不得核发建设工程规划许可证。</w:t>
                  </w:r>
                </w:p>
              </w:tc>
              <w:tc>
                <w:tcPr>
                  <w:tcBorders>
                    <w:left w:val="single" w:sz="4" w:space="0" w:color="auto"/>
                  </w:tcBorders>
                  <w:shd w:val="clear" w:color="auto" w:fill="auto"/>
                  <w:vAlign w:val="center"/>
                </w:tcPr>
                <w:p>
                  <w:pPr>
                    <w:pStyle w:val="23"/>
                    <w:bidi w:val="0"/>
                    <w:rPr>
                      <w:color w:val="auto"/>
                      <w:highlight w:val="none"/>
                    </w:rPr>
                  </w:pPr>
                  <w:r>
                    <w:rPr>
                      <w:color w:val="auto"/>
                      <w:highlight w:val="none"/>
                    </w:rPr>
                    <w:t>本项目占地类型是工业用地，符合用地规划。</w:t>
                  </w:r>
                </w:p>
              </w:tc>
              <w:tc>
                <w:tcPr>
                  <w:tcBorders>
                    <w:left w:val="single" w:sz="4" w:space="0" w:color="auto"/>
                  </w:tcBorders>
                  <w:vAlign w:val="center"/>
                </w:tcPr>
                <w:p>
                  <w:pPr>
                    <w:pStyle w:val="23"/>
                    <w:bidi w:val="0"/>
                    <w:rPr>
                      <w:color w:val="auto"/>
                      <w:highlight w:val="none"/>
                    </w:rPr>
                  </w:pPr>
                  <w:r>
                    <w:rPr>
                      <w:color w:val="auto"/>
                      <w:highlight w:val="none"/>
                    </w:rPr>
                    <w:t>符合</w:t>
                  </w:r>
                </w:p>
              </w:tc>
            </w:tr>
            <w:tr>
              <w:trPr>
                <w:trHeight w:val="57"/>
              </w:trPr>
              <w:tc>
                <w:tcPr>
                  <w:vAlign w:val="center"/>
                </w:tcPr>
                <w:p>
                  <w:pPr>
                    <w:pStyle w:val="23"/>
                    <w:bidi w:val="0"/>
                    <w:rPr>
                      <w:color w:val="auto"/>
                      <w:lang w:val="en-US" w:eastAsia="zh-CN"/>
                      <w:highlight w:val="none"/>
                    </w:rPr>
                  </w:pPr>
                  <w:r>
                    <w:rPr>
                      <w:rFonts w:hint="eastAsia"/>
                      <w:color w:val="auto"/>
                      <w:lang w:val="en-US" w:eastAsia="zh-CN"/>
                      <w:highlight w:val="none"/>
                    </w:rPr>
                    <w:t>8</w:t>
                  </w:r>
                </w:p>
              </w:tc>
              <w:tc>
                <w:tcPr>
                  <w:vMerge w:val="restart"/>
                  <w:tcBorders>
                    <w:left w:val="single" w:sz="4" w:space="0" w:color="auto"/>
                  </w:tcBorders>
                  <w:vAlign w:val="center"/>
                </w:tcPr>
                <w:p>
                  <w:pPr>
                    <w:pStyle w:val="23"/>
                    <w:bidi w:val="0"/>
                    <w:rPr>
                      <w:rFonts w:eastAsia="宋体" w:hint="eastAsia"/>
                      <w:color w:val="auto"/>
                      <w:lang w:val="en-US" w:eastAsia="zh-CN"/>
                      <w:highlight w:val="none"/>
                    </w:rPr>
                  </w:pPr>
                  <w:r>
                    <w:rPr>
                      <w:rFonts w:hint="eastAsia"/>
                      <w:color w:val="auto"/>
                      <w:lang w:val="en-US" w:eastAsia="zh-CN"/>
                      <w:highlight w:val="none"/>
                    </w:rPr>
                    <w:t>生态环境防治政策</w:t>
                  </w:r>
                </w:p>
              </w:tc>
              <w:tc>
                <w:tcPr>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河北省生态环境保</w:t>
                  </w:r>
                  <w:r>
                    <w:rPr>
                      <w:rFonts w:hint="eastAsia"/>
                      <w:color w:val="auto"/>
                      <w:highlight w:val="none"/>
                    </w:rPr>
                    <w:t>护“十四五”规</w:t>
                  </w:r>
                  <w:r>
                    <w:rPr>
                      <w:color w:val="auto"/>
                      <w:highlight w:val="none"/>
                    </w:rPr>
                    <w:t>划</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color w:val="auto"/>
                      <w:kern w:val="0"/>
                      <w:sz w:val="21"/>
                      <w:szCs w:val="24"/>
                      <w:lang w:val="en-US" w:eastAsia="zh-CN" w:bidi="ar-SA"/>
                      <w:highlight w:val="none"/>
                    </w:rPr>
                  </w:pPr>
                  <w:r>
                    <w:rPr>
                      <w:rFonts w:hint="eastAsia"/>
                      <w:color w:val="auto"/>
                      <w:highlight w:val="none"/>
                    </w:rPr>
                    <w:t>生态环境质量持续改善。主要污染物排放持续减少，环境空气质量全面改善，优良天数比率持续提高，基本消除重污染天气。水环境质量稳步提升，水生态功能初步得到恢复，海洋生态环境稳中向好，城乡人居环境明显改善。环境风险得到有效防控。土壤污染风险得到有效管控，危险废物和新污染物治理能力明显增强，核与辐射环境风险有效管控，防范化解生态环境风险能力显著增强。</w:t>
                  </w:r>
                </w:p>
              </w:tc>
              <w:tc>
                <w:tcPr>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color w:val="auto"/>
                      <w:kern w:val="0"/>
                      <w:sz w:val="21"/>
                      <w:szCs w:val="24"/>
                      <w:lang w:val="en-US" w:eastAsia="zh-CN" w:bidi="ar-SA"/>
                      <w:highlight w:val="none"/>
                    </w:rPr>
                  </w:pPr>
                  <w:r>
                    <w:rPr>
                      <w:rFonts w:hint="eastAsia"/>
                      <w:color w:val="auto"/>
                      <w:highlight w:val="none"/>
                    </w:rPr>
                    <w:t>本项目符合国家和地方生态保护规划要求，本项目废气达标排放；</w:t>
                  </w:r>
                  <w:r>
                    <w:rPr>
                      <w:rFonts w:hint="eastAsia"/>
                      <w:color w:val="auto"/>
                      <w:lang w:val="en-US" w:eastAsia="zh-CN"/>
                      <w:highlight w:val="none"/>
                    </w:rPr>
                    <w:t>本项目生产废水和生活污水经处理后通过市政管网排入德威华泰石家庄市栾城水务有限公司</w:t>
                  </w:r>
                  <w:r>
                    <w:rPr>
                      <w:rFonts w:hint="eastAsia"/>
                      <w:color w:val="auto"/>
                      <w:highlight w:val="none"/>
                    </w:rPr>
                    <w:t>；噪声排放达标；固体废物得到妥善处理，不会对地方生态环境造成破坏。</w:t>
                  </w:r>
                </w:p>
              </w:tc>
              <w:tc>
                <w:tcPr>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hint="eastAsia"/>
                      <w:color w:val="auto"/>
                      <w:highlight w:val="none"/>
                    </w:rPr>
                    <w:t>符合</w:t>
                  </w:r>
                </w:p>
              </w:tc>
            </w:tr>
            <w:tr>
              <w:trPr>
                <w:trHeight w:val="57"/>
              </w:trPr>
              <w:tc>
                <w:tcPr>
                  <w:vAlign w:val="center"/>
                </w:tcPr>
                <w:p>
                  <w:pPr>
                    <w:pStyle w:val="23"/>
                    <w:bidi w:val="0"/>
                    <w:rPr>
                      <w:color w:val="auto"/>
                      <w:lang w:val="en-US" w:eastAsia="zh-CN"/>
                      <w:highlight w:val="none"/>
                    </w:rPr>
                  </w:pPr>
                  <w:r>
                    <w:rPr>
                      <w:rFonts w:hint="eastAsia"/>
                      <w:color w:val="auto"/>
                      <w:lang w:val="en-US" w:eastAsia="zh-CN"/>
                      <w:highlight w:val="none"/>
                    </w:rPr>
                    <w:t>9</w:t>
                  </w:r>
                </w:p>
              </w:tc>
              <w:tc>
                <w:tcPr>
                  <w:vMerge/>
                  <w:tcBorders>
                    <w:left w:val="single" w:sz="4" w:space="0" w:color="auto"/>
                  </w:tcBorders>
                  <w:vAlign w:val="center"/>
                </w:tcPr>
                <w:p/>
              </w:tc>
              <w:tc>
                <w:tcPr>
                  <w:tcBorders>
                    <w:left w:val="single" w:sz="4" w:space="0" w:color="auto"/>
                  </w:tcBorders>
                  <w:shd w:val="clear" w:color="auto" w:fill="auto"/>
                  <w:vAlign w:val="center"/>
                </w:tcPr>
                <w:p>
                  <w:pPr>
                    <w:pStyle w:val="23"/>
                    <w:bidi w:val="0"/>
                    <w:ind w:firstLine="0"/>
                    <w:rPr>
                      <w:color w:val="auto"/>
                      <w:highlight w:val="none"/>
                    </w:rPr>
                  </w:pPr>
                  <w:r>
                    <w:rPr>
                      <w:color w:val="auto"/>
                      <w:highlight w:val="none"/>
                    </w:rPr>
                    <w:t>《石家庄市大气环境质量限期达标规划》（石政发〔2025〕11号）</w:t>
                  </w:r>
                </w:p>
              </w:tc>
              <w:tc>
                <w:tcPr>
                  <w:tcBorders>
                    <w:left w:val="single" w:sz="4" w:space="0" w:color="auto"/>
                  </w:tcBorders>
                  <w:shd w:val="clear" w:color="auto" w:fill="auto"/>
                  <w:vAlign w:val="center"/>
                </w:tcPr>
                <w:p>
                  <w:pPr>
                    <w:pStyle w:val="23"/>
                    <w:bidi w:val="0"/>
                    <w:ind w:left="0" w:right="0" w:firstLine="0"/>
                    <w:jc w:val="center"/>
                    <w:rPr>
                      <w:rFonts w:hint="eastAsia"/>
                      <w:color w:val="auto"/>
                      <w:highlight w:val="none"/>
                    </w:rPr>
                  </w:pPr>
                  <w:r>
                    <w:rPr>
                      <w:rFonts w:hint="eastAsia"/>
                      <w:color w:val="auto"/>
                      <w:highlight w:val="none"/>
                    </w:rPr>
                    <w:t>1.严格环境准入严格落实生态环境分区管控。强化生态环境分区管控的刚性约束和政策引领作用，新、改、扩建项目的环境影响评价应满足区域、规划环评要求。按照《石家庄市生态环境准入清单》要求，严格控制生产和使用高VOCs含量涂料、油墨、胶粘剂、清洗剂等建设项目，提高低（无）VOCs含量产品比重。严控“两高”项目准入。全市不再新增钢铁（含铸造用生铁）、焦化、水泥熟料（超出产能进行产能置换除外）、平板玻璃、电解铝、氧化铝（含氢氧化铝）、煤化工产能。严格执行重点行业产能减量或等量置换相关规定。对本地新、改、扩建项目排放的颗粒物、SO</w:t>
                  </w:r>
                  <w:r>
                    <w:rPr>
                      <w:rFonts w:hint="eastAsia"/>
                      <w:color w:val="auto"/>
                      <w:vertAlign w:val="subscript"/>
                      <w:highlight w:val="none"/>
                    </w:rPr>
                    <w:t>2</w:t>
                  </w:r>
                  <w:r>
                    <w:rPr>
                      <w:rFonts w:hint="eastAsia"/>
                      <w:color w:val="auto"/>
                      <w:highlight w:val="none"/>
                    </w:rPr>
                    <w:t>、NOx、VOCs实行两倍削减替代。建设项目为高架源的，污染物替代指标应来源于高架源。</w:t>
                  </w:r>
                </w:p>
              </w:tc>
              <w:tc>
                <w:tcPr>
                  <w:tcBorders>
                    <w:left w:val="single" w:sz="4" w:space="0" w:color="auto"/>
                  </w:tcBorders>
                  <w:shd w:val="clear" w:color="auto" w:fill="auto"/>
                  <w:vAlign w:val="center"/>
                </w:tcPr>
                <w:p>
                  <w:pPr>
                    <w:pStyle w:val="23"/>
                    <w:bidi w:val="0"/>
                    <w:ind w:left="0" w:right="0" w:firstLine="0"/>
                    <w:jc w:val="center"/>
                    <w:rPr>
                      <w:rFonts w:eastAsia="宋体"/>
                      <w:color w:val="auto"/>
                      <w:lang w:val="en-US" w:eastAsia="zh-CN"/>
                      <w:highlight w:val="none"/>
                    </w:rPr>
                  </w:pPr>
                  <w:r>
                    <w:rPr>
                      <w:rFonts w:hint="eastAsia"/>
                      <w:color w:val="auto"/>
                      <w:highlight w:val="none"/>
                    </w:rPr>
                    <w:t>项目，不涉及生产和使用高VOCs含量涂料、油墨、胶粘剂、清洗剂等建设项目；项目不属于“两高”项目，不涉及新增钢铁（含铸造用生铁）、焦化、水泥熟料（超出产能进行产能置换除外）、平板玻璃、电解铝、氧化铝（含氢氧化铝）、煤化工产能；不属于重点行业，不涉及产能减量或等量置换</w:t>
                  </w:r>
                  <w:r>
                    <w:rPr>
                      <w:rFonts w:hint="eastAsia"/>
                      <w:color w:val="auto"/>
                      <w:lang w:eastAsia="zh-CN"/>
                      <w:highlight w:val="none"/>
                    </w:rPr>
                    <w:t>，颗粒物、SO</w:t>
                  </w:r>
                  <w:r>
                    <w:rPr>
                      <w:rFonts w:hint="eastAsia"/>
                      <w:color w:val="auto"/>
                      <w:vertAlign w:val="subscript"/>
                      <w:lang w:eastAsia="zh-CN"/>
                      <w:highlight w:val="none"/>
                    </w:rPr>
                    <w:t>2</w:t>
                  </w:r>
                  <w:r>
                    <w:rPr>
                      <w:rFonts w:hint="eastAsia"/>
                      <w:color w:val="auto"/>
                      <w:lang w:eastAsia="zh-CN"/>
                      <w:highlight w:val="none"/>
                    </w:rPr>
                    <w:t>、NOx、VOCs</w:t>
                  </w:r>
                  <w:r>
                    <w:rPr>
                      <w:rFonts w:hint="eastAsia"/>
                      <w:color w:val="auto"/>
                      <w:lang w:val="en-US" w:eastAsia="zh-CN"/>
                      <w:highlight w:val="none"/>
                    </w:rPr>
                    <w:t>总量实行两倍削减替代</w:t>
                  </w:r>
                </w:p>
              </w:tc>
              <w:tc>
                <w:tcPr>
                  <w:tcBorders>
                    <w:left w:val="single" w:sz="4" w:space="0" w:color="auto"/>
                  </w:tcBorders>
                  <w:shd w:val="clear" w:color="auto" w:fill="auto"/>
                  <w:vAlign w:val="center"/>
                </w:tcPr>
                <w:p>
                  <w:pPr>
                    <w:pStyle w:val="23"/>
                    <w:bidi w:val="0"/>
                    <w:ind w:firstLine="0"/>
                    <w:rPr>
                      <w:rFonts w:eastAsia="宋体" w:hint="eastAsia"/>
                      <w:color w:val="auto"/>
                      <w:lang w:val="en-US" w:eastAsia="zh-CN"/>
                      <w:highlight w:val="none"/>
                    </w:rPr>
                  </w:pPr>
                  <w:r>
                    <w:rPr>
                      <w:rFonts w:hint="eastAsia"/>
                      <w:color w:val="auto"/>
                      <w:lang w:val="en-US" w:eastAsia="zh-CN"/>
                      <w:highlight w:val="none"/>
                    </w:rPr>
                    <w:t>符合</w:t>
                  </w:r>
                </w:p>
              </w:tc>
            </w:tr>
          </w:tbl>
          <w:p>
            <w:pPr>
              <w:spacing w:line="360" w:lineRule="auto"/>
              <w:ind w:firstLineChars="200" w:firstLine="480"/>
              <w:rPr>
                <w:color w:val="auto"/>
                <w:sz w:val="24"/>
              </w:rPr>
            </w:pPr>
            <w:r>
              <w:rPr>
                <w:color w:val="auto"/>
                <w:sz w:val="24"/>
              </w:rPr>
              <w:t>综合以上分析可知，本项目建设符合</w:t>
            </w:r>
            <w:r>
              <w:rPr>
                <w:rFonts w:hint="eastAsia"/>
                <w:color w:val="auto"/>
                <w:sz w:val="24"/>
                <w:lang w:val="en-US" w:eastAsia="zh-CN"/>
              </w:rPr>
              <w:t>大气、土壤、水、生态环境</w:t>
            </w:r>
            <w:r>
              <w:rPr>
                <w:color w:val="auto"/>
                <w:sz w:val="24"/>
              </w:rPr>
              <w:t>污染防治</w:t>
            </w:r>
            <w:r>
              <w:rPr>
                <w:rFonts w:hint="eastAsia"/>
                <w:color w:val="auto"/>
                <w:sz w:val="24"/>
                <w:lang w:eastAsia="zh-CN"/>
              </w:rPr>
              <w:t>政策的</w:t>
            </w:r>
            <w:r>
              <w:rPr>
                <w:color w:val="auto"/>
                <w:sz w:val="24"/>
              </w:rPr>
              <w:t>要求。</w:t>
            </w:r>
          </w:p>
          <w:p>
            <w:pPr>
              <w:spacing w:line="360" w:lineRule="auto"/>
              <w:ind w:firstLineChars="200" w:firstLine="480"/>
              <w:rPr>
                <w:color w:val="auto"/>
                <w:sz w:val="24"/>
              </w:rPr>
            </w:pPr>
          </w:p>
          <w:p>
            <w:pPr>
              <w:spacing w:line="360" w:lineRule="auto"/>
              <w:ind w:firstLineChars="200" w:firstLine="480"/>
              <w:rPr>
                <w:b/>
                <w:bCs/>
                <w:color w:val="auto"/>
                <w:sz w:val="24"/>
              </w:rPr>
            </w:pPr>
            <w:r>
              <w:rPr>
                <w:b/>
                <w:bCs/>
                <w:color w:val="auto"/>
                <w:sz w:val="24"/>
              </w:rPr>
              <w:t>4、项目选址可行性分析</w:t>
            </w:r>
          </w:p>
          <w:p>
            <w:pPr>
              <w:spacing w:line="360" w:lineRule="auto"/>
              <w:ind w:firstLineChars="200" w:firstLine="480"/>
              <w:rPr>
                <w:color w:val="auto"/>
                <w:sz w:val="24"/>
              </w:rPr>
            </w:pPr>
            <w:r>
              <w:rPr>
                <w:color w:val="auto"/>
                <w:sz w:val="24"/>
              </w:rPr>
              <w:t>（1）厂址规划相符性</w:t>
            </w:r>
          </w:p>
          <w:p>
            <w:pPr>
              <w:spacing w:line="360" w:lineRule="auto"/>
              <w:ind w:firstLineChars="200" w:firstLine="480"/>
              <w:rPr>
                <w:color w:val="auto"/>
                <w:sz w:val="24"/>
              </w:rPr>
            </w:pPr>
            <w:r>
              <w:rPr>
                <w:rFonts w:hint="eastAsia"/>
                <w:color w:val="auto"/>
                <w:sz w:val="24"/>
              </w:rPr>
              <w:t>本项目位于</w:t>
            </w:r>
            <w:r>
              <w:rPr>
                <w:rFonts w:hint="eastAsia"/>
                <w:color w:val="auto"/>
                <w:sz w:val="24"/>
                <w:lang w:eastAsia="zh-CN"/>
              </w:rPr>
              <w:t>河北省石家庄市栾城区栾城镇环城南路11号</w:t>
            </w:r>
            <w:r>
              <w:rPr>
                <w:color w:val="auto"/>
                <w:sz w:val="24"/>
              </w:rPr>
              <w:t>，厂址中心地理坐标为</w:t>
            </w:r>
            <w:r>
              <w:rPr>
                <w:color w:val="auto"/>
                <w:sz w:val="24"/>
                <w:lang w:val="en-US" w:eastAsia="zh-CN"/>
              </w:rPr>
              <w:t>东经</w:t>
            </w:r>
            <w:r>
              <w:rPr>
                <w:rFonts w:ascii="Times New Roman" w:cs="Times New Roman" w:hAnsi="Times New Roman"/>
                <w:color w:val="auto"/>
                <w:sz w:val="24"/>
              </w:rPr>
              <w:t>114</w:t>
            </w:r>
            <w:r>
              <w:rPr>
                <w:rFonts w:ascii="Times New Roman" w:cs="Times New Roman" w:hAnsi="Times New Roman"/>
                <w:color w:val="auto"/>
                <w:sz w:val="24"/>
                <w:lang w:val="en-US" w:eastAsia="zh-CN"/>
              </w:rPr>
              <w:t>°</w:t>
            </w:r>
            <w:r>
              <w:rPr>
                <w:rFonts w:ascii="Times New Roman" w:cs="Times New Roman" w:hAnsi="Times New Roman"/>
                <w:color w:val="auto"/>
                <w:sz w:val="24"/>
              </w:rPr>
              <w:t>38</w:t>
            </w:r>
            <w:r>
              <w:rPr>
                <w:rFonts w:ascii="Times New Roman" w:cs="Times New Roman" w:hAnsi="Times New Roman"/>
                <w:color w:val="auto"/>
                <w:sz w:val="24"/>
                <w:lang w:val="en-US" w:eastAsia="zh-CN"/>
              </w:rPr>
              <w:t>′</w:t>
            </w:r>
            <w:r>
              <w:rPr>
                <w:rFonts w:ascii="Times New Roman" w:cs="Times New Roman" w:hAnsi="Times New Roman"/>
                <w:color w:val="auto"/>
                <w:sz w:val="24"/>
              </w:rPr>
              <w:t>10.971</w:t>
            </w:r>
            <w:r>
              <w:rPr>
                <w:rFonts w:ascii="Times New Roman" w:cs="Times New Roman" w:hAnsi="Times New Roman"/>
                <w:color w:val="auto"/>
                <w:sz w:val="24"/>
                <w:lang w:val="en-US" w:eastAsia="zh-CN"/>
              </w:rPr>
              <w:t>″</w:t>
            </w:r>
            <w:r>
              <w:rPr>
                <w:rFonts w:hint="eastAsia"/>
                <w:color w:val="auto"/>
                <w:sz w:val="24"/>
                <w:lang w:eastAsia="zh-CN"/>
              </w:rPr>
              <w:t>，</w:t>
            </w:r>
            <w:r>
              <w:rPr>
                <w:rFonts w:hint="eastAsia"/>
                <w:color w:val="auto"/>
                <w:sz w:val="24"/>
                <w:lang w:val="en-US" w:eastAsia="zh-CN"/>
              </w:rPr>
              <w:t>北纬</w:t>
            </w:r>
            <w:r>
              <w:rPr>
                <w:rFonts w:ascii="Times New Roman" w:cs="Times New Roman" w:hAnsi="Times New Roman"/>
                <w:color w:val="auto"/>
                <w:sz w:val="24"/>
              </w:rPr>
              <w:t>37</w:t>
            </w:r>
            <w:r>
              <w:rPr>
                <w:rFonts w:ascii="Times New Roman" w:cs="Times New Roman" w:hAnsi="Times New Roman"/>
                <w:color w:val="auto"/>
                <w:sz w:val="24"/>
                <w:lang w:val="en-US" w:eastAsia="zh-CN"/>
              </w:rPr>
              <w:t>°</w:t>
            </w:r>
            <w:r>
              <w:rPr>
                <w:rFonts w:ascii="Times New Roman" w:cs="Times New Roman" w:hAnsi="Times New Roman"/>
                <w:color w:val="auto"/>
                <w:sz w:val="24"/>
              </w:rPr>
              <w:t>52</w:t>
            </w:r>
            <w:r>
              <w:rPr>
                <w:rFonts w:ascii="Times New Roman" w:cs="Times New Roman" w:hAnsi="Times New Roman"/>
                <w:color w:val="auto"/>
                <w:sz w:val="24"/>
                <w:lang w:val="en-US" w:eastAsia="zh-CN"/>
              </w:rPr>
              <w:t>′</w:t>
            </w:r>
            <w:r>
              <w:rPr>
                <w:rFonts w:ascii="Times New Roman" w:cs="Times New Roman" w:hAnsi="Times New Roman"/>
                <w:color w:val="auto"/>
                <w:sz w:val="24"/>
              </w:rPr>
              <w:t>7.110</w:t>
            </w:r>
            <w:r>
              <w:rPr>
                <w:rFonts w:ascii="Times New Roman" w:cs="Times New Roman" w:hAnsi="Times New Roman"/>
                <w:color w:val="auto"/>
                <w:sz w:val="24"/>
                <w:lang w:val="en-US" w:eastAsia="zh-CN"/>
              </w:rPr>
              <w:t>″</w:t>
            </w:r>
            <w:r>
              <w:rPr>
                <w:color w:val="auto"/>
                <w:sz w:val="24"/>
              </w:rPr>
              <w:t>。</w:t>
            </w:r>
            <w:r>
              <w:rPr>
                <w:rFonts w:hint="eastAsia"/>
                <w:color w:val="auto"/>
                <w:sz w:val="24"/>
                <w:lang w:val="en-US" w:eastAsia="zh-CN"/>
                <w:highlight w:val="none"/>
              </w:rPr>
              <w:t>利用现有厂房建设本项目，本企业已获取土地证（见附件），土地性质为工业用地，不占用耕地</w:t>
            </w:r>
            <w:r>
              <w:rPr>
                <w:color w:val="auto"/>
                <w:sz w:val="24"/>
              </w:rPr>
              <w:t>。</w:t>
            </w:r>
          </w:p>
          <w:p>
            <w:pPr>
              <w:spacing w:line="360" w:lineRule="auto"/>
              <w:ind w:firstLineChars="200" w:firstLine="480"/>
              <w:rPr>
                <w:color w:val="auto"/>
                <w:sz w:val="24"/>
              </w:rPr>
            </w:pPr>
            <w:r>
              <w:rPr>
                <w:color w:val="auto"/>
                <w:sz w:val="24"/>
              </w:rPr>
              <w:t>（2）厂址符合环境功能区划</w:t>
            </w:r>
          </w:p>
          <w:p>
            <w:pPr>
              <w:adjustRightInd w:val="0"/>
              <w:snapToGrid w:val="0"/>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color w:val="auto"/>
                <w:kern w:val="2"/>
                <w:szCs w:val="24"/>
              </w:rPr>
              <w:t>根据环境功能区划，厂址所在区域环境空气为二类区，声环境属于</w:t>
            </w:r>
            <w:r>
              <w:rPr>
                <w:rFonts w:ascii="Times New Roman" w:hAnsi="Times New Roman" w:hint="eastAsia"/>
                <w:color w:val="auto"/>
                <w:kern w:val="2"/>
                <w:szCs w:val="24"/>
              </w:rPr>
              <w:t>3</w:t>
            </w:r>
            <w:r>
              <w:rPr>
                <w:rFonts w:ascii="Times New Roman" w:hAnsi="Times New Roman"/>
                <w:color w:val="auto"/>
                <w:kern w:val="2"/>
                <w:szCs w:val="24"/>
              </w:rPr>
              <w:t>类区。项目所在区域环境空气中，SO</w:t>
            </w:r>
            <w:r>
              <w:rPr>
                <w:rFonts w:ascii="Times New Roman" w:hAnsi="Times New Roman"/>
                <w:color w:val="auto"/>
                <w:kern w:val="2"/>
                <w:szCs w:val="24"/>
                <w:vertAlign w:val="subscript"/>
              </w:rPr>
              <w:t>2</w:t>
            </w:r>
            <w:r>
              <w:rPr>
                <w:rFonts w:ascii="Times New Roman" w:hAnsi="Times New Roman"/>
                <w:color w:val="auto"/>
                <w:kern w:val="2"/>
                <w:szCs w:val="24"/>
              </w:rPr>
              <w:t>年平均值</w:t>
            </w:r>
            <w:r>
              <w:rPr>
                <w:rFonts w:ascii="Times New Roman" w:hAnsi="Times New Roman" w:hint="eastAsia"/>
                <w:color w:val="auto"/>
                <w:kern w:val="2"/>
                <w:szCs w:val="24"/>
              </w:rPr>
              <w:t>、</w:t>
            </w:r>
            <w:r>
              <w:rPr>
                <w:rFonts w:ascii="Times New Roman" w:hAnsi="Times New Roman"/>
                <w:color w:val="auto"/>
                <w:kern w:val="2"/>
                <w:szCs w:val="24"/>
              </w:rPr>
              <w:t>NO</w:t>
            </w:r>
            <w:r>
              <w:rPr>
                <w:rFonts w:ascii="Times New Roman" w:hAnsi="Times New Roman"/>
                <w:color w:val="auto"/>
                <w:kern w:val="2"/>
                <w:szCs w:val="24"/>
                <w:vertAlign w:val="subscript"/>
              </w:rPr>
              <w:t>2</w:t>
            </w:r>
            <w:r>
              <w:rPr>
                <w:rFonts w:ascii="Times New Roman" w:hAnsi="Times New Roman"/>
                <w:color w:val="auto"/>
                <w:kern w:val="2"/>
                <w:szCs w:val="24"/>
              </w:rPr>
              <w:t>年平均值和CO24小时均值达标，但PM</w:t>
            </w:r>
            <w:r>
              <w:rPr>
                <w:rFonts w:ascii="Times New Roman" w:hAnsi="Times New Roman"/>
                <w:color w:val="auto"/>
                <w:kern w:val="2"/>
                <w:szCs w:val="24"/>
                <w:vertAlign w:val="subscript"/>
              </w:rPr>
              <w:t>10</w:t>
            </w:r>
            <w:r>
              <w:rPr>
                <w:rFonts w:ascii="Times New Roman" w:hAnsi="Times New Roman"/>
                <w:color w:val="auto"/>
                <w:kern w:val="2"/>
                <w:szCs w:val="24"/>
              </w:rPr>
              <w:t>年平均值、PM</w:t>
            </w:r>
            <w:r>
              <w:rPr>
                <w:rFonts w:ascii="Times New Roman" w:hAnsi="Times New Roman"/>
                <w:color w:val="auto"/>
                <w:kern w:val="2"/>
                <w:szCs w:val="24"/>
                <w:vertAlign w:val="subscript"/>
              </w:rPr>
              <w:t>2.5</w:t>
            </w:r>
            <w:r>
              <w:rPr>
                <w:rFonts w:ascii="Times New Roman" w:hAnsi="Times New Roman"/>
                <w:color w:val="auto"/>
                <w:kern w:val="2"/>
                <w:szCs w:val="24"/>
              </w:rPr>
              <w:t>年平均值和O</w:t>
            </w:r>
            <w:r>
              <w:rPr>
                <w:rFonts w:ascii="Times New Roman" w:hAnsi="Times New Roman"/>
                <w:color w:val="auto"/>
                <w:kern w:val="2"/>
                <w:szCs w:val="24"/>
                <w:vertAlign w:val="subscript"/>
              </w:rPr>
              <w:t>3</w:t>
            </w:r>
            <w:r>
              <w:rPr>
                <w:rFonts w:ascii="Times New Roman" w:hAnsi="Times New Roman"/>
                <w:color w:val="auto"/>
                <w:kern w:val="2"/>
                <w:szCs w:val="24"/>
              </w:rPr>
              <w:t>最大8小时平均值均高于</w:t>
            </w:r>
            <w:r>
              <w:rPr>
                <w:rFonts w:ascii="Times New Roman" w:hAnsi="Times New Roman" w:hint="eastAsia"/>
                <w:color w:val="auto"/>
                <w:kern w:val="2"/>
                <w:szCs w:val="24"/>
                <w:lang w:val="en-US" w:eastAsia="zh-CN"/>
              </w:rPr>
              <w:t>《环境空气质量标准》(GB3095-2026)</w:t>
            </w:r>
            <w:r>
              <w:rPr>
                <w:rFonts w:hint="eastAsia"/>
                <w:color w:val="auto"/>
                <w:kern w:val="2"/>
                <w:szCs w:val="24"/>
                <w:lang w:val="en-US" w:eastAsia="zh-CN"/>
              </w:rPr>
              <w:t>过渡阶段</w:t>
            </w:r>
            <w:r>
              <w:rPr>
                <w:rFonts w:ascii="Times New Roman" w:hAnsi="Times New Roman"/>
                <w:color w:val="auto"/>
                <w:kern w:val="2"/>
                <w:szCs w:val="24"/>
              </w:rPr>
              <w:t>二级标准。根据《环境影响评价技术导则大气环境》（HJ2.2-2018）中相关规定，石家庄市为不达标区。</w:t>
            </w:r>
            <w:r>
              <w:rPr>
                <w:rFonts w:ascii="Times New Roman" w:cs="宋体" w:hAnsi="Times New Roman" w:hint="eastAsia"/>
                <w:color w:val="auto"/>
                <w:kern w:val="2"/>
                <w:szCs w:val="24"/>
              </w:rPr>
              <w:t>项目对工程产生的主要废气、废水、噪声、固废等污染物均采取了严格的治理和处理、处置措施，在一定程度上减少了污染物的排放，污染物均能达标排放，因此，拟选厂址符合环境功能区划。</w:t>
            </w:r>
          </w:p>
          <w:p>
            <w:pPr>
              <w:spacing w:line="360" w:lineRule="auto"/>
              <w:ind w:firstLineChars="200" w:firstLine="480"/>
              <w:rPr>
                <w:color w:val="auto"/>
                <w:sz w:val="24"/>
              </w:rPr>
            </w:pPr>
            <w:r>
              <w:rPr>
                <w:color w:val="auto"/>
                <w:sz w:val="24"/>
              </w:rPr>
              <w:t>（3）厂址配套设施完善，交通便利</w:t>
            </w:r>
          </w:p>
          <w:p>
            <w:pPr>
              <w:adjustRightInd w:val="0"/>
              <w:snapToGrid w:val="0"/>
              <w:spacing w:before="0" w:beforeAutospacing="0" w:after="0" w:afterAutospacing="0" w:line="360" w:lineRule="auto"/>
              <w:ind w:firstLineChars="200" w:firstLine="480"/>
              <w:jc w:val="both"/>
              <w:rPr>
                <w:rFonts w:ascii="Times New Roman" w:hAnsi="Times New Roman"/>
                <w:color w:val="auto"/>
                <w:kern w:val="2"/>
                <w:szCs w:val="24"/>
              </w:rPr>
            </w:pPr>
            <w:r>
              <w:rPr>
                <w:rFonts w:ascii="Times New Roman" w:hAnsi="Times New Roman"/>
                <w:color w:val="auto"/>
                <w:kern w:val="2"/>
                <w:szCs w:val="24"/>
              </w:rPr>
              <w:t>项目位于</w:t>
            </w:r>
            <w:r>
              <w:rPr>
                <w:rFonts w:hint="eastAsia"/>
                <w:color w:val="auto"/>
                <w:kern w:val="2"/>
                <w:szCs w:val="24"/>
                <w:lang w:eastAsia="zh-CN"/>
              </w:rPr>
              <w:t>河北省石家庄市栾城区栾城镇环城南路11号</w:t>
            </w:r>
            <w:r>
              <w:rPr>
                <w:rFonts w:ascii="Times New Roman" w:hAnsi="Times New Roman"/>
                <w:color w:val="auto"/>
                <w:kern w:val="2"/>
                <w:szCs w:val="24"/>
              </w:rPr>
              <w:t>。供水、排水、供电、通讯等公用配套设施有保障，而且交通便利，有利于原材料运输。</w:t>
            </w:r>
          </w:p>
          <w:p>
            <w:pPr>
              <w:autoSpaceDE w:val="0"/>
              <w:autoSpaceDN w:val="0"/>
              <w:spacing w:line="360" w:lineRule="auto"/>
              <w:ind w:firstLineChars="200" w:firstLine="480"/>
              <w:rPr>
                <w:color w:val="auto"/>
                <w:sz w:val="24"/>
              </w:rPr>
            </w:pPr>
            <w:r>
              <w:rPr>
                <w:color w:val="auto"/>
                <w:sz w:val="24"/>
              </w:rPr>
              <w:t>（4）厂址周围敏感度分析</w:t>
            </w:r>
          </w:p>
          <w:p>
            <w:pPr>
              <w:adjustRightInd w:val="0"/>
              <w:snapToGrid w:val="0"/>
              <w:spacing w:before="0" w:beforeAutospacing="0" w:after="0" w:afterAutospacing="0" w:line="360" w:lineRule="auto"/>
              <w:ind w:firstLineChars="200" w:firstLine="480"/>
              <w:jc w:val="both"/>
              <w:rPr>
                <w:rFonts w:ascii="Times New Roman" w:hAnsi="Times New Roman"/>
                <w:bCs/>
                <w:color w:val="auto"/>
                <w:szCs w:val="24"/>
              </w:rPr>
            </w:pPr>
            <w:r>
              <w:rPr>
                <w:rFonts w:ascii="Times New Roman" w:hAnsi="Times New Roman"/>
                <w:color w:val="auto"/>
                <w:kern w:val="2"/>
                <w:szCs w:val="24"/>
              </w:rPr>
              <w:t>项目位于</w:t>
            </w:r>
            <w:r>
              <w:rPr>
                <w:rFonts w:hint="eastAsia"/>
                <w:color w:val="auto"/>
                <w:kern w:val="2"/>
                <w:szCs w:val="24"/>
                <w:lang w:eastAsia="zh-CN"/>
              </w:rPr>
              <w:t>河北省石家庄市栾城区栾城镇环城南路11号，</w:t>
            </w:r>
            <w:r>
              <w:rPr>
                <w:rFonts w:hint="eastAsia"/>
                <w:color w:val="auto"/>
                <w:kern w:val="2"/>
                <w:szCs w:val="24"/>
                <w:lang w:val="en-US" w:eastAsia="zh-CN"/>
              </w:rPr>
              <w:t>厂区北侧为石家庄市比夫派食品有限公司，南侧为城南路，西侧、东侧为在建厂房，</w:t>
            </w:r>
            <w:r>
              <w:rPr>
                <w:rFonts w:ascii="Times New Roman" w:hAnsi="Times New Roman"/>
                <w:color w:val="auto"/>
                <w:kern w:val="2"/>
                <w:szCs w:val="24"/>
              </w:rPr>
              <w:t>本项目最近的敏感点为项目</w:t>
            </w:r>
            <w:r>
              <w:rPr>
                <w:rFonts w:hint="eastAsia"/>
                <w:color w:val="auto"/>
                <w:kern w:val="2"/>
                <w:szCs w:val="24"/>
                <w:lang w:val="en-US" w:eastAsia="zh-CN"/>
              </w:rPr>
              <w:t>北</w:t>
            </w:r>
            <w:r>
              <w:rPr>
                <w:rFonts w:ascii="Times New Roman" w:hAnsi="Times New Roman"/>
                <w:color w:val="auto"/>
                <w:kern w:val="2"/>
                <w:szCs w:val="24"/>
              </w:rPr>
              <w:t>侧</w:t>
            </w:r>
            <w:r>
              <w:rPr>
                <w:rFonts w:hint="eastAsia"/>
                <w:color w:val="auto"/>
                <w:kern w:val="2"/>
                <w:szCs w:val="24"/>
                <w:lang w:val="en-US" w:eastAsia="zh-CN"/>
              </w:rPr>
              <w:t>290</w:t>
            </w:r>
            <w:r>
              <w:rPr>
                <w:rFonts w:ascii="Times New Roman" w:hAnsi="Times New Roman"/>
                <w:color w:val="auto"/>
                <w:kern w:val="2"/>
                <w:szCs w:val="24"/>
              </w:rPr>
              <w:t>m的</w:t>
            </w:r>
            <w:r>
              <w:rPr>
                <w:rFonts w:hint="eastAsia"/>
                <w:color w:val="auto"/>
                <w:kern w:val="2"/>
                <w:szCs w:val="24"/>
                <w:lang w:val="en-US" w:eastAsia="zh-CN"/>
              </w:rPr>
              <w:t>前彪冢</w:t>
            </w:r>
            <w:r>
              <w:rPr>
                <w:rFonts w:ascii="Times New Roman" w:hAnsi="Times New Roman" w:hint="eastAsia"/>
                <w:color w:val="auto"/>
                <w:kern w:val="2"/>
                <w:szCs w:val="24"/>
              </w:rPr>
              <w:t>村</w:t>
            </w:r>
            <w:r>
              <w:rPr>
                <w:rFonts w:hint="eastAsia"/>
                <w:color w:val="auto"/>
                <w:kern w:val="2"/>
                <w:szCs w:val="24"/>
                <w:lang w:eastAsia="zh-CN"/>
              </w:rPr>
              <w:t>，</w:t>
            </w:r>
            <w:r>
              <w:rPr>
                <w:rFonts w:ascii="Times New Roman" w:hAnsi="Times New Roman"/>
                <w:color w:val="auto"/>
                <w:kern w:val="2"/>
                <w:szCs w:val="24"/>
              </w:rPr>
              <w:t>项目区域内无自然保护区、风景点及重点保护文物等重点保护对象，厂址周围环境敏感度一般</w:t>
            </w:r>
            <w:r>
              <w:rPr>
                <w:rFonts w:hint="eastAsia"/>
                <w:color w:val="auto"/>
                <w:kern w:val="2"/>
                <w:szCs w:val="24"/>
                <w:lang w:eastAsia="zh-CN"/>
              </w:rPr>
              <w:t>，</w:t>
            </w:r>
            <w:r>
              <w:rPr>
                <w:rFonts w:ascii="Times New Roman" w:hAnsi="Times New Roman"/>
                <w:color w:val="auto"/>
                <w:kern w:val="2"/>
                <w:szCs w:val="24"/>
              </w:rPr>
              <w:t>不在生态保护红线规划范围之内。</w:t>
            </w:r>
          </w:p>
          <w:p>
            <w:pPr>
              <w:adjustRightInd w:val="0"/>
              <w:snapToGrid w:val="0"/>
              <w:spacing w:before="0" w:beforeAutospacing="0" w:after="0" w:afterAutospacing="0" w:line="360" w:lineRule="auto"/>
              <w:ind w:firstLineChars="200" w:firstLine="480"/>
              <w:jc w:val="both"/>
              <w:rPr>
                <w:rFonts w:ascii="Times New Roman" w:hAnsi="Times New Roman" w:hint="eastAsia"/>
                <w:color w:val="auto"/>
                <w:kern w:val="2"/>
                <w:szCs w:val="24"/>
              </w:rPr>
            </w:pPr>
            <w:r>
              <w:rPr>
                <w:rFonts w:ascii="Times New Roman" w:hAnsi="Times New Roman"/>
                <w:bCs/>
                <w:color w:val="auto"/>
                <w:szCs w:val="24"/>
              </w:rPr>
              <w:t>综上所述，本项目</w:t>
            </w:r>
            <w:r>
              <w:rPr>
                <w:rFonts w:ascii="Times New Roman" w:hAnsi="Times New Roman"/>
                <w:color w:val="auto"/>
                <w:kern w:val="2"/>
                <w:szCs w:val="24"/>
              </w:rPr>
              <w:t>选址符合要求</w:t>
            </w:r>
            <w:r>
              <w:rPr>
                <w:rFonts w:ascii="Times New Roman" w:hAnsi="Times New Roman" w:hint="eastAsia"/>
                <w:color w:val="auto"/>
                <w:kern w:val="2"/>
                <w:szCs w:val="24"/>
              </w:rPr>
              <w:t>。</w:t>
            </w:r>
          </w:p>
          <w:p>
            <w:pPr>
              <w:adjustRightInd w:val="0"/>
              <w:snapToGrid w:val="0"/>
              <w:spacing w:before="0" w:beforeAutospacing="0" w:after="0" w:afterAutospacing="0" w:line="360" w:lineRule="auto"/>
              <w:ind w:firstLineChars="200" w:firstLine="480"/>
              <w:jc w:val="both"/>
              <w:rPr>
                <w:rFonts w:ascii="Times New Roman" w:hAnsi="Times New Roman" w:hint="eastAsia"/>
                <w:color w:val="auto"/>
                <w:kern w:val="2"/>
                <w:szCs w:val="24"/>
              </w:rPr>
            </w:pPr>
          </w:p>
          <w:p>
            <w:pPr>
              <w:adjustRightInd w:val="0"/>
              <w:snapToGrid w:val="0"/>
              <w:spacing w:before="0" w:beforeAutospacing="0" w:after="0" w:afterAutospacing="0" w:line="360" w:lineRule="auto"/>
              <w:ind w:firstLineChars="200" w:firstLine="480"/>
              <w:jc w:val="both"/>
              <w:rPr>
                <w:rFonts w:ascii="Times New Roman" w:hAnsi="Times New Roman" w:hint="eastAsia"/>
                <w:color w:val="auto"/>
                <w:kern w:val="2"/>
                <w:szCs w:val="24"/>
              </w:rPr>
            </w:pPr>
          </w:p>
          <w:p>
            <w:pPr>
              <w:adjustRightInd w:val="0"/>
              <w:snapToGrid w:val="0"/>
              <w:spacing w:before="0" w:beforeAutospacing="0" w:after="0" w:afterAutospacing="0" w:line="360" w:lineRule="auto"/>
              <w:ind w:firstLineChars="200" w:firstLine="480"/>
              <w:jc w:val="both"/>
              <w:rPr>
                <w:rFonts w:ascii="Times New Roman" w:hAnsi="Times New Roman" w:hint="eastAsia"/>
                <w:color w:val="auto"/>
                <w:kern w:val="2"/>
                <w:szCs w:val="24"/>
              </w:rPr>
            </w:pPr>
          </w:p>
          <w:p>
            <w:pPr>
              <w:bidi w:val="0"/>
              <w:rPr>
                <w:b/>
                <w:bCs/>
                <w:color w:val="auto"/>
                <w:lang w:val="en-US" w:eastAsia="zh-CN"/>
              </w:rPr>
            </w:pPr>
            <w:r>
              <w:rPr>
                <w:rFonts w:hint="eastAsia"/>
                <w:b/>
                <w:bCs/>
                <w:color w:val="auto"/>
                <w:lang w:val="en-US" w:eastAsia="zh-CN"/>
              </w:rPr>
              <w:t>5、项目与沙化区政策分析</w:t>
            </w:r>
          </w:p>
          <w:p>
            <w:pPr>
              <w:adjustRightInd w:val="0"/>
              <w:snapToGrid w:val="0"/>
              <w:spacing w:before="0" w:beforeAutospacing="0" w:after="0" w:afterAutospacing="0" w:line="360" w:lineRule="auto"/>
              <w:ind w:firstLineChars="200" w:firstLine="480"/>
              <w:jc w:val="both"/>
              <w:rPr>
                <w:rFonts w:hint="eastAsia"/>
                <w:color w:val="auto"/>
                <w:lang w:val="en-US" w:eastAsia="zh-CN"/>
              </w:rPr>
            </w:pPr>
            <w:r>
              <w:rPr>
                <w:rFonts w:hint="eastAsia"/>
                <w:color w:val="auto"/>
                <w:lang w:val="en-US" w:eastAsia="zh-CN"/>
              </w:rPr>
              <w:t>《环境影响评价工作的通知》(冀环办字函120231326号)符合性分析根据《河北省生态环境厅办公室关于进一步做好沙区建设项目环境影响评价工作的通知》(冀环办字函[2023]326号)，经对照《河北省“三线一单”信息管理平台》中的沙化土地区域可知，项目占地不属于沙化土地。</w:t>
            </w:r>
          </w:p>
          <w:p>
            <w:pPr>
              <w:adjustRightInd w:val="0"/>
              <w:snapToGrid w:val="0"/>
              <w:spacing w:before="0" w:beforeAutospacing="0" w:after="0" w:afterAutospacing="0" w:line="360" w:lineRule="auto"/>
              <w:ind w:firstLineChars="200" w:firstLine="480"/>
              <w:jc w:val="both"/>
              <w:rPr>
                <w:rFonts w:hint="eastAsia"/>
                <w:color w:val="auto"/>
                <w:lang w:val="en-US" w:eastAsia="zh-CN"/>
              </w:rPr>
            </w:pPr>
            <w:r>
              <w:rPr>
                <w:rFonts w:hint="eastAsia"/>
                <w:color w:val="auto"/>
                <w:lang w:val="en-US" w:eastAsia="zh-CN"/>
              </w:rPr>
              <w:t>项目位于河北省石家庄市栾城区栾城镇环城南路11号，利用现有厂房，不破坏地表植被，对周围生态环境影响较轻。</w:t>
            </w:r>
          </w:p>
          <w:p>
            <w:pPr>
              <w:adjustRightInd w:val="0"/>
              <w:snapToGrid w:val="0"/>
              <w:spacing w:before="0" w:beforeAutospacing="0" w:after="0" w:afterAutospacing="0" w:line="360" w:lineRule="auto"/>
              <w:ind w:firstLineChars="200" w:firstLine="480"/>
              <w:jc w:val="both"/>
              <w:rPr>
                <w:color w:val="auto"/>
                <w:lang w:val="en-US" w:eastAsia="zh-CN"/>
              </w:rPr>
            </w:pPr>
            <w:r>
              <w:rPr>
                <w:rFonts w:hint="eastAsia"/>
                <w:color w:val="auto"/>
                <w:lang w:val="en-US" w:eastAsia="zh-CN"/>
              </w:rPr>
              <w:t>6、项目与《饮料制造废水治理工程技术规范》（HJ 2048-2015）分析</w:t>
            </w:r>
          </w:p>
          <w:p>
            <w:pPr>
              <w:pStyle w:val="24"/>
              <w:bidi w:val="0"/>
              <w:rPr>
                <w:color w:val="auto"/>
                <w:lang w:val="en-US" w:eastAsia="zh-CN"/>
              </w:rPr>
            </w:pPr>
            <w:r>
              <w:rPr>
                <w:rFonts w:hint="eastAsia"/>
                <w:color w:val="auto"/>
                <w:lang w:val="en-US" w:eastAsia="zh-CN"/>
              </w:rPr>
              <w:t>表1-5  《饮料制造废水治理工程技术规范》内容一览表</w:t>
            </w:r>
          </w:p>
          <w:tbl>
            <w:tblPr>
              <w:tblpPr w:leftFromText="180" w:rightFromText="180" w:vertAnchor="text" w:tblpXSpec="center" w:tblpY="1"/>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6"/>
              <w:gridCol w:w="4466"/>
              <w:gridCol w:w="2365"/>
            </w:tblGrid>
            <w:tr>
              <w:trPr>
                <w:trHeight w:val="23"/>
              </w:trPr>
              <w:tc>
                <w:tcPr>
                  <w:gridSpan w:val="2"/>
                  <w:vAlign w:val="center"/>
                </w:tcPr>
                <w:p>
                  <w:pPr>
                    <w:pStyle w:val="23"/>
                    <w:bidi w:val="0"/>
                    <w:rPr>
                      <w:color w:val="auto"/>
                    </w:rPr>
                  </w:pPr>
                  <w:r>
                    <w:rPr>
                      <w:rFonts w:hint="eastAsia"/>
                      <w:color w:val="auto"/>
                      <w:lang w:val="en-US" w:eastAsia="zh-CN"/>
                    </w:rPr>
                    <w:t>技术规范</w:t>
                  </w:r>
                  <w:r>
                    <w:rPr>
                      <w:color w:val="auto"/>
                    </w:rPr>
                    <w:t>内容</w:t>
                  </w:r>
                </w:p>
              </w:tc>
              <w:tc>
                <w:tcPr>
                  <w:vAlign w:val="center"/>
                </w:tcPr>
                <w:p>
                  <w:pPr>
                    <w:pStyle w:val="23"/>
                    <w:bidi w:val="0"/>
                    <w:rPr>
                      <w:color w:val="auto"/>
                    </w:rPr>
                  </w:pPr>
                  <w:r>
                    <w:rPr>
                      <w:color w:val="auto"/>
                    </w:rPr>
                    <w:t>本项目情况</w:t>
                  </w:r>
                </w:p>
              </w:tc>
            </w:tr>
            <w:tr>
              <w:trPr>
                <w:trHeight w:val="23"/>
              </w:trPr>
              <w:tc>
                <w:tcPr>
                  <w:vAlign w:val="center"/>
                </w:tcPr>
                <w:p>
                  <w:pPr>
                    <w:pStyle w:val="23"/>
                    <w:bidi w:val="0"/>
                    <w:rPr>
                      <w:color w:val="auto"/>
                      <w:lang w:val="en-US" w:eastAsia="zh-CN"/>
                    </w:rPr>
                  </w:pPr>
                  <w:r>
                    <w:rPr>
                      <w:rFonts w:hint="eastAsia"/>
                      <w:color w:val="auto"/>
                      <w:lang w:val="en-US" w:eastAsia="zh-CN"/>
                    </w:rPr>
                    <w:t>一般规定</w:t>
                  </w:r>
                </w:p>
              </w:tc>
              <w:tc>
                <w:tcPr>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饮料生产企业应从废水的产生、处理和排放全过程进行控制，采用清洁生产技术，提高资源、能源利用率，降低污染物的产生量和排放量，做好构(建)筑物的防渗措施，预防污染环境。</w:t>
                  </w:r>
                </w:p>
              </w:tc>
              <w:tc>
                <w:tcPr>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全厂产生的废水均经污水处理站处理后排入园区污水厂，各生产车间已采取防渗措施，预防污染环境。</w:t>
                  </w:r>
                </w:p>
              </w:tc>
            </w:tr>
            <w:tr>
              <w:trPr>
                <w:trHeight w:val="23"/>
              </w:trPr>
              <w:tc>
                <w:tcPr>
                  <w:vAlign w:val="center"/>
                </w:tcPr>
                <w:p>
                  <w:pPr>
                    <w:pStyle w:val="23"/>
                    <w:bidi w:val="0"/>
                    <w:rPr>
                      <w:color w:val="auto"/>
                      <w:lang w:val="en-US" w:eastAsia="zh-CN"/>
                    </w:rPr>
                  </w:pPr>
                  <w:r>
                    <w:rPr>
                      <w:rFonts w:hint="eastAsia"/>
                      <w:color w:val="auto"/>
                      <w:lang w:val="en-US" w:eastAsia="zh-CN"/>
                    </w:rPr>
                    <w:t>建设规模</w:t>
                  </w:r>
                </w:p>
              </w:tc>
              <w:tc>
                <w:tcPr>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建设规模的确定应以企业的水量、水质和预期变化情况为依据:现有企业废水治理工程应以实测数据为依据，新(扩、改)建企业可采用类比或物料衡算的方法。</w:t>
                  </w:r>
                </w:p>
              </w:tc>
              <w:tc>
                <w:tcPr>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本项目污水站设计处理规模为100m³/d，满足全厂排水需求。</w:t>
                  </w:r>
                </w:p>
              </w:tc>
            </w:tr>
            <w:tr>
              <w:trPr>
                <w:trHeight w:val="23"/>
              </w:trPr>
              <w:tc>
                <w:tcPr>
                  <w:vAlign w:val="center"/>
                </w:tcPr>
                <w:p>
                  <w:pPr>
                    <w:pStyle w:val="23"/>
                    <w:bidi w:val="0"/>
                    <w:rPr>
                      <w:color w:val="auto"/>
                      <w:lang w:val="en-US" w:eastAsia="zh-CN"/>
                    </w:rPr>
                  </w:pPr>
                  <w:r>
                    <w:rPr>
                      <w:rFonts w:hint="eastAsia"/>
                      <w:color w:val="auto"/>
                      <w:lang w:val="en-US" w:eastAsia="zh-CN"/>
                    </w:rPr>
                    <w:t>工艺设计</w:t>
                  </w:r>
                </w:p>
              </w:tc>
              <w:tc>
                <w:tcPr>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高浓度废水及特殊废水宜根据水质特点，在车间生产现场或废水治理工程内设置一级或多级预处理措施，确保其水质满足生化处理系统要求。应根据废水的水质特征、处理后水的去向、排放标准开展小试或中试研究，并进行可靠度和经济性比选后确定合适的工艺路线。</w:t>
                  </w:r>
                </w:p>
              </w:tc>
              <w:tc>
                <w:tcPr>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污水站设计处理工艺为：隔油-调节池-气浮-水解池-厌氧池-好氧池-沉淀池-好氧池-二级沉淀-斜管沉淀池，确保处理后的污水水质能达标排放。</w:t>
                  </w:r>
                </w:p>
              </w:tc>
            </w:tr>
          </w:tbl>
          <w:p>
            <w:pPr>
              <w:adjustRightInd w:val="0"/>
              <w:snapToGrid w:val="0"/>
              <w:spacing w:before="0" w:beforeAutospacing="0" w:after="0" w:afterAutospacing="0" w:line="360" w:lineRule="auto"/>
              <w:ind w:left="0" w:firstLineChars="0" w:firstLine="0"/>
              <w:jc w:val="both"/>
              <w:rPr>
                <w:rFonts w:hint="eastAsia"/>
                <w:color w:val="auto"/>
                <w:lang w:val="en-US" w:eastAsia="zh-CN"/>
              </w:rPr>
            </w:pPr>
          </w:p>
          <w:p>
            <w:pPr>
              <w:adjustRightInd w:val="0"/>
              <w:snapToGrid w:val="0"/>
              <w:spacing w:before="0" w:beforeAutospacing="0" w:after="0" w:afterAutospacing="0" w:line="360" w:lineRule="auto"/>
              <w:ind w:left="0" w:firstLineChars="0" w:firstLine="0"/>
              <w:jc w:val="both"/>
              <w:rPr>
                <w:rFonts w:hint="eastAsia"/>
                <w:color w:val="auto"/>
                <w:lang w:val="en-US" w:eastAsia="zh-CN"/>
              </w:rPr>
            </w:pPr>
          </w:p>
          <w:p>
            <w:pPr>
              <w:adjustRightInd w:val="0"/>
              <w:snapToGrid w:val="0"/>
              <w:spacing w:before="0" w:beforeAutospacing="0" w:after="0" w:afterAutospacing="0" w:line="360" w:lineRule="auto"/>
              <w:ind w:left="0" w:firstLineChars="0" w:firstLine="0"/>
              <w:jc w:val="both"/>
              <w:rPr>
                <w:rFonts w:hint="eastAsia"/>
                <w:color w:val="auto"/>
                <w:lang w:val="en-US" w:eastAsia="zh-CN"/>
              </w:rPr>
            </w:pPr>
          </w:p>
          <w:p>
            <w:pPr>
              <w:adjustRightInd w:val="0"/>
              <w:snapToGrid w:val="0"/>
              <w:spacing w:before="0" w:beforeAutospacing="0" w:after="0" w:afterAutospacing="0" w:line="360" w:lineRule="auto"/>
              <w:ind w:left="0" w:firstLineChars="0" w:firstLine="0"/>
              <w:jc w:val="both"/>
              <w:rPr>
                <w:rFonts w:hint="eastAsia"/>
                <w:color w:val="auto"/>
                <w:lang w:val="en-US" w:eastAsia="zh-CN"/>
              </w:rPr>
            </w:pPr>
          </w:p>
          <w:p>
            <w:pPr>
              <w:adjustRightInd w:val="0"/>
              <w:snapToGrid w:val="0"/>
              <w:spacing w:before="0" w:beforeAutospacing="0" w:after="0" w:afterAutospacing="0" w:line="360" w:lineRule="auto"/>
              <w:ind w:left="0" w:firstLineChars="0" w:firstLine="0"/>
              <w:jc w:val="both"/>
              <w:rPr>
                <w:rFonts w:hint="eastAsia"/>
                <w:color w:val="auto"/>
                <w:lang w:val="en-US" w:eastAsia="zh-CN"/>
              </w:rPr>
            </w:pPr>
          </w:p>
          <w:p>
            <w:pPr>
              <w:adjustRightInd w:val="0"/>
              <w:snapToGrid w:val="0"/>
              <w:spacing w:before="0" w:beforeAutospacing="0" w:after="0" w:afterAutospacing="0" w:line="360" w:lineRule="auto"/>
              <w:ind w:left="0" w:firstLineChars="0" w:firstLine="0"/>
              <w:jc w:val="both"/>
              <w:rPr>
                <w:rFonts w:hint="eastAsia"/>
                <w:color w:val="auto"/>
                <w:lang w:val="en-US" w:eastAsia="zh-CN"/>
              </w:rPr>
            </w:pPr>
          </w:p>
          <w:p>
            <w:pPr>
              <w:adjustRightInd w:val="0"/>
              <w:snapToGrid w:val="0"/>
              <w:spacing w:before="0" w:beforeAutospacing="0" w:after="0" w:afterAutospacing="0" w:line="360" w:lineRule="auto"/>
              <w:ind w:left="0" w:firstLineChars="0" w:firstLine="0"/>
              <w:jc w:val="both"/>
              <w:rPr>
                <w:rFonts w:hint="eastAsia"/>
                <w:color w:val="auto"/>
                <w:lang w:val="en-US" w:eastAsia="zh-CN"/>
              </w:rPr>
            </w:pPr>
          </w:p>
          <w:p>
            <w:pPr>
              <w:adjustRightInd w:val="0"/>
              <w:snapToGrid w:val="0"/>
              <w:spacing w:before="0" w:beforeAutospacing="0" w:after="0" w:afterAutospacing="0" w:line="360" w:lineRule="auto"/>
              <w:ind w:left="0" w:firstLineChars="0" w:firstLine="0"/>
              <w:jc w:val="both"/>
              <w:rPr>
                <w:rFonts w:hint="eastAsia"/>
                <w:color w:val="auto"/>
                <w:lang w:val="en-US" w:eastAsia="zh-CN"/>
              </w:rPr>
            </w:pPr>
          </w:p>
          <w:p>
            <w:pPr>
              <w:adjustRightInd w:val="0"/>
              <w:snapToGrid w:val="0"/>
              <w:spacing w:before="0" w:beforeAutospacing="0" w:after="0" w:afterAutospacing="0" w:line="360" w:lineRule="auto"/>
              <w:ind w:left="0" w:firstLineChars="0" w:firstLine="0"/>
              <w:jc w:val="both"/>
              <w:rPr>
                <w:rFonts w:hint="eastAsia"/>
                <w:color w:val="auto"/>
                <w:lang w:val="en-US" w:eastAsia="zh-CN"/>
              </w:rPr>
            </w:pPr>
          </w:p>
        </w:tc>
      </w:tr>
    </w:tbl>
    <w:p>
      <w:pPr>
        <w:spacing w:line="360" w:lineRule="auto"/>
        <w:outlineLvl w:val="0"/>
        <w:rPr>
          <w:rFonts w:eastAsia="黑体"/>
          <w:color w:val="auto"/>
          <w:sz w:val="24"/>
        </w:rPr>
        <w:sectPr>
          <w:footerReference w:type="default" r:id="rId4"/>
          <w:pgSz w:w="11906" w:h="16838"/>
          <w:pgMar w:top="1417" w:right="1417" w:bottom="1417" w:left="1417" w:header="851" w:footer="1077" w:gutter="0"/>
          <w:pgNumType w:start="1"/>
          <w:cols w:num="1" w:space="720"/>
          <w:docGrid w:linePitch="312" w:charSpace="0"/>
        </w:sectPr>
      </w:pPr>
    </w:p>
    <w:p>
      <w:pPr>
        <w:jc w:val="center"/>
        <w:outlineLvl w:val="0"/>
        <w:rPr>
          <w:rFonts w:ascii="Times New Roman" w:eastAsia="黑体" w:hAnsi="Times New Roman"/>
          <w:b/>
          <w:bCs/>
          <w:snapToGrid w:val="0"/>
          <w:color w:val="auto"/>
          <w:sz w:val="30"/>
          <w:szCs w:val="30"/>
        </w:rPr>
      </w:pPr>
      <w:r>
        <w:rPr>
          <w:rFonts w:ascii="Times New Roman" w:eastAsia="黑体" w:hAnsi="Times New Roman"/>
          <w:b/>
          <w:bCs/>
          <w:snapToGrid w:val="0"/>
          <w:color w:val="auto"/>
          <w:sz w:val="30"/>
          <w:szCs w:val="30"/>
        </w:rPr>
        <w:t>二、建设项目工程分析</w:t>
      </w:r>
    </w:p>
    <w:tbl>
      <w:tblPr>
        <w:jc w:val="center"/>
        <w:tblW w:w="92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48"/>
        <w:gridCol w:w="8640"/>
      </w:tblGrid>
      <w:tr>
        <w:trPr>
          <w:trHeight w:val="863"/>
        </w:trPr>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firstLineChars="0" w:firstLine="0"/>
              <w:jc w:val="center"/>
              <w:textAlignment w:val="auto"/>
              <w:rPr>
                <w:rFonts w:ascii="Times New Roman" w:eastAsia="宋体" w:hAnsi="Times New Roman" w:hint="eastAsia"/>
                <w:color w:val="auto"/>
                <w:sz w:val="24"/>
                <w:szCs w:val="24"/>
                <w:lang w:val="en-US" w:eastAsia="zh-CN"/>
              </w:rPr>
            </w:pPr>
            <w:r>
              <w:rPr>
                <w:rFonts w:hint="eastAsia"/>
                <w:color w:val="auto"/>
                <w:sz w:val="24"/>
                <w:szCs w:val="24"/>
                <w:lang w:val="en-US" w:eastAsia="zh-CN"/>
              </w:rPr>
              <w:t>建设内容</w:t>
            </w:r>
          </w:p>
        </w:tc>
        <w:tc>
          <w:tcPr>
            <w:tcW w:w="8640" w:type="dxa"/>
          </w:tcPr>
          <w:p>
            <w:pPr>
              <w:adjustRightInd w:val="0"/>
              <w:snapToGrid w:val="0"/>
              <w:spacing w:line="360" w:lineRule="auto"/>
              <w:ind w:firstLineChars="200" w:firstLine="480"/>
              <w:rPr>
                <w:b/>
                <w:bCs/>
                <w:color w:val="auto"/>
                <w:sz w:val="24"/>
                <w:szCs w:val="32"/>
              </w:rPr>
            </w:pPr>
            <w:r>
              <w:rPr>
                <w:b/>
                <w:bCs/>
                <w:color w:val="auto"/>
                <w:sz w:val="24"/>
                <w:szCs w:val="32"/>
              </w:rPr>
              <w:t>1、主要建设内容</w:t>
            </w:r>
          </w:p>
          <w:p>
            <w:pPr>
              <w:bidi w:val="0"/>
              <w:rPr>
                <w:color w:val="auto"/>
                <w:lang w:val="en-US" w:eastAsia="zh-CN"/>
              </w:rPr>
            </w:pPr>
            <w:r>
              <w:rPr>
                <w:rFonts w:hint="eastAsia"/>
                <w:color w:val="auto"/>
                <w:lang w:val="en-US" w:eastAsia="zh-CN"/>
              </w:rPr>
              <w:t>本项目主要建设内容为：①在现有饮料生产车间内购置打浆机、切菜机、浓缩机、清洗隧道、缓化隧道等生产果蔬汁（浆）、浓缩果蔬汁（浆）设备；②集中供热管道提供的蒸汽压力为8Mpa，本企业接入的管道为其他企业使用的主管道，我单位单独使用时蒸汽压力在4-6Mpa，但与其他企业同时使用时蒸汽压力只有2-3Mpa。本企业现有工程生产运行所需蒸汽压力为4Mpa，由于蒸汽压力波动会影响现有工程正常生产且本项目新增的杀菌机所需的蒸汽压力为7-8MPa，集中供热供给的蒸汽压力已无法满足本项目的生产需求，因此本项目拟在2#车间内建设锅炉房1座，购置2台2t/h蒸汽发生器及纯水制备设备，为本项目及现有生产工序供应蒸汽；③在食品添加剂车间内新增1套喷雾干燥设备和1套旋风灌装机，将现有液体食品添加剂生产设备生产的液料进行喷雾干燥制成固体食品添加剂；④在3#车间2层新建研发实验室；⑤在1#车间2层建设检测实验室。</w:t>
            </w:r>
          </w:p>
          <w:p>
            <w:pPr>
              <w:adjustRightInd w:val="0"/>
              <w:snapToGrid w:val="0"/>
              <w:spacing w:line="360" w:lineRule="auto"/>
              <w:ind w:firstLineChars="200" w:firstLine="480"/>
              <w:rPr>
                <w:color w:val="auto"/>
                <w:sz w:val="24"/>
                <w:szCs w:val="32"/>
              </w:rPr>
            </w:pPr>
            <w:r>
              <w:rPr>
                <w:rFonts w:hint="eastAsia"/>
                <w:color w:val="auto"/>
                <w:sz w:val="24"/>
                <w:szCs w:val="32"/>
              </w:rPr>
              <w:t>本项目</w:t>
            </w:r>
            <w:r>
              <w:rPr>
                <w:color w:val="auto"/>
                <w:sz w:val="24"/>
                <w:szCs w:val="32"/>
              </w:rPr>
              <w:t>主要建设内容见表</w:t>
            </w:r>
            <w:r>
              <w:rPr>
                <w:rFonts w:hint="eastAsia"/>
                <w:color w:val="auto"/>
                <w:sz w:val="24"/>
                <w:szCs w:val="32"/>
              </w:rPr>
              <w:t>2</w:t>
            </w:r>
            <w:r>
              <w:rPr>
                <w:color w:val="auto"/>
                <w:sz w:val="24"/>
                <w:szCs w:val="32"/>
              </w:rPr>
              <w:t>-1。</w:t>
            </w:r>
          </w:p>
          <w:p>
            <w:pPr>
              <w:pStyle w:val="24"/>
              <w:bidi w:val="0"/>
              <w:rPr>
                <w:color w:val="auto"/>
              </w:rPr>
            </w:pPr>
            <w:r>
              <w:rPr>
                <w:color w:val="auto"/>
              </w:rPr>
              <w:t>表2-1</w:t>
            </w:r>
            <w:r>
              <w:rPr>
                <w:rFonts w:hint="eastAsia"/>
                <w:color w:val="auto"/>
              </w:rPr>
              <w:t xml:space="preserve">  本项目</w:t>
            </w:r>
            <w:r>
              <w:rPr>
                <w:color w:val="auto"/>
              </w:rPr>
              <w:t>主要建设内容一览表</w:t>
            </w:r>
          </w:p>
          <w:tbl>
            <w:tblPr>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468"/>
              <w:gridCol w:w="544"/>
              <w:gridCol w:w="2634"/>
              <w:gridCol w:w="2936"/>
              <w:gridCol w:w="1823"/>
            </w:tblGrid>
            <w:tr>
              <w:trPr>
                <w:trHeight w:val="23"/>
              </w:trPr>
              <w:tc>
                <w:tcPr>
                  <w:vMerge w:val="restart"/>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工程类别</w:t>
                  </w:r>
                </w:p>
              </w:tc>
              <w:tc>
                <w:tcPr>
                  <w:vMerge w:val="restart"/>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项目名称</w:t>
                  </w:r>
                </w:p>
              </w:tc>
              <w:tc>
                <w:tcPr>
                  <w:gridSpan w:val="2"/>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建设内容</w:t>
                  </w:r>
                </w:p>
              </w:tc>
              <w:tc>
                <w:tcPr>
                  <w:vMerge w:val="restart"/>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备注</w:t>
                  </w:r>
                </w:p>
              </w:tc>
            </w:tr>
            <w:tr>
              <w:trPr>
                <w:trHeight w:val="23"/>
              </w:trPr>
              <w:tc>
                <w:tcPr>
                  <w:vMerge/>
                  <w:tcBorders>
                    <w:tl2br w:val="nil"/>
                    <w:tr2bl w:val="nil"/>
                  </w:tcBorders>
                  <w:vAlign w:val="center"/>
                </w:tcPr>
                <w:p/>
              </w:tc>
              <w:tc>
                <w:tcPr>
                  <w:vMerge/>
                  <w:tcBorders>
                    <w:tl2br w:val="nil"/>
                    <w:tr2bl w:val="nil"/>
                  </w:tcBorders>
                  <w:vAlign w:val="center"/>
                </w:tcP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现有工程</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本项目</w:t>
                  </w:r>
                </w:p>
              </w:tc>
              <w:tc>
                <w:tcPr>
                  <w:vMerge/>
                  <w:tcBorders>
                    <w:tl2br w:val="nil"/>
                    <w:tr2bl w:val="nil"/>
                  </w:tcBorders>
                  <w:vAlign w:val="center"/>
                </w:tcPr>
                <w:p/>
              </w:tc>
            </w:tr>
            <w:tr>
              <w:trPr>
                <w:trHeight w:val="23"/>
              </w:trPr>
              <w:tc>
                <w:tcPr>
                  <w:vMerge w:val="restart"/>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主体工程</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食品添加剂生产车间</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位于1#车间2层，用于生产固体、液体型、乳化型食品添加剂。</w:t>
                  </w:r>
                </w:p>
              </w:tc>
              <w:tc>
                <w:tcPr>
                  <w:tcBorders>
                    <w:tl2br w:val="nil"/>
                    <w:tr2bl w:val="nil"/>
                  </w:tcBorders>
                  <w:shd w:val="clear" w:color="auto" w:fill="auto"/>
                  <w:vAlign w:val="center"/>
                </w:tcPr>
                <w:p>
                  <w:pPr>
                    <w:pStyle w:val="25"/>
                    <w:tabs>
                      <w:tab w:val="left" w:pos="1680"/>
                      <w:tab w:val="left" w:pos="3465"/>
                    </w:tabs>
                    <w:bidi w:val="0"/>
                    <w:ind w:firstLine="0"/>
                    <w:rPr>
                      <w:rFonts w:cs="宋体" w:hint="eastAsia"/>
                      <w:snapToGrid w:val="0"/>
                      <w:color w:val="auto"/>
                      <w:spacing w:val="4"/>
                      <w:kern w:val="2"/>
                      <w:sz w:val="21"/>
                      <w:szCs w:val="18"/>
                      <w:shd w:val="clear" w:color="auto" w:fill="FFFFFF"/>
                      <w:lang w:val="en-US" w:eastAsia="zh-CN" w:bidi="ar-SA"/>
                    </w:rPr>
                  </w:pPr>
                  <w:r>
                    <w:rPr>
                      <w:rFonts w:eastAsia="宋体" w:cs="宋体" w:hint="eastAsia"/>
                      <w:snapToGrid w:val="0"/>
                      <w:color w:val="auto"/>
                      <w:spacing w:val="4"/>
                      <w:kern w:val="2"/>
                      <w:sz w:val="21"/>
                      <w:szCs w:val="18"/>
                      <w:shd w:val="clear" w:color="auto" w:fill="FFFFFF"/>
                      <w:lang w:val="en-US" w:eastAsia="zh-CN" w:bidi="ar-SA"/>
                    </w:rPr>
                    <w:t>依托现有车间，新增1套喷雾干燥设备和1套旋风灌装机，将现有液体食品添加剂生产设备生产的液料进行喷雾干燥制成固体食品添加剂</w:t>
                  </w:r>
                  <w:r>
                    <w:rPr>
                      <w:rFonts w:cs="宋体" w:hint="eastAsia"/>
                      <w:snapToGrid w:val="0"/>
                      <w:color w:val="auto"/>
                      <w:spacing w:val="4"/>
                      <w:kern w:val="2"/>
                      <w:sz w:val="21"/>
                      <w:szCs w:val="18"/>
                      <w:shd w:val="clear" w:color="auto" w:fill="FFFFFF"/>
                      <w:lang w:val="en-US" w:eastAsia="zh-CN" w:bidi="ar-SA"/>
                    </w:rPr>
                    <w:t>；</w:t>
                  </w:r>
                </w:p>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cs="宋体" w:hint="eastAsia"/>
                      <w:snapToGrid w:val="0"/>
                      <w:color w:val="auto"/>
                      <w:spacing w:val="4"/>
                      <w:kern w:val="2"/>
                      <w:sz w:val="21"/>
                      <w:szCs w:val="18"/>
                      <w:shd w:val="clear" w:color="auto" w:fill="FFFFFF"/>
                      <w:lang w:val="en-US" w:eastAsia="zh-CN" w:bidi="ar-SA"/>
                    </w:rPr>
                    <w:t>在车间内新建检测实验室。</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依托现有车间，新增生产设备，新建检测实验室</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饮料生产车间</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位于1#车间1层，用于生产饮料。</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ascii="Times New Roman" w:eastAsia="宋体" w:cs="宋体" w:hAnsi="Times New Roman"/>
                      <w:snapToGrid w:val="0"/>
                      <w:color w:val="auto"/>
                      <w:spacing w:val="4"/>
                      <w:kern w:val="2"/>
                      <w:sz w:val="21"/>
                      <w:szCs w:val="18"/>
                      <w:shd w:val="clear" w:color="auto" w:fill="FFFFFF"/>
                      <w:lang w:val="en-US" w:eastAsia="zh-CN" w:bidi="ar-SA"/>
                    </w:rPr>
                    <w:t>依托现有车间，新增</w:t>
                  </w:r>
                  <w:r>
                    <w:rPr>
                      <w:rFonts w:cs="宋体" w:hint="eastAsia"/>
                      <w:snapToGrid w:val="0"/>
                      <w:color w:val="auto"/>
                      <w:spacing w:val="4"/>
                      <w:kern w:val="2"/>
                      <w:sz w:val="21"/>
                      <w:szCs w:val="18"/>
                      <w:shd w:val="clear" w:color="auto" w:fill="FFFFFF"/>
                      <w:lang w:val="en-US" w:eastAsia="zh-CN" w:bidi="ar-SA"/>
                    </w:rPr>
                    <w:t>打浆机、切菜机、浓缩机、清洗隧道、缓化隧道等生产果蔬汁（浆）、浓缩果蔬汁（浆）设备。</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sz w:val="21"/>
                      <w:szCs w:val="21"/>
                      <w:lang w:val="en-US" w:eastAsia="zh-CN"/>
                      <w:highlight w:val="none"/>
                    </w:rPr>
                    <w:t>依托现有车间，新增生产设备</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3#车间</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地上4层，包含职工休息区、办公区、食堂。</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在3#车间2层新建研发实验室，面积150㎡，主要用于新产品研发。</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sz w:val="21"/>
                      <w:szCs w:val="21"/>
                      <w:lang w:val="en-US" w:eastAsia="zh-CN"/>
                      <w:highlight w:val="none"/>
                    </w:rPr>
                    <w:t>依托现有车间，新建研发实验室</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cs="宋体" w:hint="eastAsia"/>
                      <w:snapToGrid w:val="0"/>
                      <w:color w:val="auto"/>
                      <w:spacing w:val="4"/>
                      <w:kern w:val="2"/>
                      <w:sz w:val="21"/>
                      <w:szCs w:val="18"/>
                      <w:shd w:val="clear" w:color="auto" w:fill="FFFFFF"/>
                      <w:lang w:val="en-US" w:eastAsia="zh-CN" w:bidi="ar-SA"/>
                    </w:rPr>
                    <w:t>锅炉房</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cs="宋体" w:hint="eastAsia"/>
                      <w:snapToGrid w:val="0"/>
                      <w:color w:val="auto"/>
                      <w:spacing w:val="4"/>
                      <w:kern w:val="2"/>
                      <w:sz w:val="21"/>
                      <w:szCs w:val="18"/>
                      <w:shd w:val="clear" w:color="auto" w:fill="FFFFFF"/>
                      <w:lang w:val="en-US" w:eastAsia="zh-CN" w:bidi="ar-SA"/>
                    </w:rPr>
                    <w:t>/</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eastAsia="宋体" w:cs="宋体" w:hint="eastAsia"/>
                      <w:snapToGrid w:val="0"/>
                      <w:color w:val="auto"/>
                      <w:spacing w:val="4"/>
                      <w:kern w:val="2"/>
                      <w:sz w:val="21"/>
                      <w:szCs w:val="18"/>
                      <w:shd w:val="clear" w:color="auto" w:fill="FFFFFF"/>
                      <w:lang w:val="en-US" w:eastAsia="zh-CN" w:bidi="ar-SA"/>
                    </w:rPr>
                    <w:t>在现有2#车间东南角建设锅炉房1座，面积60</w:t>
                  </w:r>
                  <w:r>
                    <w:rPr>
                      <w:rFonts w:cs="宋体" w:hint="eastAsia"/>
                      <w:snapToGrid w:val="0"/>
                      <w:color w:val="auto"/>
                      <w:spacing w:val="4"/>
                      <w:kern w:val="2"/>
                      <w:sz w:val="21"/>
                      <w:szCs w:val="18"/>
                      <w:shd w:val="clear" w:color="auto" w:fill="FFFFFF"/>
                      <w:lang w:val="en-US" w:eastAsia="zh-CN" w:bidi="ar-SA"/>
                    </w:rPr>
                    <w:t>㎡</w:t>
                  </w:r>
                  <w:r>
                    <w:rPr>
                      <w:rFonts w:eastAsia="宋体" w:cs="宋体" w:hint="eastAsia"/>
                      <w:snapToGrid w:val="0"/>
                      <w:color w:val="auto"/>
                      <w:spacing w:val="4"/>
                      <w:kern w:val="2"/>
                      <w:sz w:val="21"/>
                      <w:szCs w:val="18"/>
                      <w:shd w:val="clear" w:color="auto" w:fill="FFFFFF"/>
                      <w:lang w:val="en-US" w:eastAsia="zh-CN" w:bidi="ar-SA"/>
                    </w:rPr>
                    <w:t>，购置2套2t/h蒸汽发生器及配套的纯水设备和储水罐</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依托现有车间，新增生产设备</w:t>
                  </w:r>
                </w:p>
              </w:tc>
            </w:tr>
            <w:tr>
              <w:trPr>
                <w:trHeight w:val="756"/>
              </w:trPr>
              <w:tc>
                <w:tcPr>
                  <w:vMerge w:val="restart"/>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辅助工程</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办公区</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位于3#车间，用于员工日常办公。</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无</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依托</w:t>
                  </w:r>
                </w:p>
                <w:p>
                  <w:pPr>
                    <w:pStyle w:val="23"/>
                    <w:bidi w:val="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现有</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食堂</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位于1#车间1层东侧，为员工提供饮食，面积150㎡</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无</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依托</w:t>
                  </w:r>
                </w:p>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现有</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泵房</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位于厂区东南角，建筑面积18.6㎡，用于安装污水处理站及消防水池所用的水泵设备。</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无</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依托</w:t>
                  </w:r>
                </w:p>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现有</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研发实验室</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cs="宋体" w:hint="eastAsia"/>
                      <w:snapToGrid w:val="0"/>
                      <w:color w:val="auto"/>
                      <w:spacing w:val="4"/>
                      <w:kern w:val="2"/>
                      <w:sz w:val="21"/>
                      <w:szCs w:val="18"/>
                      <w:shd w:val="clear" w:color="auto" w:fill="FFFFFF"/>
                      <w:lang w:val="en-US" w:eastAsia="zh-CN" w:bidi="ar-SA"/>
                    </w:rPr>
                    <w:t>无</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位于3#车间2层，主要用于新产品的研发工作，面积</w:t>
                  </w:r>
                  <w:r>
                    <w:rPr>
                      <w:rFonts w:cs="Times New Roman" w:hint="eastAsia"/>
                      <w:color w:val="auto"/>
                      <w:sz w:val="21"/>
                      <w:szCs w:val="21"/>
                      <w:lang w:val="en-US" w:eastAsia="zh-CN"/>
                      <w:highlight w:val="none"/>
                    </w:rPr>
                    <w:t>150</w:t>
                  </w:r>
                  <w:r>
                    <w:rPr>
                      <w:rFonts w:ascii="Times New Roman" w:eastAsia="宋体" w:cs="Times New Roman" w:hAnsi="Times New Roman"/>
                      <w:color w:val="auto"/>
                      <w:sz w:val="21"/>
                      <w:szCs w:val="21"/>
                      <w:lang w:val="en-US" w:eastAsia="zh-CN"/>
                      <w:highlight w:val="none"/>
                    </w:rPr>
                    <w:t>㎡。</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新建</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ind w:firstLine="0"/>
                    <w:rPr>
                      <w:color w:val="auto"/>
                      <w:lang w:val="en-US" w:eastAsia="zh-CN"/>
                    </w:rPr>
                  </w:pPr>
                  <w:r>
                    <w:rPr>
                      <w:rFonts w:hint="eastAsia"/>
                      <w:color w:val="auto"/>
                      <w:lang w:val="en-US" w:eastAsia="zh-CN"/>
                    </w:rPr>
                    <w:t>检测实验室</w:t>
                  </w:r>
                </w:p>
              </w:tc>
              <w:tc>
                <w:tcPr>
                  <w:tcBorders>
                    <w:tl2br w:val="nil"/>
                    <w:tr2bl w:val="nil"/>
                  </w:tcBorders>
                  <w:shd w:val="clear" w:color="auto" w:fill="auto"/>
                  <w:vAlign w:val="center"/>
                </w:tcPr>
                <w:p>
                  <w:pPr>
                    <w:pStyle w:val="25"/>
                    <w:tabs>
                      <w:tab w:val="left" w:pos="1680"/>
                      <w:tab w:val="left" w:pos="3465"/>
                    </w:tabs>
                    <w:bidi w:val="0"/>
                    <w:ind w:firstLine="0"/>
                    <w:rPr>
                      <w:rFonts w:cs="宋体"/>
                      <w:snapToGrid w:val="0"/>
                      <w:color w:val="auto"/>
                      <w:spacing w:val="4"/>
                      <w:kern w:val="2"/>
                      <w:sz w:val="21"/>
                      <w:szCs w:val="18"/>
                      <w:shd w:val="clear" w:color="auto" w:fill="FFFFFF"/>
                      <w:lang w:val="en-US" w:eastAsia="zh-CN" w:bidi="ar-SA"/>
                    </w:rPr>
                  </w:pPr>
                  <w:r>
                    <w:rPr>
                      <w:rFonts w:cs="宋体" w:hint="eastAsia"/>
                      <w:snapToGrid w:val="0"/>
                      <w:color w:val="auto"/>
                      <w:spacing w:val="4"/>
                      <w:kern w:val="2"/>
                      <w:sz w:val="21"/>
                      <w:szCs w:val="18"/>
                      <w:shd w:val="clear" w:color="auto" w:fill="FFFFFF"/>
                      <w:lang w:val="en-US" w:eastAsia="zh-CN" w:bidi="ar-SA"/>
                    </w:rPr>
                    <w:t>无</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位于1#车间2层，面积120㎡，对产品进行重金属、微生物等理化性质的检测</w:t>
                  </w:r>
                </w:p>
              </w:tc>
              <w:tc>
                <w:tcPr>
                  <w:tcBorders>
                    <w:tl2br w:val="nil"/>
                    <w:tr2bl w:val="nil"/>
                  </w:tcBorders>
                  <w:vAlign w:val="center"/>
                </w:tcPr>
                <w:p>
                  <w:pPr>
                    <w:pStyle w:val="23"/>
                    <w:bidi w:val="0"/>
                    <w:rPr>
                      <w:rFonts w:cs="Times New Roman"/>
                      <w:color w:val="auto"/>
                      <w:sz w:val="21"/>
                      <w:szCs w:val="21"/>
                      <w:lang w:val="en-US" w:eastAsia="zh-CN"/>
                      <w:highlight w:val="none"/>
                    </w:rPr>
                  </w:pPr>
                  <w:r>
                    <w:rPr>
                      <w:rFonts w:cs="Times New Roman" w:hint="eastAsia"/>
                      <w:color w:val="auto"/>
                      <w:sz w:val="21"/>
                      <w:szCs w:val="21"/>
                      <w:lang w:val="en-US" w:eastAsia="zh-CN"/>
                      <w:highlight w:val="none"/>
                    </w:rPr>
                    <w:t>新建</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地下消防水池</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Times New Roman" w:hAnsi="Times New Roman"/>
                      <w:snapToGrid w:val="0"/>
                      <w:color w:val="auto"/>
                      <w:spacing w:val="4"/>
                      <w:kern w:val="2"/>
                      <w:sz w:val="21"/>
                      <w:szCs w:val="18"/>
                      <w:shd w:val="clear" w:color="auto" w:fill="FFFFFF"/>
                      <w:lang w:val="en-US" w:eastAsia="zh-CN" w:bidi="ar-SA"/>
                    </w:rPr>
                  </w:pPr>
                  <w:r>
                    <w:rPr>
                      <w:rFonts w:ascii="Times New Roman" w:cs="Times New Roman" w:hAnsi="Times New Roman"/>
                      <w:color w:val="auto"/>
                      <w:lang w:val="en-US" w:eastAsia="zh-CN"/>
                    </w:rPr>
                    <w:t>位于厂区东南角，用于储存消防用水，建筑面积297.14㎡，储存能力约300m³</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无</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依托</w:t>
                  </w:r>
                </w:p>
                <w:p>
                  <w:pPr>
                    <w:pStyle w:val="23"/>
                    <w:bidi w:val="0"/>
                    <w:ind w:firstLine="0"/>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现有</w:t>
                  </w:r>
                </w:p>
              </w:tc>
            </w:tr>
            <w:tr>
              <w:trPr>
                <w:trHeight w:val="23"/>
              </w:trPr>
              <w:tc>
                <w:tcPr>
                  <w:vMerge w:val="restart"/>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储运工程</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危废间</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highlight w:val="none"/>
                    </w:rPr>
                  </w:pPr>
                  <w:r>
                    <w:rPr>
                      <w:rFonts w:hint="eastAsia"/>
                      <w:color w:val="auto"/>
                      <w:lang w:val="en-US" w:eastAsia="zh-CN"/>
                      <w:highlight w:val="none"/>
                    </w:rPr>
                    <w:t>位于1#车间内，建筑面积20㎡，用于储存危险废物。</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无</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依托</w:t>
                  </w:r>
                </w:p>
                <w:p>
                  <w:pPr>
                    <w:pStyle w:val="23"/>
                    <w:bidi w:val="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现有</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一般固废间</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位于1#车间外北侧，建筑面积30㎡，用于储存一般固体废物。</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无</w:t>
                  </w:r>
                </w:p>
              </w:tc>
              <w:tc>
                <w:tcPr>
                  <w:tcBorders>
                    <w:tl2br w:val="nil"/>
                    <w:tr2bl w:val="nil"/>
                  </w:tcBorders>
                  <w:vAlign w:val="center"/>
                </w:tcPr>
                <w:p>
                  <w:pPr>
                    <w:pStyle w:val="23"/>
                    <w:bidi w:val="0"/>
                    <w:ind w:firstLine="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依托</w:t>
                  </w:r>
                </w:p>
                <w:p>
                  <w:pPr>
                    <w:pStyle w:val="23"/>
                    <w:bidi w:val="0"/>
                    <w:ind w:firstLine="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现有</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冷库</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Times New Roman" w:hAnsi="Times New Roman"/>
                      <w:snapToGrid w:val="0"/>
                      <w:color w:val="auto"/>
                      <w:spacing w:val="4"/>
                      <w:kern w:val="2"/>
                      <w:sz w:val="21"/>
                      <w:szCs w:val="18"/>
                      <w:shd w:val="clear" w:color="auto" w:fill="FFFFFF"/>
                      <w:lang w:val="en-US" w:eastAsia="zh-CN" w:bidi="ar-SA"/>
                    </w:rPr>
                  </w:pPr>
                  <w:r>
                    <w:rPr>
                      <w:rFonts w:ascii="Times New Roman" w:cs="Times New Roman" w:hAnsi="Times New Roman"/>
                      <w:color w:val="auto"/>
                      <w:lang w:val="en-US" w:eastAsia="zh-CN"/>
                    </w:rPr>
                    <w:t>位于1#车间1层西北角，面积300㎡，用于存放需冷藏的原辅材料和产品，制冷剂采用R507</w:t>
                  </w:r>
                  <w:r>
                    <w:rPr>
                      <w:rFonts w:ascii="Times New Roman" w:cs="Times New Roman" w:hAnsi="Times New Roman" w:hint="eastAsia"/>
                      <w:color w:val="auto"/>
                      <w:lang w:val="en-US" w:eastAsia="zh-CN"/>
                    </w:rPr>
                    <w:t>，</w:t>
                  </w:r>
                  <w:r>
                    <w:rPr>
                      <w:rFonts w:ascii="Times New Roman" w:cs="Times New Roman" w:hAnsi="Times New Roman"/>
                      <w:color w:val="auto"/>
                      <w:lang w:val="en-US" w:eastAsia="zh-CN"/>
                    </w:rPr>
                    <w:t>待一定周期消耗后，由供应商补充，厂内不储存制冷剂。</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无</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依托</w:t>
                  </w:r>
                </w:p>
                <w:p>
                  <w:pPr>
                    <w:pStyle w:val="23"/>
                    <w:bidi w:val="0"/>
                    <w:ind w:firstLine="0"/>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现有</w:t>
                  </w:r>
                </w:p>
              </w:tc>
            </w:tr>
            <w:tr>
              <w:trPr>
                <w:trHeight w:val="90"/>
              </w:trPr>
              <w:tc>
                <w:tcPr>
                  <w:vMerge w:val="restart"/>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公用工程</w:t>
                  </w:r>
                </w:p>
              </w:tc>
              <w:tc>
                <w:tcPr>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供水</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用水由园区管网提供，现有工程用水量为15203.52m³/a。</w:t>
                  </w:r>
                </w:p>
              </w:tc>
              <w:tc>
                <w:tcPr>
                  <w:tcBorders>
                    <w:tl2br w:val="nil"/>
                    <w:tr2bl w:val="nil"/>
                  </w:tcBorders>
                  <w:vAlign w:val="center"/>
                </w:tcPr>
                <w:p>
                  <w:pPr>
                    <w:pStyle w:val="23"/>
                    <w:bidi w:val="0"/>
                    <w:ind w:firstLine="0"/>
                    <w:rPr>
                      <w:rFonts w:ascii="Times New Roman" w:eastAsia="宋体" w:cs="Times New Roman" w:hAnsi="Times New Roman"/>
                      <w:bCs/>
                      <w:color w:val="auto"/>
                      <w:kern w:val="2"/>
                      <w:sz w:val="21"/>
                      <w:szCs w:val="21"/>
                      <w:lang w:val="en-US" w:eastAsia="zh-CN"/>
                      <w:highlight w:val="none"/>
                    </w:rPr>
                  </w:pPr>
                  <w:r>
                    <w:rPr>
                      <w:rFonts w:cs="Times New Roman" w:hint="eastAsia"/>
                      <w:bCs/>
                      <w:color w:val="auto"/>
                      <w:kern w:val="2"/>
                      <w:sz w:val="21"/>
                      <w:szCs w:val="21"/>
                      <w:lang w:val="en-US" w:eastAsia="zh-CN"/>
                      <w:highlight w:val="none"/>
                    </w:rPr>
                    <w:t>本项目新增用水量18009m³/a。</w:t>
                  </w:r>
                </w:p>
              </w:tc>
              <w:tc>
                <w:tcPr>
                  <w:tcBorders>
                    <w:tl2br w:val="nil"/>
                    <w:tr2bl w:val="nil"/>
                  </w:tcBorders>
                  <w:vAlign w:val="center"/>
                </w:tcPr>
                <w:p>
                  <w:pPr>
                    <w:pStyle w:val="23"/>
                    <w:bidi w:val="0"/>
                    <w:ind w:firstLine="0"/>
                    <w:rPr>
                      <w:rFonts w:ascii="Times New Roman" w:eastAsia="宋体" w:cs="Times New Roman" w:hAnsi="Times New Roman"/>
                      <w:bCs/>
                      <w:color w:val="auto"/>
                      <w:kern w:val="2"/>
                      <w:sz w:val="21"/>
                      <w:szCs w:val="21"/>
                      <w:lang w:val="en-US" w:eastAsia="zh-CN"/>
                      <w:highlight w:val="none"/>
                    </w:rPr>
                  </w:pPr>
                  <w:r>
                    <w:rPr>
                      <w:rFonts w:ascii="Times New Roman" w:eastAsia="宋体" w:cs="Times New Roman" w:hAnsi="Times New Roman"/>
                      <w:color w:val="auto"/>
                      <w:sz w:val="21"/>
                      <w:szCs w:val="21"/>
                      <w:lang w:val="en-US" w:eastAsia="zh-CN"/>
                      <w:highlight w:val="none"/>
                    </w:rPr>
                    <w:t>依托现有</w:t>
                  </w:r>
                  <w:r>
                    <w:rPr>
                      <w:rFonts w:cs="Times New Roman" w:hint="eastAsia"/>
                      <w:color w:val="auto"/>
                      <w:sz w:val="21"/>
                      <w:szCs w:val="21"/>
                      <w:lang w:val="en-US" w:eastAsia="zh-CN"/>
                      <w:highlight w:val="none"/>
                    </w:rPr>
                    <w:t>管网，新增用水量</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供电</w:t>
                  </w:r>
                </w:p>
              </w:tc>
              <w:tc>
                <w:tcPr>
                  <w:tcBorders>
                    <w:tl2br w:val="nil"/>
                    <w:tr2bl w:val="nil"/>
                  </w:tcBorders>
                  <w:vAlign w:val="center"/>
                </w:tcPr>
                <w:p>
                  <w:pPr>
                    <w:pStyle w:val="23"/>
                    <w:bidi w:val="0"/>
                    <w:rPr>
                      <w:rFonts w:ascii="Times New Roman" w:cs="Times New Roman" w:hAnsi="Times New Roman"/>
                      <w:color w:val="auto"/>
                      <w:sz w:val="21"/>
                      <w:szCs w:val="21"/>
                      <w:lang w:val="en-US"/>
                      <w:highlight w:val="none"/>
                    </w:rPr>
                  </w:pPr>
                  <w:r>
                    <w:rPr>
                      <w:rFonts w:cs="Times New Roman" w:hint="eastAsia"/>
                      <w:color w:val="auto"/>
                      <w:sz w:val="21"/>
                      <w:szCs w:val="21"/>
                      <w:lang w:val="en-US" w:eastAsia="zh-CN"/>
                      <w:highlight w:val="none"/>
                    </w:rPr>
                    <w:t>用电由园区电网提供，现有工程</w:t>
                  </w:r>
                  <w:r>
                    <w:rPr>
                      <w:rFonts w:ascii="Times New Roman" w:cs="Times New Roman" w:hAnsi="Times New Roman"/>
                      <w:color w:val="auto"/>
                      <w:sz w:val="21"/>
                      <w:szCs w:val="21"/>
                      <w:lang w:val="en-US" w:eastAsia="zh-CN"/>
                      <w:highlight w:val="none"/>
                    </w:rPr>
                    <w:t>用电量40万kW·h。</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本项目新增用电量20万kW·h。</w:t>
                  </w:r>
                </w:p>
              </w:tc>
              <w:tc>
                <w:tcPr>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lang w:val="en-US" w:eastAsia="zh-CN"/>
                      <w:highlight w:val="none"/>
                    </w:rPr>
                    <w:t>依托现有</w:t>
                  </w:r>
                  <w:r>
                    <w:rPr>
                      <w:rFonts w:cs="Times New Roman" w:hint="eastAsia"/>
                      <w:color w:val="auto"/>
                      <w:sz w:val="21"/>
                      <w:szCs w:val="21"/>
                      <w:lang w:val="en-US" w:eastAsia="zh-CN"/>
                      <w:highlight w:val="none"/>
                    </w:rPr>
                    <w:t>电网，新增用电量</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供热</w:t>
                  </w:r>
                </w:p>
              </w:tc>
              <w:tc>
                <w:tcPr>
                  <w:tcBorders>
                    <w:tl2br w:val="nil"/>
                    <w:tr2bl w:val="nil"/>
                  </w:tcBorders>
                  <w:vAlign w:val="center"/>
                </w:tcPr>
                <w:p>
                  <w:pPr>
                    <w:pStyle w:val="23"/>
                    <w:bidi w:val="0"/>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由园区供热管道</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由本项目新增的2台2t/h蒸汽发生器提供</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新建</w:t>
                  </w:r>
                </w:p>
              </w:tc>
            </w:tr>
            <w:tr>
              <w:trPr>
                <w:trHeight w:val="23"/>
              </w:trPr>
              <w:tc>
                <w:tcPr>
                  <w:vMerge w:val="restart"/>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环保工程</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highlight w:val="none"/>
                    </w:rPr>
                    <w:t>废气</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喷码、贴管、</w:t>
                  </w:r>
                  <w:r>
                    <w:rPr>
                      <w:rFonts w:cs="Times New Roman" w:hint="eastAsia"/>
                      <w:color w:val="auto"/>
                      <w:sz w:val="21"/>
                      <w:szCs w:val="21"/>
                      <w:lang w:val="en-US" w:eastAsia="zh-CN"/>
                      <w:highlight w:val="none"/>
                    </w:rPr>
                    <w:t>热合封口、</w:t>
                  </w:r>
                  <w:r>
                    <w:rPr>
                      <w:rFonts w:ascii="Times New Roman" w:cs="Times New Roman" w:hAnsi="Times New Roman"/>
                      <w:color w:val="auto"/>
                      <w:sz w:val="21"/>
                      <w:szCs w:val="21"/>
                      <w:lang w:val="en-US" w:eastAsia="zh-CN"/>
                      <w:highlight w:val="none"/>
                    </w:rPr>
                    <w:t>食品添加剂</w:t>
                  </w:r>
                  <w:r>
                    <w:rPr>
                      <w:rFonts w:cs="Times New Roman" w:hint="eastAsia"/>
                      <w:color w:val="auto"/>
                      <w:sz w:val="21"/>
                      <w:szCs w:val="21"/>
                      <w:lang w:val="en-US" w:eastAsia="zh-CN"/>
                      <w:highlight w:val="none"/>
                    </w:rPr>
                    <w:t>生产</w:t>
                  </w:r>
                  <w:r>
                    <w:rPr>
                      <w:rFonts w:ascii="Times New Roman" w:cs="Times New Roman" w:hAnsi="Times New Roman"/>
                      <w:color w:val="auto"/>
                      <w:sz w:val="21"/>
                      <w:szCs w:val="21"/>
                      <w:lang w:val="en-US" w:eastAsia="zh-CN"/>
                      <w:highlight w:val="none"/>
                    </w:rPr>
                    <w:t>、饮料灌装</w:t>
                  </w:r>
                  <w:r>
                    <w:rPr>
                      <w:rFonts w:cs="Times New Roman" w:hint="eastAsia"/>
                      <w:color w:val="auto"/>
                      <w:sz w:val="21"/>
                      <w:szCs w:val="21"/>
                      <w:lang w:val="en-US" w:eastAsia="zh-CN"/>
                      <w:highlight w:val="none"/>
                    </w:rPr>
                    <w:t>废气</w:t>
                  </w:r>
                  <w:r>
                    <w:rPr>
                      <w:rFonts w:ascii="Times New Roman" w:cs="Times New Roman" w:hAnsi="Times New Roman"/>
                      <w:color w:val="auto"/>
                      <w:sz w:val="21"/>
                      <w:szCs w:val="21"/>
                      <w:lang w:val="en-US" w:eastAsia="zh-CN"/>
                      <w:highlight w:val="none"/>
                    </w:rPr>
                    <w:t>经1套“干式过滤+两级活性炭吸附装置”处理，处理后经1根15m排气筒（DA001）排放；</w:t>
                  </w:r>
                </w:p>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粉料灌装</w:t>
                  </w:r>
                  <w:r>
                    <w:rPr>
                      <w:rFonts w:cs="Times New Roman" w:hint="eastAsia"/>
                      <w:color w:val="auto"/>
                      <w:sz w:val="21"/>
                      <w:szCs w:val="21"/>
                      <w:lang w:val="en-US" w:eastAsia="zh-CN"/>
                      <w:highlight w:val="none"/>
                    </w:rPr>
                    <w:t>、真空上料废气</w:t>
                  </w:r>
                  <w:r>
                    <w:rPr>
                      <w:rFonts w:ascii="Times New Roman" w:cs="Times New Roman" w:hAnsi="Times New Roman"/>
                      <w:color w:val="auto"/>
                      <w:sz w:val="21"/>
                      <w:szCs w:val="21"/>
                      <w:lang w:val="en-US" w:eastAsia="zh-CN"/>
                      <w:highlight w:val="none"/>
                    </w:rPr>
                    <w:t>经1套“布袋除尘器”处理，处理后经1根15m排气筒（DA002）排放；</w:t>
                  </w:r>
                </w:p>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污水处理站</w:t>
                  </w:r>
                  <w:r>
                    <w:rPr>
                      <w:rFonts w:cs="Times New Roman" w:hint="eastAsia"/>
                      <w:color w:val="auto"/>
                      <w:sz w:val="21"/>
                      <w:szCs w:val="21"/>
                      <w:lang w:val="en-US" w:eastAsia="zh-CN"/>
                      <w:highlight w:val="none"/>
                    </w:rPr>
                    <w:t>废气</w:t>
                  </w:r>
                  <w:r>
                    <w:rPr>
                      <w:rFonts w:ascii="Times New Roman" w:cs="Times New Roman" w:hAnsi="Times New Roman"/>
                      <w:color w:val="auto"/>
                      <w:sz w:val="21"/>
                      <w:szCs w:val="21"/>
                      <w:lang w:val="en-US" w:eastAsia="zh-CN"/>
                      <w:highlight w:val="none"/>
                    </w:rPr>
                    <w:t>经1套“碱喷淋装置”处理，处理后经1根15m排气筒（DA003）排放；</w:t>
                  </w:r>
                </w:p>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食堂油烟经油烟净化器处理后通过管道排放（DA004）</w:t>
                  </w:r>
                </w:p>
              </w:tc>
              <w:tc>
                <w:tcPr>
                  <w:tcBorders>
                    <w:tl2br w:val="nil"/>
                    <w:tr2bl w:val="nil"/>
                  </w:tcBorders>
                  <w:vAlign w:val="center"/>
                </w:tcPr>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喷码、贴管、热合封口、食品添加剂生产、饮料灌装、检测实验室、PE包装膜加热废气经1套“干式过滤+两级活性炭吸附装置”处理，处理后经1根15m排气筒（DA001）排放；</w:t>
                  </w:r>
                </w:p>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粉料灌装、真空上料、喷雾干燥废气经1套“布袋除尘器”处理，处理后经1根15m排气筒（DA002）排放；</w:t>
                  </w:r>
                </w:p>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污水处理站废气经1套“碱喷淋装置”处理，处理后经1根15m排气筒（DA003）排放；</w:t>
                  </w:r>
                </w:p>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食堂油烟经油烟净化器处理后通过管道排放（DA004）；</w:t>
                  </w:r>
                </w:p>
                <w:p>
                  <w:pPr>
                    <w:pStyle w:val="23"/>
                    <w:bidi w:val="0"/>
                    <w:rPr>
                      <w:rFonts w:cs="Times New Roman"/>
                      <w:color w:val="auto"/>
                      <w:sz w:val="21"/>
                      <w:szCs w:val="21"/>
                      <w:lang w:val="en-US" w:eastAsia="zh-CN"/>
                      <w:highlight w:val="none"/>
                    </w:rPr>
                  </w:pPr>
                  <w:r>
                    <w:rPr>
                      <w:rFonts w:cs="Times New Roman" w:hint="eastAsia"/>
                      <w:color w:val="auto"/>
                      <w:sz w:val="21"/>
                      <w:szCs w:val="21"/>
                      <w:lang w:val="en-US" w:eastAsia="zh-CN"/>
                      <w:highlight w:val="none"/>
                    </w:rPr>
                    <w:t>蒸汽发生器烟气经“低氮燃烧技术+15m排气筒DA005”排放；</w:t>
                  </w:r>
                </w:p>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研发实验室废气经1套“活性炭吸附装置”+25m排气筒DA006排放</w:t>
                  </w:r>
                </w:p>
              </w:tc>
              <w:tc>
                <w:tcPr>
                  <w:tcBorders>
                    <w:tl2br w:val="nil"/>
                    <w:tr2bl w:val="nil"/>
                  </w:tcBorders>
                  <w:vAlign w:val="center"/>
                </w:tcPr>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新增PE包装膜加热、检测实验室、喷雾干燥废气，会增加废气风量，因此拆除现有废气治理设施并根据新风量重新安装废气治理设施；</w:t>
                  </w:r>
                </w:p>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；新增蒸汽发生器废气排气筒DA005；新增研发实验室废气排气筒DA006</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废水</w:t>
                  </w:r>
                </w:p>
              </w:tc>
              <w:tc>
                <w:tcPr>
                  <w:tcBorders>
                    <w:tl2br w:val="nil"/>
                    <w:tr2bl w:val="nil"/>
                  </w:tcBorders>
                  <w:vAlign w:val="center"/>
                </w:tcPr>
                <w:p>
                  <w:pPr>
                    <w:pStyle w:val="23"/>
                    <w:bidi w:val="0"/>
                    <w:jc w:val="both"/>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废水排入厂区污水处理站（设计工艺：隔油+调节池+缺氧池+好氧池+二沉池，设计日处理能力40m³/d），处理后的废水经市政污水管网排入德威华泰石家庄市栾城水务有限公司。</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增加了废水产生量，</w:t>
                  </w:r>
                  <w:r>
                    <w:rPr>
                      <w:rFonts w:ascii="Times New Roman" w:cs="Times New Roman" w:hAnsi="Times New Roman"/>
                      <w:color w:val="auto"/>
                      <w:sz w:val="21"/>
                      <w:szCs w:val="21"/>
                      <w:lang w:val="en-US" w:eastAsia="zh-CN"/>
                      <w:highlight w:val="none"/>
                    </w:rPr>
                    <w:t>对现有废水治理设施进行扩容改造，改造后废水处理能力为100m³/d，处理工艺</w:t>
                  </w:r>
                  <w:r>
                    <w:rPr>
                      <w:rFonts w:cs="Times New Roman" w:hint="eastAsia"/>
                      <w:color w:val="auto"/>
                      <w:sz w:val="21"/>
                      <w:szCs w:val="21"/>
                      <w:lang w:val="en-US" w:eastAsia="zh-CN"/>
                      <w:highlight w:val="none"/>
                    </w:rPr>
                    <w:t>改为</w:t>
                  </w:r>
                  <w:r>
                    <w:rPr>
                      <w:rFonts w:ascii="Times New Roman" w:cs="Times New Roman" w:hAnsi="Times New Roman"/>
                      <w:color w:val="auto"/>
                      <w:sz w:val="21"/>
                      <w:szCs w:val="21"/>
                      <w:lang w:val="en-US" w:eastAsia="zh-CN"/>
                      <w:highlight w:val="none"/>
                    </w:rPr>
                    <w:t>：调节</w:t>
                  </w:r>
                  <w:r>
                    <w:rPr>
                      <w:rFonts w:cs="Times New Roman" w:hint="eastAsia"/>
                      <w:color w:val="auto"/>
                      <w:sz w:val="21"/>
                      <w:szCs w:val="21"/>
                      <w:lang w:val="en-US" w:eastAsia="zh-CN"/>
                      <w:highlight w:val="none"/>
                    </w:rPr>
                    <w:t>池</w:t>
                  </w:r>
                  <w:r>
                    <w:rPr>
                      <w:rFonts w:ascii="Times New Roman" w:cs="Times New Roman" w:hAnsi="Times New Roman"/>
                      <w:color w:val="auto"/>
                      <w:sz w:val="21"/>
                      <w:szCs w:val="21"/>
                      <w:lang w:val="en-US" w:eastAsia="zh-CN"/>
                      <w:highlight w:val="none"/>
                    </w:rPr>
                    <w:t>-气浮-水解池-厌氧池-好氧池-沉淀</w:t>
                  </w:r>
                  <w:r>
                    <w:rPr>
                      <w:rFonts w:cs="Times New Roman" w:hint="eastAsia"/>
                      <w:color w:val="auto"/>
                      <w:sz w:val="21"/>
                      <w:szCs w:val="21"/>
                      <w:lang w:val="en-US" w:eastAsia="zh-CN"/>
                      <w:highlight w:val="none"/>
                    </w:rPr>
                    <w:t>池</w:t>
                  </w:r>
                  <w:r>
                    <w:rPr>
                      <w:rFonts w:ascii="Times New Roman" w:cs="Times New Roman" w:hAnsi="Times New Roman"/>
                      <w:color w:val="auto"/>
                      <w:sz w:val="21"/>
                      <w:szCs w:val="21"/>
                      <w:lang w:val="en-US" w:eastAsia="zh-CN"/>
                      <w:highlight w:val="none"/>
                    </w:rPr>
                    <w:t>-好氧池-二级沉淀-斜管沉淀池，处理后的废水经市政污水管网排入德威华泰石家庄市栾城水务有限公司。</w:t>
                  </w:r>
                </w:p>
              </w:tc>
              <w:tc>
                <w:tcPr>
                  <w:tcBorders>
                    <w:tl2br w:val="nil"/>
                    <w:tr2bl w:val="nil"/>
                  </w:tcBorders>
                  <w:vAlign w:val="center"/>
                </w:tcPr>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扩容</w:t>
                  </w:r>
                </w:p>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改造</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eastAsia="宋体" w:cs="Times New Roman" w:hAnsi="Times New Roman"/>
                      <w:color w:val="auto"/>
                      <w:sz w:val="21"/>
                      <w:szCs w:val="21"/>
                      <w:highlight w:val="none"/>
                    </w:rPr>
                    <w:t>噪声</w:t>
                  </w:r>
                </w:p>
              </w:tc>
              <w:tc>
                <w:tcPr>
                  <w:tcBorders>
                    <w:tl2br w:val="nil"/>
                    <w:tr2bl w:val="nil"/>
                  </w:tcBorders>
                  <w:vAlign w:val="center"/>
                </w:tcPr>
                <w:p>
                  <w:pPr>
                    <w:pStyle w:val="23"/>
                    <w:bidi w:val="0"/>
                    <w:rPr>
                      <w:rFonts w:ascii="Times New Roman" w:cs="Times New Roman" w:hAnsi="Times New Roman"/>
                      <w:color w:val="auto"/>
                      <w:sz w:val="21"/>
                      <w:szCs w:val="21"/>
                      <w:highlight w:val="none"/>
                    </w:rPr>
                  </w:pPr>
                  <w:r>
                    <w:rPr>
                      <w:rFonts w:ascii="Times New Roman" w:cs="Times New Roman" w:hAnsi="Times New Roman"/>
                      <w:color w:val="auto"/>
                      <w:sz w:val="21"/>
                      <w:szCs w:val="21"/>
                      <w:lang w:val="en-US" w:eastAsia="zh-CN"/>
                      <w:highlight w:val="none"/>
                    </w:rPr>
                    <w:t>选用低噪声设备，所有设备均设置于车间内，并对底部进行基础减振，厂房进行隔声等措施。</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选用低噪声设备，所有设备均设置于车间内，并对底部进行基础减振，厂房进行隔声等措施。</w:t>
                  </w:r>
                </w:p>
              </w:tc>
              <w:tc>
                <w:tcPr>
                  <w:tcBorders>
                    <w:tl2br w:val="nil"/>
                    <w:tr2bl w:val="nil"/>
                  </w:tcBorders>
                  <w:vAlign w:val="center"/>
                </w:tcPr>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新增</w:t>
                  </w:r>
                </w:p>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设备</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highlight w:val="none"/>
                    </w:rPr>
                    <w:t>固废</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bCs/>
                      <w:color w:val="auto"/>
                      <w:kern w:val="2"/>
                      <w:sz w:val="21"/>
                      <w:szCs w:val="21"/>
                      <w:lang w:val="en-US" w:eastAsia="zh-CN"/>
                      <w:highlight w:val="none"/>
                    </w:rPr>
                  </w:pPr>
                  <w:r>
                    <w:rPr>
                      <w:rFonts w:ascii="Times New Roman" w:eastAsia="宋体" w:cs="Times New Roman" w:hAnsi="Times New Roman"/>
                      <w:bCs/>
                      <w:color w:val="auto"/>
                      <w:kern w:val="2"/>
                      <w:sz w:val="21"/>
                      <w:szCs w:val="21"/>
                      <w:lang w:val="en-US" w:eastAsia="zh-CN"/>
                      <w:highlight w:val="none"/>
                    </w:rPr>
                    <w:t>废包装、废布袋收集后暂存一般固废间，外售综合利用；</w:t>
                  </w:r>
                </w:p>
                <w:p>
                  <w:pPr>
                    <w:pStyle w:val="23"/>
                    <w:bidi w:val="0"/>
                    <w:ind w:firstLine="0"/>
                    <w:rPr>
                      <w:rFonts w:ascii="Times New Roman" w:eastAsia="宋体" w:cs="Times New Roman" w:hAnsi="Times New Roman"/>
                      <w:bCs/>
                      <w:color w:val="auto"/>
                      <w:kern w:val="2"/>
                      <w:sz w:val="21"/>
                      <w:szCs w:val="21"/>
                      <w:lang w:val="en-US" w:eastAsia="zh-CN"/>
                      <w:highlight w:val="none"/>
                    </w:rPr>
                  </w:pPr>
                  <w:r>
                    <w:rPr>
                      <w:rFonts w:ascii="Times New Roman" w:eastAsia="宋体" w:cs="Times New Roman" w:hAnsi="Times New Roman"/>
                      <w:bCs/>
                      <w:color w:val="auto"/>
                      <w:kern w:val="2"/>
                      <w:sz w:val="21"/>
                      <w:szCs w:val="21"/>
                      <w:lang w:val="en-US" w:eastAsia="zh-CN"/>
                      <w:highlight w:val="none"/>
                    </w:rPr>
                    <w:t>废反渗透膜由厂家回收处理；废过滤棉、废活性炭、废润滑油、废润滑油桶、废油墨瓶收集后暂存危废间，定期交由有资质单位处置；</w:t>
                  </w:r>
                </w:p>
                <w:p>
                  <w:pPr>
                    <w:pStyle w:val="23"/>
                    <w:bidi w:val="0"/>
                    <w:ind w:firstLine="0"/>
                    <w:rPr>
                      <w:rFonts w:ascii="Times New Roman" w:eastAsia="宋体" w:cs="Times New Roman" w:hAnsi="Times New Roman"/>
                      <w:bCs/>
                      <w:color w:val="auto"/>
                      <w:kern w:val="2"/>
                      <w:sz w:val="21"/>
                      <w:szCs w:val="21"/>
                      <w:lang w:val="en-US" w:eastAsia="zh-CN"/>
                      <w:highlight w:val="none"/>
                    </w:rPr>
                  </w:pPr>
                  <w:r>
                    <w:rPr>
                      <w:rFonts w:ascii="Times New Roman" w:eastAsia="宋体" w:cs="Times New Roman" w:hAnsi="Times New Roman"/>
                      <w:bCs/>
                      <w:color w:val="auto"/>
                      <w:kern w:val="2"/>
                      <w:sz w:val="21"/>
                      <w:szCs w:val="21"/>
                      <w:lang w:val="en-US" w:eastAsia="zh-CN"/>
                      <w:highlight w:val="none"/>
                    </w:rPr>
                    <w:t>污泥</w:t>
                  </w:r>
                  <w:r>
                    <w:rPr>
                      <w:rFonts w:cs="Times New Roman" w:hint="eastAsia"/>
                      <w:bCs/>
                      <w:color w:val="auto"/>
                      <w:kern w:val="2"/>
                      <w:sz w:val="21"/>
                      <w:szCs w:val="21"/>
                      <w:lang w:val="en-US" w:eastAsia="zh-CN"/>
                      <w:highlight w:val="none"/>
                    </w:rPr>
                    <w:t>、</w:t>
                  </w:r>
                  <w:r>
                    <w:rPr>
                      <w:rFonts w:ascii="Times New Roman" w:eastAsia="宋体" w:cs="Times New Roman" w:hAnsi="Times New Roman"/>
                      <w:bCs/>
                      <w:color w:val="auto"/>
                      <w:kern w:val="2"/>
                      <w:sz w:val="21"/>
                      <w:szCs w:val="21"/>
                      <w:lang w:val="en-US" w:eastAsia="zh-CN"/>
                      <w:highlight w:val="none"/>
                    </w:rPr>
                    <w:t>杂质、浮油、除尘灰</w:t>
                  </w:r>
                  <w:r>
                    <w:rPr>
                      <w:rFonts w:cs="Times New Roman" w:hint="eastAsia"/>
                      <w:bCs/>
                      <w:color w:val="auto"/>
                      <w:kern w:val="2"/>
                      <w:sz w:val="21"/>
                      <w:szCs w:val="21"/>
                      <w:lang w:val="en-US" w:eastAsia="zh-CN"/>
                      <w:highlight w:val="none"/>
                    </w:rPr>
                    <w:t>、</w:t>
                  </w:r>
                  <w:r>
                    <w:rPr>
                      <w:rFonts w:ascii="Times New Roman" w:eastAsia="宋体" w:cs="Times New Roman" w:hAnsi="Times New Roman"/>
                      <w:bCs/>
                      <w:color w:val="auto"/>
                      <w:kern w:val="2"/>
                      <w:sz w:val="21"/>
                      <w:szCs w:val="21"/>
                      <w:lang w:val="en-US" w:eastAsia="zh-CN"/>
                      <w:highlight w:val="none"/>
                    </w:rPr>
                    <w:t>生活垃圾收集后统一由环卫部门处理。</w:t>
                  </w:r>
                </w:p>
              </w:tc>
              <w:tc>
                <w:tcPr>
                  <w:tcBorders>
                    <w:tl2br w:val="nil"/>
                    <w:tr2bl w:val="nil"/>
                  </w:tcBorders>
                  <w:vAlign w:val="center"/>
                </w:tcPr>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废包装</w:t>
                  </w:r>
                  <w:r>
                    <w:rPr>
                      <w:rFonts w:cs="Times New Roman" w:hint="eastAsia"/>
                      <w:color w:val="auto"/>
                      <w:sz w:val="21"/>
                      <w:szCs w:val="21"/>
                      <w:lang w:val="en-US" w:eastAsia="zh-CN"/>
                      <w:highlight w:val="none"/>
                    </w:rPr>
                    <w:t>、废布袋</w:t>
                  </w:r>
                  <w:r>
                    <w:rPr>
                      <w:rFonts w:ascii="Times New Roman" w:cs="Times New Roman" w:hAnsi="Times New Roman"/>
                      <w:color w:val="auto"/>
                      <w:sz w:val="21"/>
                      <w:szCs w:val="21"/>
                      <w:lang w:val="en-US" w:eastAsia="zh-CN"/>
                      <w:highlight w:val="none"/>
                    </w:rPr>
                    <w:t>收集后暂存一般固废间，外售综合利用；</w:t>
                  </w:r>
                </w:p>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废反渗透膜由厂家回收处理；</w:t>
                  </w:r>
                </w:p>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废过滤棉、废活性炭、废润滑油、废润滑油桶、实验室废液、废试剂瓶、废UV灯管收集后暂存危废间，定期交由有资质单位处置；</w:t>
                  </w:r>
                </w:p>
                <w:p>
                  <w:pPr>
                    <w:pStyle w:val="23"/>
                    <w:bidi w:val="0"/>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污泥、浮油、果蔬渣、除尘灰、</w:t>
                  </w:r>
                  <w:r>
                    <w:rPr>
                      <w:rFonts w:cs="Times New Roman" w:hint="eastAsia"/>
                      <w:color w:val="auto"/>
                      <w:sz w:val="21"/>
                      <w:szCs w:val="21"/>
                      <w:lang w:val="en-US" w:eastAsia="zh-CN"/>
                      <w:highlight w:val="none"/>
                    </w:rPr>
                    <w:t>废研发样品</w:t>
                  </w:r>
                  <w:r>
                    <w:rPr>
                      <w:rFonts w:ascii="Times New Roman" w:cs="Times New Roman" w:hAnsi="Times New Roman"/>
                      <w:color w:val="auto"/>
                      <w:sz w:val="21"/>
                      <w:szCs w:val="21"/>
                      <w:lang w:val="en-US" w:eastAsia="zh-CN"/>
                      <w:highlight w:val="none"/>
                    </w:rPr>
                    <w:t>收集后统一由环卫部门处理。</w:t>
                  </w:r>
                </w:p>
              </w:tc>
              <w:tc>
                <w:tcPr>
                  <w:tcBorders>
                    <w:tl2br w:val="nil"/>
                    <w:tr2bl w:val="nil"/>
                  </w:tcBorders>
                  <w:vAlign w:val="center"/>
                </w:tcPr>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废反渗透膜、废包装、废润滑油、废润滑油桶、产生量增加，新增检测实验室产生的实验室废液、废试剂瓶、废UV灯管；</w:t>
                  </w:r>
                </w:p>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新增过滤产生的果蔬渣；</w:t>
                  </w:r>
                </w:p>
                <w:p>
                  <w:pPr>
                    <w:pStyle w:val="23"/>
                    <w:bidi w:val="0"/>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废气治理实施变化废活性炭、废过滤棉产生量发生变化；</w:t>
                  </w:r>
                </w:p>
                <w:p>
                  <w:pPr>
                    <w:pStyle w:val="23"/>
                    <w:bidi w:val="0"/>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项目新增污水排放量，污水站扩建，污泥产生量发生变化</w:t>
                  </w:r>
                </w:p>
              </w:tc>
            </w:tr>
          </w:tbl>
          <w:p>
            <w:pPr>
              <w:adjustRightInd w:val="0"/>
              <w:snapToGrid w:val="0"/>
              <w:spacing w:line="360" w:lineRule="auto"/>
              <w:ind w:firstLineChars="200" w:firstLine="480"/>
              <w:rPr>
                <w:b/>
                <w:bCs/>
                <w:color w:val="auto"/>
                <w:sz w:val="24"/>
                <w:szCs w:val="32"/>
              </w:rPr>
            </w:pPr>
          </w:p>
          <w:p>
            <w:pPr>
              <w:adjustRightInd w:val="0"/>
              <w:snapToGrid w:val="0"/>
              <w:spacing w:line="360" w:lineRule="auto"/>
              <w:ind w:firstLineChars="200" w:firstLine="480"/>
              <w:rPr>
                <w:color w:val="auto"/>
                <w:sz w:val="24"/>
                <w:szCs w:val="32"/>
              </w:rPr>
            </w:pPr>
            <w:r>
              <w:rPr>
                <w:b/>
                <w:bCs/>
                <w:color w:val="auto"/>
                <w:sz w:val="24"/>
                <w:szCs w:val="32"/>
              </w:rPr>
              <w:t>2、主要生产设备</w:t>
            </w:r>
          </w:p>
          <w:p>
            <w:pPr>
              <w:adjustRightInd w:val="0"/>
              <w:snapToGrid w:val="0"/>
              <w:spacing w:line="360" w:lineRule="auto"/>
              <w:ind w:firstLineChars="200" w:firstLine="480"/>
              <w:rPr>
                <w:color w:val="auto"/>
                <w:sz w:val="24"/>
                <w:szCs w:val="32"/>
              </w:rPr>
            </w:pPr>
            <w:r>
              <w:rPr>
                <w:rFonts w:hint="eastAsia"/>
                <w:color w:val="auto"/>
                <w:sz w:val="24"/>
                <w:szCs w:val="20"/>
              </w:rPr>
              <w:t>本项目</w:t>
            </w:r>
            <w:r>
              <w:rPr>
                <w:color w:val="auto"/>
                <w:sz w:val="24"/>
                <w:szCs w:val="20"/>
              </w:rPr>
              <w:t>主要生产设备清单见表2-2。</w:t>
            </w:r>
          </w:p>
          <w:p>
            <w:pPr>
              <w:pStyle w:val="24"/>
              <w:bidi w:val="0"/>
              <w:rPr>
                <w:color w:val="auto"/>
              </w:rPr>
            </w:pPr>
            <w:r>
              <w:rPr>
                <w:color w:val="auto"/>
              </w:rPr>
              <w:t>表2-2</w:t>
            </w:r>
            <w:r>
              <w:rPr>
                <w:rFonts w:hint="eastAsia"/>
                <w:color w:val="auto"/>
              </w:rPr>
              <w:t xml:space="preserve">   </w:t>
            </w:r>
            <w:r>
              <w:rPr>
                <w:color w:val="auto"/>
              </w:rPr>
              <w:t>主要生产设备一览表</w:t>
            </w:r>
          </w:p>
          <w:tbl>
            <w:tblPr>
              <w:jc w:val="cent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561"/>
              <w:gridCol w:w="2277"/>
              <w:gridCol w:w="2335"/>
              <w:gridCol w:w="1486"/>
              <w:gridCol w:w="568"/>
              <w:gridCol w:w="568"/>
              <w:gridCol w:w="608"/>
            </w:tblGrid>
            <w:tr>
              <w:trPr>
                <w:trHeight w:val="90"/>
              </w:trPr>
              <w:tc>
                <w:tcPr>
                  <w:tcW w:w="5000" w:type="pct"/>
                  <w:gridSpan w:val="7"/>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b/>
                      <w:bCs/>
                      <w:color w:val="auto"/>
                      <w:lang w:val="en-US" w:eastAsia="zh-CN"/>
                    </w:rPr>
                    <w:t>现有工程</w:t>
                  </w:r>
                </w:p>
              </w:tc>
            </w:tr>
            <w:tr>
              <w:trPr>
                <w:trHeight w:val="484"/>
              </w:trPr>
              <w:tc>
                <w:tcPr>
                  <w:tcW w:w="33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序号</w:t>
                  </w:r>
                </w:p>
              </w:tc>
              <w:tc>
                <w:tcPr>
                  <w:tcW w:w="1355"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产品种类</w:t>
                  </w: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zh-TW" w:eastAsia="zh-TW"/>
                    </w:rPr>
                  </w:pPr>
                  <w:r>
                    <w:rPr>
                      <w:color w:val="auto"/>
                    </w:rPr>
                    <w:t>设备</w:t>
                  </w:r>
                  <w:r>
                    <w:rPr>
                      <w:rFonts w:hint="eastAsia"/>
                      <w:color w:val="auto"/>
                    </w:rPr>
                    <w:t>名称</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zh-TW" w:eastAsia="zh-TW"/>
                    </w:rPr>
                  </w:pPr>
                  <w:r>
                    <w:rPr>
                      <w:rFonts w:hint="eastAsia"/>
                      <w:color w:val="auto"/>
                    </w:rPr>
                    <w:t>型号</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数量</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zh-TW" w:eastAsia="zh-TW"/>
                    </w:rPr>
                  </w:pPr>
                  <w:r>
                    <w:rPr>
                      <w:rFonts w:hint="eastAsia"/>
                      <w:color w:val="auto"/>
                    </w:rPr>
                    <w:t>单位</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备注</w:t>
                  </w:r>
                </w:p>
              </w:tc>
            </w:tr>
            <w:tr>
              <w:trPr>
                <w:trHeight w:val="237"/>
              </w:trPr>
              <w:tc>
                <w:tcPr>
                  <w:tcW w:w="334" w:type="pct"/>
                  <w:tcBorders>
                    <w:tl2br w:val="nil"/>
                    <w:tr2bl w:val="nil"/>
                  </w:tcBorders>
                  <w:shd w:val="clear" w:color="auto" w:fill="auto"/>
                  <w:vAlign w:val="center"/>
                </w:tcPr>
                <w:p>
                  <w:pPr>
                    <w:pStyle w:val="23"/>
                    <w:bidi w:val="0"/>
                    <w:ind w:left="454" w:right="0" w:hanging="454"/>
                    <w:jc w:val="center"/>
                    <w:rPr>
                      <w:rFonts w:eastAsia="宋体" w:hint="eastAsia"/>
                      <w:color w:val="auto"/>
                      <w:lang w:val="en-US" w:eastAsia="zh-CN"/>
                    </w:rPr>
                  </w:pPr>
                  <w:r>
                    <w:rPr>
                      <w:rFonts w:ascii="Times New Roman" w:eastAsia="宋体" w:cs="Times New Roman" w:hAnsi="Times New Roman"/>
                      <w:color w:val="auto"/>
                      <w:kern w:val="0"/>
                      <w:sz w:val="21"/>
                      <w:szCs w:val="24"/>
                      <w:lang w:val="en-US" w:eastAsia="zh-CN" w:bidi="ar-SA"/>
                    </w:rPr>
                    <w:t>1</w:t>
                  </w:r>
                </w:p>
              </w:tc>
              <w:tc>
                <w:tcPr>
                  <w:tcW w:w="1355" w:type="pct"/>
                  <w:vMerge w:val="restart"/>
                  <w:tcBorders>
                    <w:tl2br w:val="nil"/>
                    <w:tr2bl w:val="nil"/>
                  </w:tcBorders>
                  <w:shd w:val="clear" w:color="auto" w:fill="auto"/>
                  <w:vAlign w:val="center"/>
                </w:tcPr>
                <w:p>
                  <w:pPr>
                    <w:pStyle w:val="23"/>
                    <w:bidi w:val="0"/>
                    <w:ind w:left="0" w:right="0" w:firstLine="0"/>
                    <w:jc w:val="center"/>
                    <w:rPr>
                      <w:rFonts w:hint="eastAsia"/>
                      <w:color w:val="auto"/>
                    </w:rPr>
                  </w:pPr>
                  <w:r>
                    <w:rPr>
                      <w:rFonts w:hint="eastAsia"/>
                      <w:color w:val="auto"/>
                      <w:lang w:val="en-US" w:eastAsia="zh-CN"/>
                    </w:rPr>
                    <w:t>固体型食品添加剂</w:t>
                  </w: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V型混合机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VH-1000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锥型混合机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ZH-1000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3</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犁刀混合机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LH-100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4</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V型混合机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VH-100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5</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大容量包装机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AT-DGS-50F</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6</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缝包机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7</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粉末包装机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8</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气动热合封口机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9</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真空上料机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5</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492"/>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10</w:t>
                  </w:r>
                </w:p>
              </w:tc>
              <w:tc>
                <w:tcPr>
                  <w:tcW w:w="1355" w:type="pct"/>
                  <w:vMerge w:val="restart"/>
                  <w:tcBorders>
                    <w:tl2br w:val="nil"/>
                    <w:tr2bl w:val="nil"/>
                  </w:tcBorders>
                  <w:shd w:val="clear" w:color="auto" w:fill="auto"/>
                  <w:vAlign w:val="center"/>
                </w:tcPr>
                <w:p>
                  <w:pPr>
                    <w:pStyle w:val="23"/>
                    <w:bidi w:val="0"/>
                    <w:ind w:left="0" w:right="0" w:firstLine="0"/>
                    <w:jc w:val="center"/>
                    <w:rPr>
                      <w:rFonts w:hint="eastAsia"/>
                      <w:color w:val="auto"/>
                    </w:rPr>
                  </w:pPr>
                  <w:r>
                    <w:rPr>
                      <w:rFonts w:hint="eastAsia"/>
                      <w:color w:val="auto"/>
                      <w:lang w:val="en-US" w:eastAsia="zh-CN"/>
                    </w:rPr>
                    <w:t>液体型食品添加剂</w:t>
                  </w: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搅拌缸</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6</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492"/>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11</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均质机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4</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492"/>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12</w:t>
                  </w:r>
                </w:p>
              </w:tc>
              <w:tc>
                <w:tcPr>
                  <w:tcW w:w="1355" w:type="pct"/>
                  <w:vMerge w:val="restart"/>
                  <w:tcBorders>
                    <w:tl2br w:val="nil"/>
                    <w:tr2bl w:val="nil"/>
                  </w:tcBorders>
                  <w:shd w:val="clear" w:color="auto" w:fill="auto"/>
                  <w:vAlign w:val="center"/>
                </w:tcPr>
                <w:p>
                  <w:pPr>
                    <w:pStyle w:val="23"/>
                    <w:bidi w:val="0"/>
                    <w:ind w:left="0" w:right="0" w:firstLine="0"/>
                    <w:jc w:val="center"/>
                    <w:rPr>
                      <w:rFonts w:hint="eastAsia"/>
                      <w:color w:val="auto"/>
                    </w:rPr>
                  </w:pPr>
                  <w:r>
                    <w:rPr>
                      <w:rFonts w:hint="eastAsia"/>
                      <w:color w:val="auto"/>
                      <w:lang w:val="en-US" w:eastAsia="zh-CN"/>
                    </w:rPr>
                    <w:t>乳化型食品添加剂</w:t>
                  </w: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搅拌缸</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4</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492"/>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13</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高速剪切均质乳化缸</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7</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492"/>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14</w:t>
                  </w:r>
                </w:p>
              </w:tc>
              <w:tc>
                <w:tcPr>
                  <w:tcW w:w="1355" w:type="pct"/>
                  <w:vMerge w:val="restart"/>
                  <w:tcBorders>
                    <w:tl2br w:val="nil"/>
                    <w:tr2bl w:val="nil"/>
                  </w:tcBorders>
                  <w:shd w:val="clear" w:color="auto" w:fill="auto"/>
                  <w:vAlign w:val="center"/>
                </w:tcPr>
                <w:p>
                  <w:pPr>
                    <w:pStyle w:val="23"/>
                    <w:bidi w:val="0"/>
                    <w:ind w:left="0" w:right="0" w:firstLine="0"/>
                    <w:jc w:val="center"/>
                    <w:rPr>
                      <w:rFonts w:hint="eastAsia"/>
                      <w:color w:val="auto"/>
                    </w:rPr>
                  </w:pPr>
                  <w:r>
                    <w:rPr>
                      <w:rFonts w:hint="eastAsia"/>
                      <w:color w:val="auto"/>
                      <w:lang w:val="en-US" w:eastAsia="zh-CN"/>
                    </w:rPr>
                    <w:t>饮料</w:t>
                  </w:r>
                </w:p>
              </w:tc>
              <w:tc>
                <w:tcPr>
                  <w:tcW w:w="1389" w:type="pct"/>
                  <w:tcBorders>
                    <w:tl2br w:val="nil"/>
                    <w:tr2bl w:val="nil"/>
                  </w:tcBorders>
                  <w:shd w:val="clear" w:color="auto" w:fill="auto"/>
                  <w:vAlign w:val="center"/>
                </w:tcPr>
                <w:p>
                  <w:pPr>
                    <w:pStyle w:val="23"/>
                    <w:bidi w:val="0"/>
                    <w:ind w:left="0" w:right="0" w:firstLine="0"/>
                    <w:jc w:val="center"/>
                    <w:rPr>
                      <w:rFonts w:hint="eastAsia"/>
                      <w:color w:val="auto"/>
                    </w:rPr>
                  </w:pPr>
                  <w:r>
                    <w:rPr>
                      <w:rFonts w:hint="eastAsia"/>
                      <w:color w:val="auto"/>
                    </w:rPr>
                    <w:t>高速剪切均质乳化缸</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3</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15</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均质机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16</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饮料灌装机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YS-7000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17</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UHT超高温杀菌机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YS-4000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18</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贴标机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19</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贴管机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20</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饮料包装机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4</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rPr>
                  </w:pPr>
                  <w:r>
                    <w:rPr>
                      <w:rFonts w:ascii="Times New Roman" w:eastAsia="宋体" w:cs="Times New Roman" w:hAnsi="Times New Roman"/>
                      <w:color w:val="auto"/>
                      <w:kern w:val="0"/>
                      <w:sz w:val="21"/>
                      <w:szCs w:val="24"/>
                      <w:lang w:val="en-US" w:eastAsia="zh-CN" w:bidi="ar-SA"/>
                    </w:rPr>
                    <w:t>21</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搅拌缸</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23</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杀菌釜</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YS-2000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24</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PET饮料灌装机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YS-18000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25</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暂存罐</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90"/>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26</w:t>
                  </w:r>
                </w:p>
              </w:tc>
              <w:tc>
                <w:tcPr>
                  <w:tcW w:w="1355" w:type="pct"/>
                  <w:vMerge w:val="restar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辅助设备</w:t>
                  </w:r>
                </w:p>
              </w:tc>
              <w:tc>
                <w:tcPr>
                  <w:tcW w:w="1389"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电加热缸</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YS-300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27</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水处理机组</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28</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color w:val="auto"/>
                      <w:lang w:val="en-US" w:eastAsia="zh-CN"/>
                    </w:rPr>
                  </w:pPr>
                  <w:r>
                    <w:rPr>
                      <w:color w:val="auto"/>
                      <w:lang w:val="en-US" w:eastAsia="zh-CN"/>
                    </w:rPr>
                    <w:t>喷码机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29</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激光打码机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30</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臭氧发生器</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rPr>
                    <w:t>TCS-200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31</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电子台秤</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TCS-300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3</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32</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电子台秤</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SY系列</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bidi w:val="0"/>
                    <w:ind w:left="454" w:right="0" w:hanging="454"/>
                    <w:jc w:val="center"/>
                    <w:rPr>
                      <w:rFonts w:hint="eastAsia"/>
                      <w:color w:val="auto"/>
                      <w:lang w:val="en-US" w:eastAsia="zh-CN"/>
                    </w:rPr>
                  </w:pPr>
                  <w:r>
                    <w:rPr>
                      <w:rFonts w:ascii="Times New Roman" w:eastAsia="宋体" w:cs="Times New Roman" w:hAnsi="Times New Roman"/>
                      <w:color w:val="auto"/>
                      <w:kern w:val="0"/>
                      <w:sz w:val="21"/>
                      <w:szCs w:val="24"/>
                      <w:lang w:val="en-US" w:eastAsia="zh-CN" w:bidi="ar-SA"/>
                    </w:rPr>
                    <w:t>33</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电子天平</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JA5003N</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90"/>
              </w:trPr>
              <w:tc>
                <w:tcPr>
                  <w:tcW w:w="334" w:type="pct"/>
                  <w:tcBorders>
                    <w:tl2br w:val="nil"/>
                    <w:tr2bl w:val="nil"/>
                  </w:tcBorders>
                  <w:shd w:val="clear" w:color="auto" w:fill="auto"/>
                  <w:vAlign w:val="center"/>
                </w:tcPr>
                <w:p>
                  <w:pPr>
                    <w:pStyle w:val="23"/>
                    <w:bidi w:val="0"/>
                    <w:ind w:right="0"/>
                    <w:jc w:val="center"/>
                    <w:rPr>
                      <w:color w:val="auto"/>
                      <w:lang w:val="en-US" w:eastAsia="zh-CN"/>
                    </w:rPr>
                  </w:pPr>
                  <w:r>
                    <w:rPr>
                      <w:rFonts w:hint="eastAsia"/>
                      <w:color w:val="auto"/>
                      <w:lang w:val="en-US" w:eastAsia="zh-CN"/>
                    </w:rPr>
                    <w:t>34</w:t>
                  </w: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电子天平</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MTB5000D</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90"/>
              </w:trPr>
              <w:tc>
                <w:tcPr>
                  <w:tcW w:w="5000" w:type="pct"/>
                  <w:gridSpan w:val="7"/>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b/>
                      <w:bCs/>
                      <w:color w:val="auto"/>
                      <w:lang w:val="en-US" w:eastAsia="zh-CN"/>
                    </w:rPr>
                    <w:t>本项目</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val="restar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果蔬汁（浆）、浓缩果蔬汁（浆）</w:t>
                  </w: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打浆机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1t/h</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双联打浆机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2t/h</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多功能切菜机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XYC-QCJ-23</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螺旋榨汁机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KWLZ-2.5</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喂料泵</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2t/h</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鼠笼式破碎机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2t/h</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color w:val="auto"/>
                      <w:lang w:val="en-US" w:eastAsia="zh-CN"/>
                    </w:rPr>
                    <w:t>清洗隧道</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冲洗机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暂存缸</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500L</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5</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不锈钢储罐</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ST-2000</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自动旋盖机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RF-140</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单头BIB无菌灌装机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HLY-BIB-1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highlight w:val="yellow"/>
                    </w:rPr>
                  </w:pPr>
                  <w:r>
                    <w:rPr>
                      <w:rFonts w:hint="eastAsia"/>
                      <w:color w:val="auto"/>
                      <w:lang w:val="en-US" w:eastAsia="zh-CN"/>
                      <w:highlight w:val="none"/>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缓化隧道</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过滤机</w:t>
                  </w:r>
                </w:p>
              </w:tc>
              <w:tc>
                <w:tcPr>
                  <w:tcW w:w="884"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1t/h</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tcBorders>
                    <w:tl2br w:val="nil"/>
                    <w:tr2bl w:val="nil"/>
                  </w:tcBorders>
                  <w:shd w:val="clear" w:color="auto" w:fill="auto"/>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tl2br w:val="nil"/>
                    <w:tr2bl w:val="nil"/>
                  </w:tcBorders>
                  <w:shd w:val="clear" w:color="auto" w:fill="auto"/>
                  <w:vAlign w:val="center"/>
                </w:tcPr>
                <w:p/>
              </w:tc>
              <w:tc>
                <w:tcPr>
                  <w:tcW w:w="1389"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过滤机</w:t>
                  </w:r>
                </w:p>
              </w:tc>
              <w:tc>
                <w:tcPr>
                  <w:tcW w:w="884"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2t/h</w:t>
                  </w:r>
                </w:p>
              </w:tc>
              <w:tc>
                <w:tcPr>
                  <w:tcW w:w="338" w:type="pct"/>
                  <w:tcBorders>
                    <w:tl2br w:val="nil"/>
                    <w:tr2bl w:val="nil"/>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tl2br w:val="nil"/>
                    <w:tr2bl w:val="nil"/>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浓缩机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2t/h</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2</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highlight w:val="yellow"/>
                    </w:rPr>
                  </w:pPr>
                  <w:r>
                    <w:rPr>
                      <w:rFonts w:hint="eastAsia"/>
                      <w:color w:val="auto"/>
                      <w:lang w:val="en-US" w:eastAsia="zh-CN"/>
                      <w:highlight w:val="none"/>
                    </w:rPr>
                    <w:t>套管式杀菌机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highlight w:val="yellow"/>
                    </w:rPr>
                  </w:pPr>
                  <w:r>
                    <w:rPr>
                      <w:rFonts w:hint="eastAsia"/>
                      <w:color w:val="auto"/>
                      <w:lang w:val="en-US" w:eastAsia="zh-CN"/>
                      <w:highlight w:val="none"/>
                    </w:rPr>
                    <w:t>3t/h</w:t>
                  </w:r>
                </w:p>
              </w:tc>
              <w:tc>
                <w:tcPr>
                  <w:tcW w:w="338" w:type="pct"/>
                  <w:tcBorders>
                    <w:left w:val="single" w:sz="8" w:space="0" w:color="auto"/>
                  </w:tcBorders>
                  <w:vAlign w:val="center"/>
                </w:tcPr>
                <w:p>
                  <w:pPr>
                    <w:pStyle w:val="23"/>
                    <w:bidi w:val="0"/>
                    <w:ind w:left="0" w:right="0" w:firstLine="0"/>
                    <w:jc w:val="center"/>
                    <w:rPr>
                      <w:color w:val="auto"/>
                      <w:lang w:val="en-US" w:eastAsia="zh-CN"/>
                      <w:highlight w:val="yellow"/>
                    </w:rPr>
                  </w:pPr>
                  <w:r>
                    <w:rPr>
                      <w:rFonts w:hint="eastAsia"/>
                      <w:color w:val="auto"/>
                      <w:lang w:val="en-US" w:eastAsia="zh-CN"/>
                      <w:highlight w:val="none"/>
                    </w:rPr>
                    <w:t>1</w:t>
                  </w:r>
                </w:p>
              </w:tc>
              <w:tc>
                <w:tcPr>
                  <w:tcW w:w="338" w:type="pct"/>
                  <w:tcBorders>
                    <w:left w:val="single" w:sz="8"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套</w:t>
                  </w:r>
                </w:p>
              </w:tc>
              <w:tc>
                <w:tcPr>
                  <w:tcW w:w="357" w:type="pct"/>
                  <w:tcBorders>
                    <w:left w:val="single" w:sz="8"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val="restar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固体型食品添加剂</w:t>
                  </w: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离心喷雾干燥机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10kW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旋风灌装机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2t/h</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val="restar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辅助设备</w:t>
                  </w: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CIP系统</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自动包装线</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蒸汽发生器</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2t/h</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水罐</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6m³</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纯水机</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6t/h</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val="restar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研发实验室</w:t>
                  </w: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微型管式杀菌机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14kW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高速剪切混合乳化机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0.4kW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2</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高压均质机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56MPa</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搅拌器</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100w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4</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冷柜</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260w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3</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多功能粉碎机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550w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膜过滤器</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2kW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膜浓缩机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1.5kW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榨汁机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600w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电子秤</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6</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打浆机</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800w</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val="restar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检测实验室</w:t>
                  </w: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电子天平</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0.0001g</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3</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阿贝折射仪</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±0.0002</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高精度液体密度仪</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0.0001g/cm³</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恒温水浴锅</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可见分光光度计</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±2nm</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原子吸收分光光度计</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±2nm</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生物显微镜</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1600倍</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手提式高压蒸汽灭菌器</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0.01mpa</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生物安全柜</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超净化工作台</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100级@≥5um</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电热鼓风干燥箱</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智能恒温培养箱</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w:t>
                  </w:r>
                </w:p>
              </w:tc>
              <w:tc>
                <w:tcPr>
                  <w:tcW w:w="338" w:type="pct"/>
                  <w:tcBorders>
                    <w:left w:val="single" w:sz="8" w:space="0" w:color="auto"/>
                  </w:tcBorders>
                  <w:vAlign w:val="center"/>
                </w:tcPr>
                <w:p>
                  <w:pPr>
                    <w:pStyle w:val="23"/>
                    <w:bidi w:val="0"/>
                    <w:ind w:left="0" w:right="0" w:firstLine="0"/>
                    <w:jc w:val="center"/>
                    <w:rPr>
                      <w:color w:val="auto"/>
                      <w:lang w:val="en-US" w:eastAsia="zh-CN"/>
                    </w:rPr>
                  </w:pPr>
                  <w:r>
                    <w:rPr>
                      <w:rFonts w:hint="eastAsia"/>
                      <w:color w:val="auto"/>
                      <w:lang w:val="en-US" w:eastAsia="zh-CN"/>
                    </w:rPr>
                    <w:t>2</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PH计</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0.01级</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半自动凯氏定氮仪</w:t>
                  </w:r>
                </w:p>
              </w:tc>
              <w:tc>
                <w:tcPr>
                  <w:tcW w:w="884" w:type="pct"/>
                  <w:tcBorders>
                    <w:left w:val="single" w:sz="8" w:space="0" w:color="auto"/>
                  </w:tcBorders>
                  <w:shd w:val="clear" w:color="auto" w:fill="auto"/>
                  <w:vAlign w:val="center"/>
                </w:tcPr>
                <w:p>
                  <w:pPr>
                    <w:pStyle w:val="23"/>
                    <w:bidi w:val="0"/>
                    <w:ind w:left="0" w:right="0" w:firstLine="0"/>
                    <w:jc w:val="center"/>
                    <w:rPr>
                      <w:color w:val="auto"/>
                      <w:lang w:val="en-US" w:eastAsia="zh-CN"/>
                    </w:rPr>
                  </w:pPr>
                  <w:r>
                    <w:rPr>
                      <w:rFonts w:hint="eastAsia"/>
                      <w:color w:val="auto"/>
                      <w:lang w:val="en-US" w:eastAsia="zh-CN"/>
                    </w:rPr>
                    <w:t>0.1-250mgN</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r>
              <w:trPr>
                <w:trHeight w:val="187"/>
              </w:trPr>
              <w:tc>
                <w:tcPr>
                  <w:tcW w:w="334" w:type="pct"/>
                  <w:vAlign w:val="center"/>
                </w:tcPr>
                <w:p>
                  <w:pPr>
                    <w:pStyle w:val="23"/>
                    <w:numPr>
                      <w:ilvl w:val="0"/>
                      <w:numId w:val="2"/>
                    </w:numPr>
                    <w:bidi w:val="0"/>
                    <w:ind w:left="0" w:right="0" w:firstLine="0"/>
                    <w:jc w:val="center"/>
                    <w:rPr>
                      <w:rFonts w:hint="eastAsia"/>
                      <w:color w:val="auto"/>
                      <w:lang w:val="en-US" w:eastAsia="zh-CN"/>
                    </w:rPr>
                  </w:pPr>
                </w:p>
              </w:tc>
              <w:tc>
                <w:tcPr>
                  <w:tcW w:w="1355" w:type="pct"/>
                  <w:vMerge/>
                  <w:tcBorders>
                    <w:left w:val="single" w:sz="8" w:space="0" w:color="auto"/>
                  </w:tcBorders>
                  <w:vAlign w:val="center"/>
                </w:tcPr>
                <w:p/>
              </w:tc>
              <w:tc>
                <w:tcPr>
                  <w:tcW w:w="1389"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电导率仪</w:t>
                  </w:r>
                </w:p>
              </w:tc>
              <w:tc>
                <w:tcPr>
                  <w:tcW w:w="884" w:type="pct"/>
                  <w:tcBorders>
                    <w:left w:val="single" w:sz="8" w:space="0" w:color="auto"/>
                  </w:tcBorders>
                  <w:shd w:val="clear" w:color="auto" w:fill="auto"/>
                  <w:vAlign w:val="center"/>
                </w:tcPr>
                <w:p>
                  <w:pPr>
                    <w:pStyle w:val="23"/>
                    <w:bidi w:val="0"/>
                    <w:ind w:left="0" w:right="0" w:firstLine="0"/>
                    <w:jc w:val="center"/>
                    <w:rPr>
                      <w:rFonts w:hint="eastAsia"/>
                      <w:color w:val="auto"/>
                      <w:lang w:val="en-US" w:eastAsia="zh-CN"/>
                    </w:rPr>
                  </w:pPr>
                  <w:r>
                    <w:rPr>
                      <w:rFonts w:hint="eastAsia"/>
                      <w:color w:val="auto"/>
                      <w:lang w:val="en-US" w:eastAsia="zh-CN"/>
                    </w:rPr>
                    <w:t>0.5级</w:t>
                  </w:r>
                </w:p>
              </w:tc>
              <w:tc>
                <w:tcPr>
                  <w:tcW w:w="338"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1</w:t>
                  </w:r>
                </w:p>
              </w:tc>
              <w:tc>
                <w:tcPr>
                  <w:tcW w:w="338" w:type="pct"/>
                  <w:tcBorders>
                    <w:left w:val="single" w:sz="8"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套</w:t>
                  </w:r>
                </w:p>
              </w:tc>
              <w:tc>
                <w:tcPr>
                  <w:tcW w:w="357" w:type="pct"/>
                  <w:tcBorders>
                    <w:left w:val="single" w:sz="8" w:space="0" w:color="auto"/>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w:t>
                  </w:r>
                </w:p>
              </w:tc>
            </w:tr>
          </w:tbl>
          <w:p>
            <w:pPr>
              <w:adjustRightInd w:val="0"/>
              <w:snapToGrid w:val="0"/>
              <w:spacing w:line="360" w:lineRule="auto"/>
              <w:ind w:firstLineChars="200" w:firstLine="480"/>
              <w:rPr>
                <w:b/>
                <w:bCs/>
                <w:color w:val="auto"/>
                <w:sz w:val="24"/>
                <w:szCs w:val="32"/>
              </w:rPr>
            </w:pPr>
            <w:r>
              <w:rPr>
                <w:b/>
                <w:bCs/>
                <w:color w:val="auto"/>
                <w:sz w:val="24"/>
                <w:szCs w:val="32"/>
              </w:rPr>
              <w:t>3、主要原、辅材料消耗</w:t>
            </w:r>
          </w:p>
          <w:p>
            <w:pPr>
              <w:adjustRightInd w:val="0"/>
              <w:snapToGrid w:val="0"/>
              <w:spacing w:line="360" w:lineRule="auto"/>
              <w:ind w:firstLineChars="200" w:firstLine="480"/>
              <w:rPr>
                <w:color w:val="auto"/>
                <w:sz w:val="24"/>
                <w:szCs w:val="32"/>
              </w:rPr>
            </w:pPr>
            <w:r>
              <w:rPr>
                <w:rFonts w:hint="eastAsia"/>
                <w:color w:val="auto"/>
                <w:sz w:val="24"/>
                <w:szCs w:val="32"/>
              </w:rPr>
              <w:t>本项目</w:t>
            </w:r>
            <w:r>
              <w:rPr>
                <w:color w:val="auto"/>
                <w:sz w:val="24"/>
                <w:szCs w:val="32"/>
              </w:rPr>
              <w:t>原辅材料及能源消耗见表2-3。</w:t>
            </w:r>
          </w:p>
          <w:p>
            <w:pPr>
              <w:pStyle w:val="24"/>
              <w:bidi w:val="0"/>
              <w:rPr>
                <w:rFonts w:eastAsia="宋体" w:hint="eastAsia"/>
                <w:color w:val="auto"/>
                <w:lang w:val="en-US" w:eastAsia="zh-CN"/>
              </w:rPr>
            </w:pPr>
            <w:r>
              <w:rPr>
                <w:color w:val="auto"/>
              </w:rPr>
              <w:t>表2-3</w:t>
            </w:r>
            <w:r>
              <w:rPr>
                <w:rFonts w:hint="eastAsia"/>
                <w:color w:val="auto"/>
              </w:rPr>
              <w:t xml:space="preserve">   </w:t>
            </w:r>
            <w:r>
              <w:rPr>
                <w:color w:val="auto"/>
              </w:rPr>
              <w:t>主要原辅材料及能源消耗</w:t>
            </w:r>
            <w:r>
              <w:rPr>
                <w:rFonts w:hint="eastAsia"/>
                <w:color w:val="auto"/>
                <w:lang w:val="en-US" w:eastAsia="zh-CN"/>
              </w:rPr>
              <w:t>一览表</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6"/>
              <w:gridCol w:w="157"/>
              <w:gridCol w:w="899"/>
              <w:gridCol w:w="83"/>
              <w:gridCol w:w="1186"/>
              <w:gridCol w:w="657"/>
              <w:gridCol w:w="346"/>
              <w:gridCol w:w="295"/>
              <w:gridCol w:w="899"/>
              <w:gridCol w:w="642"/>
              <w:gridCol w:w="859"/>
              <w:gridCol w:w="499"/>
              <w:gridCol w:w="1466"/>
            </w:tblGrid>
            <w:tr>
              <w:trPr>
                <w:trHeight w:val="90"/>
              </w:trPr>
              <w:tc>
                <w:tcPr>
                  <w:tcW w:w="5000" w:type="pct"/>
                  <w:gridSpan w:val="13"/>
                  <w:vAlign w:val="center"/>
                </w:tcPr>
                <w:p>
                  <w:pPr>
                    <w:pStyle w:val="23"/>
                    <w:bidi w:val="0"/>
                    <w:spacing w:line="240" w:lineRule="auto"/>
                    <w:ind w:left="0" w:right="0" w:firstLine="0"/>
                    <w:jc w:val="center"/>
                    <w:rPr>
                      <w:rFonts w:hint="eastAsia"/>
                      <w:b/>
                      <w:bCs/>
                      <w:color w:val="auto"/>
                      <w:sz w:val="21"/>
                      <w:szCs w:val="21"/>
                      <w:lang w:val="en-US" w:eastAsia="zh-CN"/>
                    </w:rPr>
                  </w:pPr>
                  <w:r>
                    <w:rPr>
                      <w:rFonts w:hint="eastAsia"/>
                      <w:b/>
                      <w:bCs/>
                      <w:color w:val="auto"/>
                      <w:sz w:val="21"/>
                      <w:szCs w:val="21"/>
                      <w:lang w:val="en-US" w:eastAsia="zh-CN"/>
                    </w:rPr>
                    <w:t>原辅材料</w:t>
                  </w:r>
                </w:p>
              </w:tc>
            </w:tr>
            <w:tr>
              <w:trPr>
                <w:trHeight w:val="23"/>
              </w:trPr>
              <w:tc>
                <w:tcPr>
                  <w:tcW w:w="5000" w:type="pct"/>
                  <w:gridSpan w:val="13"/>
                  <w:vAlign w:val="center"/>
                </w:tcPr>
                <w:p>
                  <w:pPr>
                    <w:pStyle w:val="23"/>
                    <w:bidi w:val="0"/>
                    <w:spacing w:line="240" w:lineRule="auto"/>
                    <w:ind w:left="0" w:right="0" w:firstLine="0"/>
                    <w:jc w:val="center"/>
                    <w:rPr>
                      <w:rFonts w:hint="eastAsia"/>
                      <w:b/>
                      <w:bCs/>
                      <w:color w:val="auto"/>
                      <w:sz w:val="21"/>
                      <w:szCs w:val="21"/>
                      <w:lang w:val="en-US" w:eastAsia="zh-CN"/>
                    </w:rPr>
                  </w:pPr>
                  <w:r>
                    <w:rPr>
                      <w:rFonts w:hint="eastAsia"/>
                      <w:b/>
                      <w:bCs/>
                      <w:color w:val="auto"/>
                      <w:sz w:val="21"/>
                      <w:szCs w:val="21"/>
                      <w:lang w:val="en-US" w:eastAsia="zh-CN"/>
                    </w:rPr>
                    <w:t>现有工程</w:t>
                  </w:r>
                </w:p>
              </w:tc>
            </w:tr>
            <w:tr>
              <w:trPr>
                <w:trHeight w:val="514"/>
              </w:trPr>
              <w:tc>
                <w:tcPr>
                  <w:tcW w:w="247" w:type="pct"/>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序号</w:t>
                  </w:r>
                </w:p>
              </w:tc>
              <w:tc>
                <w:tcPr>
                  <w:tcW w:w="613"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产品</w:t>
                  </w:r>
                </w:p>
              </w:tc>
              <w:tc>
                <w:tcPr>
                  <w:tcW w:w="1148" w:type="pct"/>
                  <w:gridSpan w:val="3"/>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名称</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单位</w:t>
                  </w:r>
                </w:p>
              </w:tc>
              <w:tc>
                <w:tcPr>
                  <w:tcW w:w="533"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用量</w:t>
                  </w:r>
                </w:p>
              </w:tc>
              <w:tc>
                <w:tcPr>
                  <w:tcW w:w="385"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形态</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包装方式</w:t>
                  </w:r>
                </w:p>
              </w:tc>
              <w:tc>
                <w:tcPr>
                  <w:tcW w:w="877"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备注</w:t>
                  </w: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固体型食品添加剂</w:t>
                  </w: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羧甲基纤维素钠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850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val="restart"/>
                  <w:tcBorders>
                    <w:left w:val="single" w:sz="4" w:space="0" w:color="auto"/>
                  </w:tcBorders>
                  <w:vAlign w:val="center"/>
                </w:tcPr>
                <w:p>
                  <w:pPr>
                    <w:pStyle w:val="23"/>
                    <w:bidi w:val="0"/>
                    <w:spacing w:line="240" w:lineRule="auto"/>
                    <w:rPr>
                      <w:color w:val="auto"/>
                      <w:sz w:val="21"/>
                      <w:szCs w:val="21"/>
                      <w:lang w:val="en-US" w:eastAsia="zh-CN"/>
                    </w:rPr>
                  </w:pPr>
                  <w:r>
                    <w:rPr>
                      <w:rFonts w:hint="eastAsia"/>
                      <w:color w:val="auto"/>
                      <w:sz w:val="21"/>
                      <w:szCs w:val="21"/>
                    </w:rPr>
                    <w:t>外购</w:t>
                  </w:r>
                  <w:r>
                    <w:rPr>
                      <w:rFonts w:hint="eastAsia"/>
                      <w:color w:val="auto"/>
                      <w:sz w:val="21"/>
                      <w:szCs w:val="21"/>
                      <w:lang w:val="en-US" w:eastAsia="zh-CN"/>
                    </w:rPr>
                    <w:t>食品级原料，本项目新增喷雾干燥工艺将液体食品添加剂加工成固体食品添加剂，原材料用量不变</w:t>
                  </w: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黄原胶</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300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单，双甘油脂肪酸酯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250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聚甘油脂肪酸酯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卡拉胶</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三聚磷酸钠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焦磷酸钠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瓜尔胶</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蔗糖酯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糊精</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195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葡萄糖</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180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果胶</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shd w:val="clear" w:color="auto" w:fill="auto"/>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液体型食品添加剂</w:t>
                  </w: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乙基麦芽酚</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val="restart"/>
                  <w:tcBorders>
                    <w:left w:val="single" w:sz="4" w:space="0" w:color="auto"/>
                  </w:tcBorders>
                  <w:vAlign w:val="center"/>
                </w:tcPr>
                <w:p>
                  <w:pPr>
                    <w:pStyle w:val="23"/>
                    <w:bidi w:val="0"/>
                    <w:spacing w:line="240" w:lineRule="auto"/>
                    <w:rPr>
                      <w:color w:val="auto"/>
                      <w:sz w:val="21"/>
                      <w:szCs w:val="21"/>
                      <w:lang w:val="en-US"/>
                    </w:rPr>
                  </w:pPr>
                  <w:r>
                    <w:rPr>
                      <w:rFonts w:hint="eastAsia"/>
                      <w:color w:val="auto"/>
                      <w:sz w:val="21"/>
                      <w:szCs w:val="21"/>
                    </w:rPr>
                    <w:t>外购</w:t>
                  </w:r>
                  <w:r>
                    <w:rPr>
                      <w:rFonts w:hint="eastAsia"/>
                      <w:color w:val="auto"/>
                      <w:sz w:val="21"/>
                      <w:szCs w:val="21"/>
                      <w:lang w:val="en-US" w:eastAsia="zh-CN"/>
                    </w:rPr>
                    <w:t>食品级原料，现有工程原材料</w:t>
                  </w: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香兰素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11.43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丙位癸内酯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丁位癸内酯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甲基环戊戌酮</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w:t>
                  </w:r>
                  <w:r>
                    <w:rPr>
                      <w:rFonts w:hint="eastAsia"/>
                      <w:color w:val="auto"/>
                      <w:sz w:val="21"/>
                      <w:szCs w:val="21"/>
                      <w:lang w:val="en-US" w:eastAsia="zh-CN"/>
                    </w:rPr>
                    <w:t>10</w:t>
                  </w:r>
                  <w:r>
                    <w:rPr>
                      <w:rFonts w:hint="eastAsia"/>
                      <w:color w:val="auto"/>
                      <w:sz w:val="21"/>
                      <w:szCs w:val="21"/>
                    </w:rPr>
                    <w:t>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丙三醇</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50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丙二醇</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50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十四酸乙酯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天然甜橙醛</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癸酸</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肉桂酸乙酯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叶醇</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草莓酸</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丙位十一内酯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乙基香兰素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1.4</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天然柠檬醛</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辛醛</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苯甲醇</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丁酸乙酯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0.7</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麦芽糊精</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6.95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牛皮纸袋，10kg/袋</w:t>
                  </w:r>
                </w:p>
              </w:tc>
              <w:tc>
                <w:tcPr>
                  <w:tcW w:w="877" w:type="pct"/>
                  <w:vMerge w:val="restart"/>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外购食品级原料，用于喷雾干燥所使用的原材料</w:t>
                  </w: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淀粉</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1</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牛皮纸袋，10kg/袋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白砂糖</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0.25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牛皮纸袋，10kg/袋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味精</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0.05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牛皮纸袋，10kg/袋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葡萄糖</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0.75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牛皮纸袋，10kg/袋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可可粉</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1</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牛皮纸袋，10kg/袋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乳化型食品添加剂</w:t>
                  </w: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乙基麦芽酚</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val="restart"/>
                  <w:tcBorders>
                    <w:left w:val="single" w:sz="4" w:space="0" w:color="auto"/>
                  </w:tcBorders>
                  <w:vAlign w:val="center"/>
                </w:tcPr>
                <w:p>
                  <w:pPr>
                    <w:pStyle w:val="23"/>
                    <w:bidi w:val="0"/>
                    <w:spacing w:line="240" w:lineRule="auto"/>
                    <w:rPr>
                      <w:color w:val="auto"/>
                      <w:sz w:val="21"/>
                      <w:szCs w:val="21"/>
                    </w:rPr>
                  </w:pPr>
                  <w:r>
                    <w:rPr>
                      <w:rFonts w:hint="eastAsia"/>
                      <w:color w:val="auto"/>
                      <w:sz w:val="21"/>
                      <w:szCs w:val="21"/>
                    </w:rPr>
                    <w:t>外购</w:t>
                  </w:r>
                  <w:r>
                    <w:rPr>
                      <w:rFonts w:hint="eastAsia"/>
                      <w:color w:val="auto"/>
                      <w:sz w:val="21"/>
                      <w:szCs w:val="21"/>
                      <w:lang w:val="en-US" w:eastAsia="zh-CN"/>
                    </w:rPr>
                    <w:t>食品级原料</w:t>
                  </w: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香兰素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5.62</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丙位癸内酯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丁位癸内酯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甲基环戊戌酮</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w:t>
                  </w:r>
                  <w:r>
                    <w:rPr>
                      <w:rFonts w:hint="eastAsia"/>
                      <w:color w:val="auto"/>
                      <w:sz w:val="21"/>
                      <w:szCs w:val="21"/>
                      <w:lang w:val="en-US" w:eastAsia="zh-CN"/>
                    </w:rPr>
                    <w:t>10</w:t>
                  </w:r>
                  <w:r>
                    <w:rPr>
                      <w:rFonts w:hint="eastAsia"/>
                      <w:color w:val="auto"/>
                      <w:sz w:val="21"/>
                      <w:szCs w:val="21"/>
                    </w:rPr>
                    <w:t>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丙三醇</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丙二醇</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十四酸乙酯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天然甜橙醛</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癸酸</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肉桂酸乙酯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叶醇</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草莓酸</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丙位十一内酯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乙基香兰素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0.6</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天然柠檬醛</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辛醛</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苯甲醇</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丁酸乙酯</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菠萝油</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0.3</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甜橙油</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柠檬油</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8</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桔子油</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柚子油</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饮料</w:t>
                  </w: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苹果浓缩汁</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val="restart"/>
                  <w:tcBorders>
                    <w:left w:val="single" w:sz="4" w:space="0" w:color="auto"/>
                  </w:tcBorders>
                  <w:vAlign w:val="center"/>
                </w:tcPr>
                <w:p>
                  <w:pPr>
                    <w:pStyle w:val="23"/>
                    <w:bidi w:val="0"/>
                    <w:spacing w:line="240" w:lineRule="auto"/>
                    <w:rPr>
                      <w:color w:val="auto"/>
                      <w:sz w:val="21"/>
                      <w:szCs w:val="21"/>
                    </w:rPr>
                  </w:pPr>
                  <w:r>
                    <w:rPr>
                      <w:rFonts w:hint="eastAsia"/>
                      <w:color w:val="auto"/>
                      <w:sz w:val="21"/>
                      <w:szCs w:val="21"/>
                    </w:rPr>
                    <w:t>外购</w:t>
                  </w:r>
                  <w:r>
                    <w:rPr>
                      <w:rFonts w:hint="eastAsia"/>
                      <w:color w:val="auto"/>
                      <w:sz w:val="21"/>
                      <w:szCs w:val="21"/>
                      <w:lang w:val="en-US" w:eastAsia="zh-CN"/>
                    </w:rPr>
                    <w:t>食品级原料</w:t>
                  </w: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草莓酱</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山梨酸钾</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柠檬酸</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葡萄糖</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乳酸</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橙浓缩汁</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50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桃浆</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柠檬酸钠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绿茶粉</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安赛蜜</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8</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乳粉</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三氯蔗糖</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红茶粉</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20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阿斯巴甜</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食用色素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0.01</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甜蜜素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天然柠檬醛</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color w:val="auto"/>
                      <w:sz w:val="21"/>
                      <w:szCs w:val="21"/>
                      <w:lang w:val="en-US" w:eastAsia="zh-CN"/>
                    </w:rPr>
                  </w:pPr>
                  <w:r>
                    <w:rPr>
                      <w:rFonts w:hint="eastAsia"/>
                      <w:color w:val="auto"/>
                      <w:sz w:val="21"/>
                      <w:szCs w:val="21"/>
                      <w:lang w:val="en-US" w:eastAsia="zh-CN"/>
                    </w:rPr>
                    <w:t>0.6</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天然杨梅醛</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color w:val="auto"/>
                      <w:sz w:val="21"/>
                      <w:szCs w:val="21"/>
                      <w:lang w:val="en-US" w:eastAsia="zh-CN"/>
                    </w:rPr>
                  </w:pPr>
                  <w:r>
                    <w:rPr>
                      <w:rFonts w:hint="eastAsia"/>
                      <w:color w:val="auto"/>
                      <w:sz w:val="21"/>
                      <w:szCs w:val="21"/>
                      <w:lang w:val="en-US" w:eastAsia="zh-CN"/>
                    </w:rPr>
                    <w:t>0.6</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天然甜橙醛</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color w:val="auto"/>
                      <w:sz w:val="21"/>
                      <w:szCs w:val="21"/>
                      <w:lang w:val="en-US" w:eastAsia="zh-CN"/>
                    </w:rPr>
                  </w:pPr>
                  <w:r>
                    <w:rPr>
                      <w:rFonts w:hint="eastAsia"/>
                      <w:color w:val="auto"/>
                      <w:sz w:val="21"/>
                      <w:szCs w:val="21"/>
                      <w:lang w:val="en-US" w:eastAsia="zh-CN"/>
                    </w:rPr>
                    <w:t>0.8</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稀奶油</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其他</w:t>
                  </w: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包装材料</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50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5"/>
                    <w:tabs>
                      <w:tab w:val="left" w:pos="1680"/>
                      <w:tab w:val="left" w:pos="3465"/>
                    </w:tabs>
                    <w:bidi w:val="0"/>
                    <w:spacing w:line="240" w:lineRule="auto"/>
                    <w:ind w:firstLine="0"/>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lang w:val="en-US"/>
                    </w:rPr>
                  </w:pPr>
                  <w:r>
                    <w:rPr>
                      <w:rFonts w:hint="eastAsia"/>
                      <w:color w:val="auto"/>
                      <w:sz w:val="21"/>
                      <w:szCs w:val="21"/>
                      <w:lang w:val="en-US" w:eastAsia="zh-CN"/>
                    </w:rPr>
                    <w:t>其中纸箱20t、纸盒4t、pet瓶6t、PE包装袋10t、牛皮纸袋10t</w:t>
                  </w: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color w:val="auto"/>
                      <w:sz w:val="21"/>
                      <w:szCs w:val="21"/>
                      <w:lang w:val="en-US" w:eastAsia="zh-CN"/>
                    </w:rPr>
                    <w:t>水性油墨</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rFonts w:hint="eastAsia"/>
                      <w:color w:val="auto"/>
                      <w:sz w:val="21"/>
                      <w:szCs w:val="21"/>
                      <w:lang w:val="en-US" w:eastAsia="zh-CN"/>
                    </w:rPr>
                    <w:t>0.1</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vAlign w:val="center"/>
                </w:tcPr>
                <w:p>
                  <w:pPr>
                    <w:pStyle w:val="25"/>
                    <w:tabs>
                      <w:tab w:val="left" w:pos="1680"/>
                      <w:tab w:val="left" w:pos="3465"/>
                    </w:tabs>
                    <w:bidi w:val="0"/>
                    <w:spacing w:line="240" w:lineRule="auto"/>
                    <w:ind w:firstLine="0"/>
                    <w:rPr>
                      <w:color w:val="auto"/>
                      <w:sz w:val="21"/>
                      <w:szCs w:val="21"/>
                      <w:lang w:val="en-US" w:eastAsia="zh-CN"/>
                    </w:rPr>
                  </w:pPr>
                  <w:r>
                    <w:rPr>
                      <w:rFonts w:hint="eastAsia"/>
                      <w:color w:val="auto"/>
                      <w:sz w:val="21"/>
                      <w:szCs w:val="21"/>
                      <w:lang w:val="en-US" w:eastAsia="zh-CN"/>
                    </w:rPr>
                    <w:t>10L/瓶</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3"/>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color w:val="auto"/>
                      <w:kern w:val="0"/>
                      <w:sz w:val="21"/>
                      <w:szCs w:val="21"/>
                      <w:lang w:val="en-US" w:eastAsia="zh-CN" w:bidi="ar-SA"/>
                    </w:rPr>
                  </w:pPr>
                  <w:r>
                    <w:rPr>
                      <w:color w:val="auto"/>
                      <w:sz w:val="21"/>
                      <w:szCs w:val="21"/>
                      <w:lang w:val="en-US" w:eastAsia="zh-CN"/>
                    </w:rPr>
                    <w:t>热熔胶</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5"/>
                    <w:tabs>
                      <w:tab w:val="left" w:pos="1680"/>
                      <w:tab w:val="left" w:pos="3465"/>
                    </w:tabs>
                    <w:bidi w:val="0"/>
                    <w:spacing w:line="240" w:lineRule="auto"/>
                    <w:ind w:firstLine="0"/>
                    <w:rPr>
                      <w:rFonts w:ascii="Times New Roman" w:eastAsia="宋体" w:cs="宋体" w:hAnsi="Times New Roman"/>
                      <w:snapToGrid w:val="0"/>
                      <w:color w:val="auto"/>
                      <w:spacing w:val="4"/>
                      <w:kern w:val="2"/>
                      <w:sz w:val="21"/>
                      <w:szCs w:val="21"/>
                      <w:shd w:val="clear" w:color="auto" w:fill="FFFFFF"/>
                      <w:lang w:val="en-US" w:eastAsia="zh-CN" w:bidi="ar-SA"/>
                    </w:rPr>
                  </w:pPr>
                  <w:r>
                    <w:rPr>
                      <w:color w:val="auto"/>
                      <w:sz w:val="21"/>
                      <w:szCs w:val="21"/>
                      <w:lang w:val="en-US" w:eastAsia="zh-CN"/>
                    </w:rPr>
                    <w:t>10</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1"/>
                      <w:lang w:val="en-US" w:eastAsia="zh-CN" w:bidi="ar-SA"/>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ind w:firstLine="0"/>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w:t>
                  </w:r>
                </w:p>
              </w:tc>
            </w:tr>
            <w:tr>
              <w:trPr>
                <w:trHeight w:val="23"/>
              </w:trPr>
              <w:tc>
                <w:tcPr>
                  <w:tcW w:w="5000" w:type="pct"/>
                  <w:gridSpan w:val="13"/>
                  <w:vAlign w:val="center"/>
                </w:tcPr>
                <w:p>
                  <w:pPr>
                    <w:pStyle w:val="23"/>
                    <w:bidi w:val="0"/>
                    <w:spacing w:line="240" w:lineRule="auto"/>
                    <w:ind w:left="0" w:right="0" w:firstLine="0"/>
                    <w:jc w:val="center"/>
                    <w:rPr>
                      <w:rFonts w:hint="eastAsia"/>
                      <w:b/>
                      <w:bCs/>
                      <w:color w:val="auto"/>
                      <w:sz w:val="21"/>
                      <w:szCs w:val="21"/>
                      <w:lang w:val="en-US" w:eastAsia="zh-CN"/>
                    </w:rPr>
                  </w:pPr>
                  <w:r>
                    <w:rPr>
                      <w:rFonts w:hint="eastAsia"/>
                      <w:b/>
                      <w:bCs/>
                      <w:color w:val="auto"/>
                      <w:sz w:val="21"/>
                      <w:szCs w:val="21"/>
                      <w:lang w:val="en-US" w:eastAsia="zh-CN"/>
                    </w:rPr>
                    <w:t>本项目新增</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果蔬汁（浆）、浓缩果蔬汁浆</w:t>
                  </w: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白砂糖</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20</w:t>
                  </w:r>
                </w:p>
              </w:tc>
              <w:tc>
                <w:tcPr>
                  <w:tcW w:w="385"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rPr>
                    <w:t>牛皮纸袋，25kg/袋</w:t>
                  </w:r>
                </w:p>
              </w:tc>
              <w:tc>
                <w:tcPr>
                  <w:tcW w:w="877" w:type="pct"/>
                  <w:vMerge w:val="restar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外购食品级原料</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维生素</w:t>
                  </w:r>
                  <w:r>
                    <w:rPr>
                      <w:rFonts w:hint="eastAsia"/>
                      <w:color w:val="auto"/>
                      <w:sz w:val="21"/>
                      <w:szCs w:val="21"/>
                      <w:lang w:val="en-US" w:eastAsia="zh-CN"/>
                    </w:rPr>
                    <w:t>C</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w:t>
                  </w:r>
                </w:p>
              </w:tc>
              <w:tc>
                <w:tcPr>
                  <w:tcW w:w="385"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草莓</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芒果</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桃</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苹果</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梨</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橙子</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西瓜</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胡萝卜</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芹菜</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番茄</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黄瓜</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玉米</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研发实验室</w:t>
                  </w: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白砂糖</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0.21</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rPr>
                    <w:t>牛皮纸袋，25kg/袋</w:t>
                  </w:r>
                </w:p>
              </w:tc>
              <w:tc>
                <w:tcPr>
                  <w:tcW w:w="877" w:type="pct"/>
                  <w:vMerge w:val="restart"/>
                  <w:tcBorders>
                    <w:left w:val="single" w:sz="4" w:space="0" w:color="auto"/>
                  </w:tcBorders>
                  <w:vAlign w:val="center"/>
                </w:tcPr>
                <w:p>
                  <w:pPr>
                    <w:pStyle w:val="23"/>
                    <w:bidi w:val="0"/>
                    <w:spacing w:line="240" w:lineRule="auto"/>
                    <w:ind w:firstLine="0"/>
                    <w:rPr>
                      <w:color w:val="auto"/>
                      <w:sz w:val="21"/>
                      <w:szCs w:val="21"/>
                    </w:rPr>
                  </w:pPr>
                  <w:r>
                    <w:rPr>
                      <w:rFonts w:hint="eastAsia"/>
                      <w:color w:val="auto"/>
                      <w:sz w:val="21"/>
                      <w:szCs w:val="21"/>
                    </w:rPr>
                    <w:t>外购</w:t>
                  </w:r>
                  <w:r>
                    <w:rPr>
                      <w:rFonts w:hint="eastAsia"/>
                      <w:color w:val="auto"/>
                      <w:sz w:val="21"/>
                      <w:szCs w:val="21"/>
                      <w:lang w:val="en-US" w:eastAsia="zh-CN"/>
                    </w:rPr>
                    <w:t>食品级原料</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安赛蜜</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0.0003</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三氯蔗糖</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0.0003</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柠檬酸钠</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0.00045</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柠檬酸</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0.0045</w:t>
                  </w:r>
                </w:p>
              </w:tc>
              <w:tc>
                <w:tcPr>
                  <w:tcW w:w="385" w:type="pct"/>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碳酸氢钠</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0.0015</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苹果酸</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0.003</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山梨酸钾</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0.0009</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苯甲酸钠</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0.00045</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六偏磷酸钠</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0.0015</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三聚磷酸钠</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0.0006</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牛皮纸袋，25kg/袋</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乳酸</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0.0003</w:t>
                  </w:r>
                </w:p>
              </w:tc>
              <w:tc>
                <w:tcPr>
                  <w:tcW w:w="385" w:type="pct"/>
                  <w:tcBorders>
                    <w:left w:val="single" w:sz="4" w:space="0" w:color="auto"/>
                  </w:tcBorders>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浓缩苹果汁</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0.03</w:t>
                  </w:r>
                </w:p>
              </w:tc>
              <w:tc>
                <w:tcPr>
                  <w:tcW w:w="385" w:type="pct"/>
                  <w:tcBorders>
                    <w:left w:val="single" w:sz="4" w:space="0" w:color="auto"/>
                  </w:tcBorders>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果葡</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0.06</w:t>
                  </w:r>
                </w:p>
              </w:tc>
              <w:tc>
                <w:tcPr>
                  <w:tcW w:w="385" w:type="pct"/>
                  <w:tcBorders>
                    <w:left w:val="single" w:sz="4" w:space="0" w:color="auto"/>
                  </w:tcBorders>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浓缩葡萄汁</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0.015</w:t>
                  </w:r>
                </w:p>
              </w:tc>
              <w:tc>
                <w:tcPr>
                  <w:tcW w:w="385" w:type="pct"/>
                  <w:tcBorders>
                    <w:left w:val="single" w:sz="4" w:space="0" w:color="auto"/>
                  </w:tcBorders>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塑料桶，10kg/桶</w:t>
                  </w:r>
                </w:p>
              </w:tc>
              <w:tc>
                <w:tcPr>
                  <w:tcW w:w="877" w:type="pct"/>
                  <w:vMerge/>
                  <w:tcBorders>
                    <w:left w:val="single" w:sz="4" w:space="0" w:color="auto"/>
                  </w:tcBorders>
                  <w:vAlign w:val="center"/>
                </w:tc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食品添加剂</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0.015</w:t>
                  </w:r>
                </w:p>
              </w:tc>
              <w:tc>
                <w:tcPr>
                  <w:tcW w:w="385"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rFonts w:eastAsia="宋体"/>
                      <w:color w:val="auto"/>
                      <w:sz w:val="21"/>
                      <w:szCs w:val="21"/>
                      <w:lang w:val="en-US" w:eastAsia="zh-CN"/>
                    </w:rPr>
                  </w:pPr>
                  <w:r>
                    <w:rPr>
                      <w:rFonts w:hint="eastAsia"/>
                      <w:color w:val="auto"/>
                      <w:sz w:val="21"/>
                      <w:szCs w:val="21"/>
                      <w:lang w:val="en-US" w:eastAsia="zh-CN"/>
                    </w:rPr>
                    <w:t>本企业生产</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检测实验室</w:t>
                  </w: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无水硫酸钠</w:t>
                  </w:r>
                </w:p>
              </w:tc>
              <w:tc>
                <w:tcPr>
                  <w:tcW w:w="381"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磷酸二氢铵</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碱式乙酸铅</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硫酸铜</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硫酸钾</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1000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钨酸钠</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磷酸氢二钠</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磷酸二氢钾</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酒石酸钾钠</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磷酸二氢钠</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硫酸亚铁</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柠檬酸氢二胺</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氯化钾</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氢氧化钠</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4000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硼酸</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1000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氧化镁</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250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三乙醇胺</w:t>
                  </w:r>
                </w:p>
              </w:tc>
              <w:tc>
                <w:tcPr>
                  <w:tcW w:w="381" w:type="pct"/>
                  <w:gridSpan w:val="2"/>
                  <w:tcBorders>
                    <w:left w:val="single" w:sz="4" w:space="0" w:color="auto"/>
                  </w:tcBorders>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500mL/瓶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无水乙醇</w:t>
                  </w:r>
                </w:p>
              </w:tc>
              <w:tc>
                <w:tcPr>
                  <w:tcW w:w="381" w:type="pct"/>
                  <w:gridSpan w:val="2"/>
                  <w:tcBorders>
                    <w:left w:val="single" w:sz="4" w:space="0" w:color="auto"/>
                  </w:tcBorders>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5000</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500mL/瓶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碘化汞</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25g/瓶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亚甲基蓝</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25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25g/瓶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甲基红</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25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25g/瓶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酚酞</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25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25g/瓶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碘化钾</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25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25g/瓶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双硫腙</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二乙氨基二硫代甲酸银</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溴甲酚绿</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氯化羟胺</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25g/瓶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酚红</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w:t>
                  </w:r>
                </w:p>
              </w:tc>
              <w:tc>
                <w:tcPr>
                  <w:tcW w:w="385"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石油醚（30-60）</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8000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5"/>
                    <w:tabs>
                      <w:tab w:val="left" w:pos="1680"/>
                      <w:tab w:val="left" w:pos="3465"/>
                    </w:tabs>
                    <w:bidi w:val="0"/>
                    <w:spacing w:line="240" w:lineRule="auto"/>
                    <w:rPr>
                      <w:rFonts w:hint="eastAsia"/>
                      <w:color w:val="auto"/>
                      <w:sz w:val="21"/>
                      <w:szCs w:val="21"/>
                      <w:lang w:val="en-US" w:eastAsia="zh-CN"/>
                    </w:rPr>
                  </w:pPr>
                  <w:r>
                    <w:rPr>
                      <w:rFonts w:hint="eastAsia"/>
                      <w:color w:val="auto"/>
                      <w:sz w:val="21"/>
                      <w:szCs w:val="21"/>
                      <w:lang w:val="en-US" w:eastAsia="zh-CN"/>
                    </w:rPr>
                    <w:t>500mL/瓶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缓冲蛋白胨水</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750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四六磺酸钠煌绿增菌液基础</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250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氯化镁孔雀绿大豆胨增菌液</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250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亚硫酸铋琼脂</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HE琼脂</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500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碘液</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ml/a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40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2ml/支*10支</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平板计数琼脂</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750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结晶紫中性红胆盐琼脂</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750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月桂基硫酸盐胰蛋白胨肉汤</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250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孟加拉红琼脂</w:t>
                  </w:r>
                </w:p>
              </w:tc>
              <w:tc>
                <w:tcPr>
                  <w:tcW w:w="381" w:type="pct"/>
                  <w:gridSpan w:val="2"/>
                  <w:tcBorders>
                    <w:left w:val="single" w:sz="4" w:space="0" w:color="auto"/>
                  </w:tcBorders>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g/a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750</w:t>
                  </w:r>
                </w:p>
              </w:tc>
              <w:tc>
                <w:tcPr>
                  <w:tcW w:w="385" w:type="pct"/>
                  <w:tcBorders>
                    <w:left w:val="single" w:sz="4" w:space="0" w:color="auto"/>
                  </w:tcBorders>
                  <w:shd w:val="clear" w:color="auto" w:fill="auto"/>
                  <w:vAlign w:val="center"/>
                </w:tcPr>
                <w:p>
                  <w:pPr>
                    <w:pStyle w:val="23"/>
                    <w:bidi w:val="0"/>
                    <w:spacing w:line="240" w:lineRule="auto"/>
                    <w:ind w:firstLine="0"/>
                    <w:rPr>
                      <w:rFonts w:hint="eastAsia"/>
                      <w:color w:val="auto"/>
                      <w:sz w:val="21"/>
                      <w:szCs w:val="21"/>
                      <w:lang w:val="en-US" w:eastAsia="zh-CN"/>
                    </w:rPr>
                  </w:pPr>
                  <w:r>
                    <w:rPr>
                      <w:rFonts w:hint="eastAsia"/>
                      <w:color w:val="auto"/>
                      <w:sz w:val="21"/>
                      <w:szCs w:val="21"/>
                      <w:lang w:val="en-US" w:eastAsia="zh-CN"/>
                    </w:rPr>
                    <w:t>液体</w:t>
                  </w:r>
                </w:p>
              </w:tc>
              <w:tc>
                <w:tcPr>
                  <w:tcW w:w="814" w:type="pct"/>
                  <w:gridSpan w:val="2"/>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250g/瓶</w:t>
                  </w:r>
                </w:p>
              </w:tc>
              <w:tc>
                <w:tcPr>
                  <w:tcW w:w="877"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val="restar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其他</w:t>
                  </w:r>
                </w:p>
              </w:tc>
              <w:tc>
                <w:tcPr>
                  <w:tcW w:w="1148" w:type="pct"/>
                  <w:gridSpan w:val="3"/>
                  <w:tcBorders>
                    <w:left w:val="single" w:sz="4" w:space="0" w:color="auto"/>
                  </w:tcBorders>
                  <w:shd w:val="clear" w:color="auto" w:fill="auto"/>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包装材料</w:t>
                  </w:r>
                </w:p>
              </w:tc>
              <w:tc>
                <w:tcPr>
                  <w:tcW w:w="38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30</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lang w:val="en-US"/>
                    </w:rPr>
                  </w:pPr>
                  <w:r>
                    <w:rPr>
                      <w:rFonts w:hint="eastAsia"/>
                      <w:color w:val="auto"/>
                      <w:sz w:val="21"/>
                      <w:szCs w:val="21"/>
                      <w:lang w:val="en-US" w:eastAsia="zh-CN"/>
                    </w:rPr>
                    <w:t>其中纸箱5t、pet瓶10t、玻璃瓶15t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rFonts w:hint="eastAsia"/>
                      <w:color w:val="auto"/>
                      <w:sz w:val="21"/>
                      <w:szCs w:val="21"/>
                      <w:lang w:val="en-US" w:eastAsia="zh-CN"/>
                    </w:rPr>
                  </w:pPr>
                  <w:r>
                    <w:rPr>
                      <w:rFonts w:hint="eastAsia"/>
                      <w:color w:val="auto"/>
                      <w:sz w:val="21"/>
                      <w:szCs w:val="21"/>
                      <w:lang w:val="en-US" w:eastAsia="zh-CN"/>
                    </w:rPr>
                    <w:t>PE包装膜</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ascii="Times New Roman" w:eastAsia="宋体" w:cs="Times New Roman" w:hAnsi="Times New Roman" w:hint="eastAsia"/>
                      <w:color w:val="auto"/>
                      <w:kern w:val="0"/>
                      <w:sz w:val="21"/>
                      <w:szCs w:val="21"/>
                      <w:lang w:val="en-US" w:eastAsia="zh-CN" w:bidi="ar-SA"/>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15</w:t>
                  </w:r>
                </w:p>
              </w:tc>
              <w:tc>
                <w:tcPr>
                  <w:tcW w:w="385"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w:t>
                  </w:r>
                </w:p>
              </w:tc>
              <w:tc>
                <w:tcPr>
                  <w:tcW w:w="877" w:type="pct"/>
                  <w:tcBorders>
                    <w:left w:val="single" w:sz="4" w:space="0" w:color="auto"/>
                  </w:tcBorders>
                  <w:vAlign w:val="center"/>
                </w:tcPr>
                <w:p>
                  <w:pPr>
                    <w:pStyle w:val="23"/>
                    <w:bidi w:val="0"/>
                    <w:spacing w:line="240" w:lineRule="auto"/>
                    <w:ind w:left="0" w:right="0" w:firstLine="0"/>
                    <w:jc w:val="center"/>
                    <w:rPr>
                      <w:color w:val="auto"/>
                      <w:sz w:val="21"/>
                      <w:szCs w:val="21"/>
                    </w:rPr>
                  </w:pPr>
                  <w:r>
                    <w:rPr>
                      <w:rFonts w:hint="eastAsia"/>
                      <w:color w:val="auto"/>
                      <w:sz w:val="21"/>
                      <w:szCs w:val="21"/>
                      <w:lang w:val="en-US" w:eastAsia="zh-CN"/>
                    </w:rPr>
                    <w:t>/</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食品级氢氧化钠</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1</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塑料桶，50kg/桶</w:t>
                  </w:r>
                </w:p>
              </w:tc>
              <w:tc>
                <w:tcPr>
                  <w:tcW w:w="877" w:type="pct"/>
                  <w:vMerge w:val="restart"/>
                  <w:tcBorders>
                    <w:left w:val="single" w:sz="4" w:space="0" w:color="auto"/>
                  </w:tcBorders>
                  <w:vAlign w:val="center"/>
                </w:tcPr>
                <w:p>
                  <w:pPr>
                    <w:pStyle w:val="23"/>
                    <w:bidi w:val="0"/>
                    <w:spacing w:line="240" w:lineRule="auto"/>
                    <w:ind w:left="0" w:right="0" w:firstLine="0"/>
                    <w:jc w:val="center"/>
                    <w:rPr>
                      <w:color w:val="auto"/>
                      <w:sz w:val="21"/>
                      <w:szCs w:val="21"/>
                      <w:lang w:val="en-US" w:eastAsia="zh-CN"/>
                      <w:highlight w:val="none"/>
                    </w:rPr>
                  </w:pPr>
                  <w:r>
                    <w:rPr>
                      <w:rFonts w:hint="eastAsia"/>
                      <w:color w:val="auto"/>
                      <w:sz w:val="21"/>
                      <w:szCs w:val="21"/>
                      <w:lang w:val="en-US" w:eastAsia="zh-CN"/>
                      <w:highlight w:val="none"/>
                    </w:rPr>
                    <w:t>cip系统药剂</w:t>
                  </w:r>
                </w:p>
              </w:tc>
            </w:tr>
            <w:tr>
              <w:trPr>
                <w:trHeight w:val="23"/>
              </w:trPr>
              <w:tc>
                <w:tcPr>
                  <w:tcW w:w="247" w:type="pct"/>
                  <w:vAlign w:val="center"/>
                </w:tcPr>
                <w:p>
                  <w:pPr>
                    <w:pStyle w:val="23"/>
                    <w:numPr>
                      <w:ilvl w:val="0"/>
                      <w:numId w:val="4"/>
                    </w:numPr>
                    <w:bidi w:val="0"/>
                    <w:spacing w:line="240" w:lineRule="auto"/>
                    <w:ind w:left="0" w:right="0" w:firstLine="0"/>
                    <w:jc w:val="center"/>
                    <w:rPr>
                      <w:rFonts w:hint="eastAsia"/>
                      <w:color w:val="auto"/>
                      <w:sz w:val="21"/>
                      <w:szCs w:val="21"/>
                      <w:lang w:val="en-US" w:eastAsia="zh-CN"/>
                    </w:rPr>
                  </w:pPr>
                </w:p>
              </w:tc>
              <w:tc>
                <w:tcPr>
                  <w:tcW w:w="613" w:type="pct"/>
                  <w:gridSpan w:val="2"/>
                  <w:vMerge/>
                  <w:tcBorders>
                    <w:left w:val="single" w:sz="4" w:space="0" w:color="auto"/>
                  </w:tcBorders>
                  <w:shd w:val="clear" w:color="auto" w:fill="auto"/>
                  <w:vAlign w:val="center"/>
                </w:tcPr>
                <w:p/>
              </w:tc>
              <w:tc>
                <w:tcPr>
                  <w:tcW w:w="1148" w:type="pct"/>
                  <w:gridSpan w:val="3"/>
                  <w:tcBorders>
                    <w:left w:val="single" w:sz="4" w:space="0" w:color="auto"/>
                  </w:tcBorders>
                  <w:shd w:val="clear" w:color="auto" w:fill="auto"/>
                  <w:vAlign w:val="center"/>
                </w:tcPr>
                <w:p>
                  <w:pPr>
                    <w:pStyle w:val="23"/>
                    <w:bidi w:val="0"/>
                    <w:spacing w:line="240" w:lineRule="auto"/>
                    <w:rPr>
                      <w:color w:val="auto"/>
                      <w:sz w:val="21"/>
                      <w:szCs w:val="21"/>
                      <w:lang w:val="en-US" w:eastAsia="zh-CN"/>
                    </w:rPr>
                  </w:pPr>
                  <w:r>
                    <w:rPr>
                      <w:rFonts w:hint="eastAsia"/>
                      <w:color w:val="auto"/>
                      <w:sz w:val="21"/>
                      <w:szCs w:val="21"/>
                      <w:lang w:val="en-US" w:eastAsia="zh-CN"/>
                    </w:rPr>
                    <w:t>食品级柠檬酸</w:t>
                  </w:r>
                </w:p>
              </w:tc>
              <w:tc>
                <w:tcPr>
                  <w:tcW w:w="381" w:type="pct"/>
                  <w:gridSpan w:val="2"/>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t/a</w:t>
                  </w:r>
                </w:p>
              </w:tc>
              <w:tc>
                <w:tcPr>
                  <w:tcW w:w="533" w:type="pct"/>
                  <w:tcBorders>
                    <w:left w:val="single" w:sz="4" w:space="0" w:color="auto"/>
                  </w:tcBorders>
                  <w:shd w:val="clear" w:color="auto" w:fill="auto"/>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1</w:t>
                  </w:r>
                </w:p>
              </w:tc>
              <w:tc>
                <w:tcPr>
                  <w:tcW w:w="385" w:type="pct"/>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固体</w:t>
                  </w:r>
                </w:p>
              </w:tc>
              <w:tc>
                <w:tcPr>
                  <w:tcW w:w="814"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塑料桶，50kg/桶</w:t>
                  </w:r>
                </w:p>
              </w:tc>
              <w:tc>
                <w:tcPr>
                  <w:tcW w:w="877" w:type="pct"/>
                  <w:vMerge/>
                  <w:tcBorders>
                    <w:left w:val="single" w:sz="4" w:space="0" w:color="auto"/>
                  </w:tcBorders>
                  <w:vAlign w:val="center"/>
                </w:tcPr>
                <w:p/>
              </w:tc>
            </w:tr>
            <w:tr>
              <w:trPr>
                <w:trHeight w:val="522"/>
              </w:trPr>
              <w:tc>
                <w:tcPr>
                  <w:tcW w:w="5000" w:type="pct"/>
                  <w:gridSpan w:val="13"/>
                  <w:vAlign w:val="center"/>
                </w:tcPr>
                <w:p>
                  <w:pPr>
                    <w:pStyle w:val="23"/>
                    <w:bidi w:val="0"/>
                    <w:spacing w:line="240" w:lineRule="auto"/>
                    <w:ind w:left="0" w:right="0" w:firstLine="0"/>
                    <w:jc w:val="center"/>
                    <w:rPr>
                      <w:rFonts w:hint="eastAsia"/>
                      <w:b/>
                      <w:bCs/>
                      <w:color w:val="auto"/>
                      <w:sz w:val="21"/>
                      <w:szCs w:val="21"/>
                      <w:lang w:val="en-US" w:eastAsia="zh-CN"/>
                    </w:rPr>
                  </w:pPr>
                  <w:r>
                    <w:rPr>
                      <w:rFonts w:hint="eastAsia"/>
                      <w:b/>
                      <w:bCs/>
                      <w:color w:val="auto"/>
                      <w:sz w:val="21"/>
                      <w:szCs w:val="21"/>
                      <w:lang w:val="en-US" w:eastAsia="zh-CN"/>
                    </w:rPr>
                    <w:t>能源消耗</w:t>
                  </w:r>
                </w:p>
              </w:tc>
            </w:tr>
            <w:tr>
              <w:trPr>
                <w:trHeight w:val="23"/>
              </w:trPr>
              <w:tc>
                <w:tcPr>
                  <w:tcW w:w="338" w:type="pct"/>
                  <w:gridSpan w:val="2"/>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序号</w:t>
                  </w:r>
                </w:p>
              </w:tc>
              <w:tc>
                <w:tcPr>
                  <w:tcW w:w="572"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名称</w:t>
                  </w:r>
                </w:p>
              </w:tc>
              <w:tc>
                <w:tcPr>
                  <w:tcW w:w="711"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单位</w:t>
                  </w:r>
                </w:p>
              </w:tc>
              <w:tc>
                <w:tcPr>
                  <w:tcW w:w="591"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现有工程</w:t>
                  </w:r>
                </w:p>
              </w:tc>
              <w:tc>
                <w:tcPr>
                  <w:tcW w:w="709"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本项目</w:t>
                  </w:r>
                </w:p>
              </w:tc>
              <w:tc>
                <w:tcPr>
                  <w:tcW w:w="900"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本项目完成后全厂</w:t>
                  </w:r>
                </w:p>
              </w:tc>
              <w:tc>
                <w:tcPr>
                  <w:tcW w:w="1176" w:type="pct"/>
                  <w:gridSpan w:val="2"/>
                  <w:tcBorders>
                    <w:left w:val="single" w:sz="4" w:space="0" w:color="auto"/>
                  </w:tcBorders>
                  <w:vAlign w:val="center"/>
                </w:tcPr>
                <w:p>
                  <w:pPr>
                    <w:pStyle w:val="23"/>
                    <w:bidi w:val="0"/>
                    <w:spacing w:line="240" w:lineRule="auto"/>
                    <w:ind w:left="0" w:right="0" w:firstLine="0"/>
                    <w:jc w:val="center"/>
                    <w:rPr>
                      <w:rFonts w:eastAsia="宋体" w:hint="eastAsia"/>
                      <w:color w:val="auto"/>
                      <w:sz w:val="21"/>
                      <w:szCs w:val="21"/>
                      <w:lang w:val="en-US" w:eastAsia="zh-CN"/>
                    </w:rPr>
                  </w:pPr>
                  <w:r>
                    <w:rPr>
                      <w:rFonts w:hint="eastAsia"/>
                      <w:color w:val="auto"/>
                      <w:sz w:val="21"/>
                      <w:szCs w:val="21"/>
                      <w:lang w:val="en-US" w:eastAsia="zh-CN"/>
                    </w:rPr>
                    <w:t>备注</w:t>
                  </w:r>
                </w:p>
              </w:tc>
            </w:tr>
            <w:tr>
              <w:trPr>
                <w:trHeight w:val="23"/>
              </w:trPr>
              <w:tc>
                <w:tcPr>
                  <w:tcW w:w="338" w:type="pct"/>
                  <w:gridSpan w:val="2"/>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1</w:t>
                  </w:r>
                </w:p>
              </w:tc>
              <w:tc>
                <w:tcPr>
                  <w:tcW w:w="572"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水</w:t>
                  </w:r>
                </w:p>
              </w:tc>
              <w:tc>
                <w:tcPr>
                  <w:tcW w:w="711"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m³/a</w:t>
                  </w:r>
                </w:p>
              </w:tc>
              <w:tc>
                <w:tcPr>
                  <w:tcW w:w="591"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highlight w:val="none"/>
                    </w:rPr>
                  </w:pPr>
                  <w:r>
                    <w:rPr>
                      <w:rFonts w:hint="eastAsia"/>
                      <w:color w:val="auto"/>
                      <w:sz w:val="21"/>
                      <w:szCs w:val="21"/>
                      <w:lang w:val="en-US" w:eastAsia="zh-CN"/>
                      <w:highlight w:val="none"/>
                    </w:rPr>
                    <w:t>15203.52</w:t>
                  </w:r>
                </w:p>
              </w:tc>
              <w:tc>
                <w:tcPr>
                  <w:tcW w:w="709"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highlight w:val="none"/>
                    </w:rPr>
                  </w:pPr>
                  <w:r>
                    <w:rPr>
                      <w:rFonts w:hint="eastAsia"/>
                      <w:color w:val="auto"/>
                      <w:sz w:val="21"/>
                      <w:szCs w:val="21"/>
                      <w:lang w:val="en-US" w:eastAsia="zh-CN"/>
                      <w:highlight w:val="none"/>
                    </w:rPr>
                    <w:t>18009</w:t>
                  </w:r>
                </w:p>
              </w:tc>
              <w:tc>
                <w:tcPr>
                  <w:tcW w:w="900"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highlight w:val="yellow"/>
                    </w:rPr>
                  </w:pPr>
                  <w:r>
                    <w:rPr>
                      <w:rFonts w:hint="eastAsia"/>
                      <w:color w:val="auto"/>
                      <w:sz w:val="21"/>
                      <w:szCs w:val="21"/>
                      <w:lang w:val="en-US" w:eastAsia="zh-CN"/>
                      <w:highlight w:val="none"/>
                    </w:rPr>
                    <w:t>32,762.52</w:t>
                  </w:r>
                </w:p>
              </w:tc>
              <w:tc>
                <w:tcPr>
                  <w:tcW w:w="1176"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highlight w:val="none"/>
                    </w:rPr>
                  </w:pPr>
                  <w:r>
                    <w:rPr>
                      <w:color w:val="auto"/>
                      <w:sz w:val="21"/>
                      <w:szCs w:val="21"/>
                      <w:highlight w:val="none"/>
                    </w:rPr>
                    <w:t>园区</w:t>
                  </w:r>
                  <w:r>
                    <w:rPr>
                      <w:rFonts w:hint="eastAsia"/>
                      <w:color w:val="auto"/>
                      <w:sz w:val="21"/>
                      <w:szCs w:val="21"/>
                      <w:lang w:val="en-US" w:eastAsia="zh-CN"/>
                      <w:highlight w:val="none"/>
                    </w:rPr>
                    <w:t>供水管网</w:t>
                  </w:r>
                  <w:r>
                    <w:rPr>
                      <w:color w:val="auto"/>
                      <w:sz w:val="21"/>
                      <w:szCs w:val="21"/>
                      <w:highlight w:val="none"/>
                    </w:rPr>
                    <w:t>提供</w:t>
                  </w:r>
                </w:p>
              </w:tc>
            </w:tr>
            <w:tr>
              <w:trPr>
                <w:trHeight w:val="23"/>
              </w:trPr>
              <w:tc>
                <w:tcPr>
                  <w:tcW w:w="338" w:type="pct"/>
                  <w:gridSpan w:val="2"/>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w:t>
                  </w:r>
                </w:p>
              </w:tc>
              <w:tc>
                <w:tcPr>
                  <w:tcW w:w="572" w:type="pct"/>
                  <w:gridSpan w:val="2"/>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电</w:t>
                  </w:r>
                </w:p>
              </w:tc>
              <w:tc>
                <w:tcPr>
                  <w:tcW w:w="711" w:type="pct"/>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万kW·h/a</w:t>
                  </w:r>
                </w:p>
              </w:tc>
              <w:tc>
                <w:tcPr>
                  <w:tcW w:w="591"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40</w:t>
                  </w:r>
                </w:p>
              </w:tc>
              <w:tc>
                <w:tcPr>
                  <w:tcW w:w="709"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20</w:t>
                  </w:r>
                </w:p>
              </w:tc>
              <w:tc>
                <w:tcPr>
                  <w:tcW w:w="900" w:type="pct"/>
                  <w:gridSpan w:val="2"/>
                  <w:tcBorders>
                    <w:left w:val="single" w:sz="4" w:space="0" w:color="auto"/>
                  </w:tcBorders>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lang w:val="en-US" w:eastAsia="zh-CN"/>
                    </w:rPr>
                    <w:t>60</w:t>
                  </w:r>
                </w:p>
              </w:tc>
              <w:tc>
                <w:tcPr>
                  <w:tcW w:w="1176" w:type="pct"/>
                  <w:gridSpan w:val="2"/>
                  <w:tcBorders>
                    <w:left w:val="single" w:sz="4" w:space="0" w:color="auto"/>
                  </w:tcBorders>
                  <w:shd w:val="clear" w:color="auto" w:fill="auto"/>
                  <w:vAlign w:val="center"/>
                </w:tcPr>
                <w:p>
                  <w:pPr>
                    <w:pStyle w:val="23"/>
                    <w:bidi w:val="0"/>
                    <w:spacing w:line="240" w:lineRule="auto"/>
                    <w:ind w:left="0" w:right="0" w:firstLine="0"/>
                    <w:jc w:val="center"/>
                    <w:rPr>
                      <w:rFonts w:hint="eastAsia"/>
                      <w:color w:val="auto"/>
                      <w:sz w:val="21"/>
                      <w:szCs w:val="21"/>
                      <w:lang w:val="en-US" w:eastAsia="zh-CN"/>
                    </w:rPr>
                  </w:pPr>
                  <w:r>
                    <w:rPr>
                      <w:rFonts w:hint="eastAsia"/>
                      <w:color w:val="auto"/>
                      <w:sz w:val="21"/>
                      <w:szCs w:val="21"/>
                    </w:rPr>
                    <w:t>园区供电所</w:t>
                  </w:r>
                  <w:r>
                    <w:rPr>
                      <w:color w:val="auto"/>
                      <w:sz w:val="21"/>
                      <w:szCs w:val="21"/>
                    </w:rPr>
                    <w:t>提供</w:t>
                  </w:r>
                </w:p>
              </w:tc>
            </w:tr>
            <w:tr>
              <w:trPr>
                <w:trHeight w:val="23"/>
              </w:trPr>
              <w:tc>
                <w:tcPr>
                  <w:tcW w:w="338" w:type="pct"/>
                  <w:gridSpan w:val="2"/>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3</w:t>
                  </w:r>
                </w:p>
              </w:tc>
              <w:tc>
                <w:tcPr>
                  <w:tcW w:w="572"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天然气</w:t>
                  </w:r>
                </w:p>
              </w:tc>
              <w:tc>
                <w:tcPr>
                  <w:tcW w:w="711" w:type="pct"/>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m³/a</w:t>
                  </w:r>
                </w:p>
              </w:tc>
              <w:tc>
                <w:tcPr>
                  <w:tcW w:w="591"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0</w:t>
                  </w:r>
                </w:p>
              </w:tc>
              <w:tc>
                <w:tcPr>
                  <w:tcW w:w="709"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720000</w:t>
                  </w:r>
                </w:p>
              </w:tc>
              <w:tc>
                <w:tcPr>
                  <w:tcW w:w="900"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color w:val="auto"/>
                      <w:sz w:val="21"/>
                      <w:szCs w:val="21"/>
                      <w:lang w:val="en-US" w:eastAsia="zh-CN"/>
                    </w:rPr>
                    <w:t>720000</w:t>
                  </w:r>
                </w:p>
              </w:tc>
              <w:tc>
                <w:tcPr>
                  <w:tcW w:w="1176" w:type="pct"/>
                  <w:gridSpan w:val="2"/>
                  <w:tcBorders>
                    <w:left w:val="single" w:sz="4" w:space="0" w:color="auto"/>
                  </w:tcBorders>
                  <w:vAlign w:val="center"/>
                </w:tcPr>
                <w:p>
                  <w:pPr>
                    <w:pStyle w:val="23"/>
                    <w:bidi w:val="0"/>
                    <w:spacing w:line="240" w:lineRule="auto"/>
                    <w:ind w:left="0" w:right="0" w:firstLine="0"/>
                    <w:jc w:val="center"/>
                    <w:rPr>
                      <w:color w:val="auto"/>
                      <w:sz w:val="21"/>
                      <w:szCs w:val="21"/>
                      <w:lang w:val="en-US" w:eastAsia="zh-CN"/>
                    </w:rPr>
                  </w:pPr>
                  <w:r>
                    <w:rPr>
                      <w:rFonts w:hint="eastAsia"/>
                      <w:color w:val="auto"/>
                      <w:sz w:val="21"/>
                      <w:szCs w:val="21"/>
                      <w:lang w:val="en-US" w:eastAsia="zh-CN"/>
                    </w:rPr>
                    <w:t>园区管道提供</w:t>
                  </w:r>
                </w:p>
              </w:tc>
            </w:tr>
          </w:tbl>
          <w:p>
            <w:pPr>
              <w:spacing w:line="360" w:lineRule="auto"/>
              <w:ind w:firstLineChars="200" w:firstLine="480"/>
              <w:rPr>
                <w:color w:val="auto"/>
                <w:sz w:val="24"/>
                <w:szCs w:val="32"/>
              </w:rPr>
            </w:pPr>
            <w:r>
              <w:rPr>
                <w:color w:val="auto"/>
                <w:sz w:val="24"/>
                <w:szCs w:val="32"/>
              </w:rPr>
              <w:t>主要原辅材料理化性质见表2-</w:t>
            </w:r>
            <w:r>
              <w:rPr>
                <w:rFonts w:hint="eastAsia"/>
                <w:color w:val="auto"/>
                <w:sz w:val="24"/>
                <w:szCs w:val="32"/>
              </w:rPr>
              <w:t>4</w:t>
            </w:r>
            <w:r>
              <w:rPr>
                <w:color w:val="auto"/>
                <w:sz w:val="24"/>
                <w:szCs w:val="32"/>
              </w:rPr>
              <w:t>。</w:t>
            </w:r>
          </w:p>
          <w:p>
            <w:pPr>
              <w:pStyle w:val="24"/>
              <w:bidi w:val="0"/>
              <w:rPr>
                <w:color w:val="auto"/>
              </w:rPr>
            </w:pPr>
            <w:r>
              <w:rPr>
                <w:color w:val="auto"/>
              </w:rPr>
              <w:t>表2-</w:t>
            </w:r>
            <w:r>
              <w:rPr>
                <w:rFonts w:hint="eastAsia"/>
                <w:color w:val="auto"/>
              </w:rPr>
              <w:t xml:space="preserve">4  </w:t>
            </w:r>
            <w:r>
              <w:rPr>
                <w:rFonts w:hint="eastAsia"/>
                <w:color w:val="auto"/>
                <w:lang w:val="en-US" w:eastAsia="zh-CN"/>
              </w:rPr>
              <w:t>本项目</w:t>
            </w:r>
            <w:r>
              <w:rPr>
                <w:color w:val="auto"/>
              </w:rPr>
              <w:t>主要原辅材料理化性质一览表</w:t>
            </w:r>
          </w:p>
          <w:tbl>
            <w:tblPr>
              <w:jc w:val="left"/>
              <w:tblInd w:w="0" w:type="dxa"/>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741"/>
              <w:gridCol w:w="6929"/>
            </w:tblGrid>
            <w:tr>
              <w:trPr>
                <w:trHeight w:val="374"/>
              </w:trPr>
              <w:tc>
                <w:tcPr>
                  <w:tcW w:w="1004" w:type="pct"/>
                  <w:vAlign w:val="center"/>
                </w:tcPr>
                <w:p>
                  <w:pPr>
                    <w:pStyle w:val="23"/>
                    <w:bidi w:val="0"/>
                    <w:ind w:left="0" w:right="0" w:firstLine="0"/>
                    <w:jc w:val="center"/>
                    <w:rPr>
                      <w:color w:val="auto"/>
                    </w:rPr>
                  </w:pPr>
                  <w:r>
                    <w:rPr>
                      <w:color w:val="auto"/>
                    </w:rPr>
                    <w:t>名称</w:t>
                  </w:r>
                </w:p>
              </w:tc>
              <w:tc>
                <w:tcPr>
                  <w:tcW w:w="3995" w:type="pct"/>
                  <w:vAlign w:val="center"/>
                </w:tcPr>
                <w:p>
                  <w:pPr>
                    <w:pStyle w:val="23"/>
                    <w:bidi w:val="0"/>
                    <w:ind w:left="0" w:right="0" w:firstLine="0"/>
                    <w:jc w:val="center"/>
                    <w:rPr>
                      <w:color w:val="auto"/>
                    </w:rPr>
                  </w:pPr>
                  <w:r>
                    <w:rPr>
                      <w:color w:val="auto"/>
                    </w:rPr>
                    <w:t>理化性质</w:t>
                  </w:r>
                </w:p>
              </w:tc>
            </w:tr>
            <w:tr>
              <w:trPr>
                <w:trHeight w:val="340"/>
              </w:trPr>
              <w:tc>
                <w:tcPr>
                  <w:tcW w:w="1004" w:type="pct"/>
                  <w:tcBorders>
                    <w:tl2br w:val="nil"/>
                    <w:tr2bl w:val="nil"/>
                  </w:tcBorders>
                  <w:vAlign w:val="center"/>
                </w:tcPr>
                <w:p>
                  <w:pPr>
                    <w:pStyle w:val="23"/>
                    <w:bidi w:val="0"/>
                    <w:ind w:left="0" w:right="0" w:firstLine="0"/>
                    <w:jc w:val="center"/>
                    <w:rPr>
                      <w:rFonts w:hint="eastAsia"/>
                      <w:color w:val="auto"/>
                      <w:lang w:val="en-US" w:eastAsia="zh-CN"/>
                    </w:rPr>
                  </w:pPr>
                  <w:r>
                    <w:rPr>
                      <w:rFonts w:hint="eastAsia"/>
                      <w:color w:val="auto"/>
                      <w:lang w:val="en-US" w:eastAsia="zh-CN"/>
                    </w:rPr>
                    <w:t>维生素C</w:t>
                  </w:r>
                </w:p>
              </w:tc>
              <w:tc>
                <w:tcPr>
                  <w:tcW w:w="3995" w:type="pct"/>
                  <w:tcBorders>
                    <w:tl2br w:val="nil"/>
                    <w:tr2bl w:val="nil"/>
                  </w:tcBorders>
                  <w:vAlign w:val="center"/>
                </w:tcPr>
                <w:p>
                  <w:pPr>
                    <w:pStyle w:val="23"/>
                    <w:bidi w:val="0"/>
                    <w:ind w:left="0" w:right="0" w:firstLine="0"/>
                    <w:jc w:val="both"/>
                    <w:rPr>
                      <w:color w:val="auto"/>
                    </w:rPr>
                  </w:pPr>
                  <w:r>
                    <w:rPr>
                      <w:color w:val="auto"/>
                    </w:rPr>
                    <w:t>一种</w:t>
                  </w:r>
                  <w:r>
                    <w:rPr>
                      <w:color w:val="auto"/>
                    </w:rPr>
                    <w:t>水溶性维生素，白色粉末</w:t>
                  </w:r>
                  <w:r>
                    <w:rPr>
                      <w:rFonts w:hint="eastAsia"/>
                      <w:color w:val="auto"/>
                      <w:lang w:eastAsia="zh-CN"/>
                    </w:rPr>
                    <w:t>，</w:t>
                  </w:r>
                  <w:r>
                    <w:rPr>
                      <w:color w:val="auto"/>
                    </w:rPr>
                    <w:t>分子式为C</w:t>
                  </w:r>
                  <w:r>
                    <w:rPr>
                      <w:color w:val="auto"/>
                      <w:vertAlign w:val="subscript"/>
                    </w:rPr>
                    <w:t>6</w:t>
                  </w:r>
                  <w:r>
                    <w:rPr>
                      <w:color w:val="auto"/>
                    </w:rPr>
                    <w:t>H</w:t>
                  </w:r>
                  <w:r>
                    <w:rPr>
                      <w:color w:val="auto"/>
                      <w:vertAlign w:val="subscript"/>
                    </w:rPr>
                    <w:t>8</w:t>
                  </w:r>
                  <w:r>
                    <w:rPr>
                      <w:color w:val="auto"/>
                    </w:rPr>
                    <w:t>O</w:t>
                  </w:r>
                  <w:r>
                    <w:rPr>
                      <w:color w:val="auto"/>
                      <w:vertAlign w:val="subscript"/>
                    </w:rPr>
                    <w:t>6</w:t>
                  </w:r>
                  <w:r>
                    <w:rPr>
                      <w:color w:val="auto"/>
                    </w:rPr>
                    <w:t>，分子量为176.12</w:t>
                  </w:r>
                  <w:r>
                    <w:rPr>
                      <w:rFonts w:hint="eastAsia"/>
                      <w:color w:val="auto"/>
                      <w:lang w:eastAsia="zh-CN"/>
                    </w:rPr>
                    <w:t>，无臭，味酸，易溶于水，微溶于乙醇，不溶于乙醚，氯仿、石油醚等有机溶剂，具有很强的</w:t>
                  </w:r>
                  <w:r>
                    <w:rPr>
                      <w:rFonts w:hint="eastAsia"/>
                      <w:color w:val="auto"/>
                      <w:u w:val="none"/>
                      <w:lang w:eastAsia="zh-CN"/>
                    </w:rPr>
                    <w:t>还原性</w:t>
                  </w:r>
                  <w:r>
                    <w:rPr>
                      <w:color w:val="auto"/>
                    </w:rPr>
                    <w:t>。</w:t>
                  </w:r>
                </w:p>
              </w:tc>
            </w:tr>
            <w:tr>
              <w:trPr>
                <w:trHeight w:val="340"/>
              </w:trPr>
              <w:tc>
                <w:tcPr>
                  <w:tcW w:w="1004" w:type="pct"/>
                  <w:tcBorders>
                    <w:tl2br w:val="nil"/>
                    <w:tr2bl w:val="nil"/>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安赛蜜</w:t>
                  </w:r>
                </w:p>
              </w:tc>
              <w:tc>
                <w:tcPr>
                  <w:tcW w:w="3995" w:type="pct"/>
                  <w:tcBorders>
                    <w:tl2br w:val="nil"/>
                    <w:tr2bl w:val="nil"/>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rPr>
                    <w:t>白色结晶性粉末</w:t>
                  </w:r>
                  <w:r>
                    <w:rPr>
                      <w:rFonts w:hint="eastAsia"/>
                      <w:color w:val="auto"/>
                      <w:lang w:eastAsia="zh-CN"/>
                    </w:rPr>
                    <w:t>，</w:t>
                  </w:r>
                  <w:r>
                    <w:rPr>
                      <w:rFonts w:hint="eastAsia"/>
                      <w:color w:val="auto"/>
                    </w:rPr>
                    <w:t>熔点229</w:t>
                  </w:r>
                  <w:r>
                    <w:rPr>
                      <w:rFonts w:hint="eastAsia"/>
                      <w:color w:val="auto"/>
                      <w:lang w:val="en-US" w:eastAsia="zh-CN"/>
                    </w:rPr>
                    <w:t>-</w:t>
                  </w:r>
                  <w:r>
                    <w:rPr>
                      <w:rFonts w:hint="eastAsia"/>
                      <w:color w:val="auto"/>
                    </w:rPr>
                    <w:t>232℃</w:t>
                  </w:r>
                  <w:r>
                    <w:rPr>
                      <w:rFonts w:hint="eastAsia"/>
                      <w:color w:val="auto"/>
                      <w:lang w:eastAsia="zh-CN"/>
                    </w:rPr>
                    <w:t>，沸点332.7℃，闪点155℃它是一种有机合成盐，其口味与</w:t>
                  </w:r>
                  <w:r>
                    <w:rPr>
                      <w:rFonts w:hint="eastAsia"/>
                      <w:color w:val="auto"/>
                      <w:u w:val="none"/>
                      <w:lang w:eastAsia="zh-CN"/>
                    </w:rPr>
                    <w:t>甘蔗</w:t>
                  </w:r>
                  <w:r>
                    <w:rPr>
                      <w:rFonts w:hint="eastAsia"/>
                      <w:color w:val="auto"/>
                      <w:lang w:eastAsia="zh-CN"/>
                    </w:rPr>
                    <w:t>相似，易溶于水，微溶于</w:t>
                  </w:r>
                  <w:r>
                    <w:rPr>
                      <w:rFonts w:hint="eastAsia"/>
                      <w:color w:val="auto"/>
                      <w:u w:val="none"/>
                      <w:lang w:eastAsia="zh-CN"/>
                    </w:rPr>
                    <w:t>酒精</w:t>
                  </w:r>
                  <w:r>
                    <w:rPr>
                      <w:rFonts w:hint="eastAsia"/>
                      <w:color w:val="auto"/>
                      <w:lang w:eastAsia="zh-CN"/>
                    </w:rPr>
                    <w:t>。安赛蜜化学性质稳定，不易出现分解失效现象。</w:t>
                  </w:r>
                </w:p>
              </w:tc>
            </w:tr>
            <w:tr>
              <w:trPr>
                <w:trHeight w:val="9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三氯蔗糖</w:t>
                  </w:r>
                </w:p>
              </w:tc>
              <w:tc>
                <w:tcPr>
                  <w:tcW w:w="3995" w:type="pct"/>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rPr>
                    <w:t>俗称蔗糖素，是一种高倍甜味剂，分子式为C</w:t>
                  </w:r>
                  <w:r>
                    <w:rPr>
                      <w:rFonts w:hint="eastAsia"/>
                      <w:color w:val="auto"/>
                      <w:vertAlign w:val="subscript"/>
                    </w:rPr>
                    <w:t>12</w:t>
                  </w:r>
                  <w:r>
                    <w:rPr>
                      <w:rFonts w:hint="eastAsia"/>
                      <w:color w:val="auto"/>
                    </w:rPr>
                    <w:t>H</w:t>
                  </w:r>
                  <w:r>
                    <w:rPr>
                      <w:rFonts w:hint="eastAsia"/>
                      <w:color w:val="auto"/>
                      <w:vertAlign w:val="subscript"/>
                    </w:rPr>
                    <w:t>19</w:t>
                  </w:r>
                  <w:r>
                    <w:rPr>
                      <w:rFonts w:hint="eastAsia"/>
                      <w:color w:val="auto"/>
                    </w:rPr>
                    <w:t>Cl</w:t>
                  </w:r>
                  <w:r>
                    <w:rPr>
                      <w:rFonts w:hint="eastAsia"/>
                      <w:color w:val="auto"/>
                      <w:vertAlign w:val="subscript"/>
                    </w:rPr>
                    <w:t>3</w:t>
                  </w:r>
                  <w:r>
                    <w:rPr>
                      <w:rFonts w:hint="eastAsia"/>
                      <w:color w:val="auto"/>
                    </w:rPr>
                    <w:t>O</w:t>
                  </w:r>
                  <w:r>
                    <w:rPr>
                      <w:rFonts w:hint="eastAsia"/>
                      <w:color w:val="auto"/>
                      <w:vertAlign w:val="subscript"/>
                    </w:rPr>
                    <w:t>8</w:t>
                  </w:r>
                  <w:r>
                    <w:rPr>
                      <w:rFonts w:hint="eastAsia"/>
                      <w:color w:val="auto"/>
                    </w:rPr>
                    <w:t>。稳定性高，对光、热、pH均很稳定。极易溶于水、甲醇和乙醇，微溶于乙醚。10%水溶液的pH为5~8。可达到蔗糖的甜度约600倍（400~800倍）。三氯蔗糖特点具有无能量，高甜度，纯正甜味，安全度高等，也是最理想的甜味剂之一。</w:t>
                  </w:r>
                </w:p>
              </w:tc>
            </w:tr>
            <w:tr>
              <w:trPr>
                <w:trHeight w:val="779"/>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柠檬酸钠</w:t>
                  </w:r>
                </w:p>
              </w:tc>
              <w:tc>
                <w:tcPr>
                  <w:tcW w:w="3995" w:type="pct"/>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rPr>
                    <w:t>白色到无色晶体，有凉咸味，在空气中稳定。</w:t>
                  </w:r>
                  <w:r>
                    <w:rPr>
                      <w:rFonts w:hint="eastAsia"/>
                      <w:color w:val="auto"/>
                      <w:lang w:val="en-US" w:eastAsia="zh-CN"/>
                    </w:rPr>
                    <w:t>分子</w:t>
                  </w:r>
                  <w:r>
                    <w:rPr>
                      <w:rFonts w:hint="eastAsia"/>
                      <w:color w:val="auto"/>
                    </w:rPr>
                    <w:t>式为C</w:t>
                  </w:r>
                  <w:r>
                    <w:rPr>
                      <w:rFonts w:hint="eastAsia"/>
                      <w:color w:val="auto"/>
                      <w:vertAlign w:val="subscript"/>
                    </w:rPr>
                    <w:t>6</w:t>
                  </w:r>
                  <w:r>
                    <w:rPr>
                      <w:rFonts w:hint="eastAsia"/>
                      <w:color w:val="auto"/>
                    </w:rPr>
                    <w:t>H</w:t>
                  </w:r>
                  <w:r>
                    <w:rPr>
                      <w:rFonts w:hint="eastAsia"/>
                      <w:color w:val="auto"/>
                      <w:vertAlign w:val="subscript"/>
                    </w:rPr>
                    <w:t>5</w:t>
                  </w:r>
                  <w:r>
                    <w:rPr>
                      <w:rFonts w:hint="eastAsia"/>
                      <w:color w:val="auto"/>
                    </w:rPr>
                    <w:t>Na</w:t>
                  </w:r>
                  <w:r>
                    <w:rPr>
                      <w:rFonts w:hint="eastAsia"/>
                      <w:color w:val="auto"/>
                      <w:vertAlign w:val="subscript"/>
                    </w:rPr>
                    <w:t>3</w:t>
                  </w:r>
                  <w:r>
                    <w:rPr>
                      <w:rFonts w:hint="eastAsia"/>
                      <w:color w:val="auto"/>
                    </w:rPr>
                    <w:t>O</w:t>
                  </w:r>
                  <w:r>
                    <w:rPr>
                      <w:rFonts w:hint="eastAsia"/>
                      <w:color w:val="auto"/>
                      <w:vertAlign w:val="subscript"/>
                    </w:rPr>
                    <w:t>7</w:t>
                  </w:r>
                  <w:r>
                    <w:rPr>
                      <w:rFonts w:hint="eastAsia"/>
                      <w:color w:val="auto"/>
                    </w:rPr>
                    <w:t>，溶于水，难溶于乙醇，水溶液具有微碱性</w:t>
                  </w:r>
                  <w:r>
                    <w:rPr>
                      <w:rFonts w:hint="eastAsia"/>
                      <w:color w:val="auto"/>
                      <w:lang w:eastAsia="zh-CN"/>
                    </w:rPr>
                    <w:t>。</w:t>
                  </w:r>
                </w:p>
              </w:tc>
            </w:tr>
            <w:tr>
              <w:trPr>
                <w:trHeight w:val="34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柠檬酸</w:t>
                  </w:r>
                </w:p>
              </w:tc>
              <w:tc>
                <w:tcPr>
                  <w:tcW w:w="3995" w:type="pct"/>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rPr>
                    <w:t>分子式为C</w:t>
                  </w:r>
                  <w:r>
                    <w:rPr>
                      <w:rFonts w:hint="eastAsia"/>
                      <w:color w:val="auto"/>
                      <w:vertAlign w:val="subscript"/>
                      <w:lang w:val="en-US" w:eastAsia="zh-CN"/>
                    </w:rPr>
                    <w:t>6</w:t>
                  </w:r>
                  <w:r>
                    <w:rPr>
                      <w:rFonts w:hint="eastAsia"/>
                      <w:color w:val="auto"/>
                    </w:rPr>
                    <w:t>H</w:t>
                  </w:r>
                  <w:r>
                    <w:rPr>
                      <w:rFonts w:hint="eastAsia"/>
                      <w:color w:val="auto"/>
                      <w:vertAlign w:val="subscript"/>
                      <w:lang w:val="en-US" w:eastAsia="zh-CN"/>
                    </w:rPr>
                    <w:t>8</w:t>
                  </w:r>
                  <w:r>
                    <w:rPr>
                      <w:rFonts w:hint="eastAsia"/>
                      <w:color w:val="auto"/>
                    </w:rPr>
                    <w:t>O</w:t>
                  </w:r>
                  <w:r>
                    <w:rPr>
                      <w:rFonts w:hint="eastAsia"/>
                      <w:color w:val="auto"/>
                      <w:vertAlign w:val="subscript"/>
                      <w:lang w:val="en-US" w:eastAsia="zh-CN"/>
                    </w:rPr>
                    <w:t>7</w:t>
                  </w:r>
                  <w:r>
                    <w:rPr>
                      <w:rFonts w:hint="eastAsia"/>
                      <w:color w:val="auto"/>
                    </w:rPr>
                    <w:t>，是一种重要的有机弱酸，为无色晶体，无臭，易溶于水，溶液显酸性。</w:t>
                  </w:r>
                </w:p>
              </w:tc>
            </w:tr>
            <w:tr>
              <w:trPr>
                <w:trHeight w:val="9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碳酸氢钠</w:t>
                  </w:r>
                </w:p>
              </w:tc>
              <w:tc>
                <w:tcPr>
                  <w:tcW w:w="3995" w:type="pct"/>
                  <w:tcBorders>
                    <w:left w:val="single" w:sz="4" w:space="0" w:color="auto"/>
                  </w:tcBorders>
                </w:tcPr>
                <w:p>
                  <w:pPr>
                    <w:pStyle w:val="23"/>
                    <w:bidi w:val="0"/>
                    <w:ind w:left="0" w:right="0" w:firstLine="0"/>
                    <w:jc w:val="center"/>
                    <w:rPr>
                      <w:color w:val="auto"/>
                    </w:rPr>
                  </w:pPr>
                  <w:r>
                    <w:rPr>
                      <w:color w:val="auto"/>
                    </w:rPr>
                    <w:t>分子式为NaHCO₃，是一种无机化合物，白色粉末或细微晶体，无臭，味咸，易溶于水，微溶于乙醇（一说不溶），水溶液呈微碱性。受热易分解，在潮湿空气中缓慢分解，产生二氧化碳，约50℃开始分解，加热至270℃完全分解</w:t>
                  </w:r>
                  <w:r>
                    <w:rPr>
                      <w:color w:val="auto"/>
                    </w:rPr>
                    <w:t>。</w:t>
                  </w:r>
                </w:p>
              </w:tc>
            </w:tr>
            <w:tr>
              <w:trPr>
                <w:trHeight w:val="34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苹果酸</w:t>
                  </w:r>
                </w:p>
              </w:tc>
              <w:tc>
                <w:tcPr>
                  <w:tcW w:w="3995" w:type="pct"/>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rPr>
                    <w:t>白色</w:t>
                  </w:r>
                  <w:r>
                    <w:rPr>
                      <w:rFonts w:hint="eastAsia"/>
                      <w:color w:val="auto"/>
                      <w:lang w:eastAsia="zh-CN"/>
                    </w:rPr>
                    <w:t>菱形</w:t>
                  </w:r>
                  <w:r>
                    <w:rPr>
                      <w:rFonts w:hint="eastAsia"/>
                      <w:color w:val="auto"/>
                    </w:rPr>
                    <w:t>晶体，温度高时为无色液体。微溶于水，可溶于乙醇、丙二醇及有机溶剂。沸点133℃</w:t>
                  </w:r>
                </w:p>
              </w:tc>
            </w:tr>
            <w:tr>
              <w:trPr>
                <w:trHeight w:val="34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山梨酸钾</w:t>
                  </w:r>
                </w:p>
              </w:tc>
              <w:tc>
                <w:tcPr>
                  <w:tcW w:w="3995" w:type="pct"/>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rPr>
                    <w:t>又名2，4-己二烯酸钾，分子式为C</w:t>
                  </w:r>
                  <w:r>
                    <w:rPr>
                      <w:rFonts w:hint="eastAsia"/>
                      <w:color w:val="auto"/>
                      <w:vertAlign w:val="subscript"/>
                    </w:rPr>
                    <w:t>6</w:t>
                  </w:r>
                  <w:r>
                    <w:rPr>
                      <w:rFonts w:hint="eastAsia"/>
                      <w:color w:val="auto"/>
                    </w:rPr>
                    <w:t>H</w:t>
                  </w:r>
                  <w:r>
                    <w:rPr>
                      <w:rFonts w:hint="eastAsia"/>
                      <w:color w:val="auto"/>
                      <w:vertAlign w:val="subscript"/>
                    </w:rPr>
                    <w:t>7</w:t>
                  </w:r>
                  <w:r>
                    <w:rPr>
                      <w:rFonts w:hint="eastAsia"/>
                      <w:color w:val="auto"/>
                    </w:rPr>
                    <w:t>O</w:t>
                  </w:r>
                  <w:r>
                    <w:rPr>
                      <w:rFonts w:hint="eastAsia"/>
                      <w:color w:val="auto"/>
                      <w:vertAlign w:val="subscript"/>
                    </w:rPr>
                    <w:t>2</w:t>
                  </w:r>
                  <w:r>
                    <w:rPr>
                      <w:rFonts w:hint="eastAsia"/>
                      <w:color w:val="auto"/>
                    </w:rPr>
                    <w:t>K，无色或白色鳞片状结晶或结晶性粉末。无臭或微有臭味，易溶于水</w:t>
                  </w:r>
                  <w:r>
                    <w:rPr>
                      <w:rFonts w:hint="eastAsia"/>
                      <w:color w:val="auto"/>
                      <w:lang w:eastAsia="zh-CN"/>
                    </w:rPr>
                    <w:t>、</w:t>
                  </w:r>
                  <w:r>
                    <w:rPr>
                      <w:rFonts w:hint="eastAsia"/>
                      <w:color w:val="auto"/>
                    </w:rPr>
                    <w:t>丙二醇和乙醇。</w:t>
                  </w:r>
                </w:p>
              </w:tc>
            </w:tr>
            <w:tr>
              <w:trPr>
                <w:trHeight w:val="34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苯甲酸钠</w:t>
                  </w:r>
                </w:p>
              </w:tc>
              <w:tc>
                <w:tcPr>
                  <w:tcW w:w="3995" w:type="pct"/>
                  <w:tcBorders>
                    <w:left w:val="single" w:sz="4" w:space="0" w:color="auto"/>
                  </w:tcBorders>
                </w:tcPr>
                <w:p>
                  <w:pPr>
                    <w:pStyle w:val="23"/>
                    <w:bidi w:val="0"/>
                    <w:ind w:left="0" w:right="0" w:firstLine="0"/>
                    <w:jc w:val="center"/>
                    <w:rPr>
                      <w:color w:val="auto"/>
                    </w:rPr>
                  </w:pPr>
                  <w:r>
                    <w:rPr>
                      <w:color w:val="auto"/>
                    </w:rPr>
                    <w:t>又名安息香酸钠，有机化合物，是苯甲酸的钠盐。化学式为C</w:t>
                  </w:r>
                  <w:r>
                    <w:rPr>
                      <w:color w:val="auto"/>
                      <w:vertAlign w:val="subscript"/>
                    </w:rPr>
                    <w:t>7</w:t>
                  </w:r>
                  <w:r>
                    <w:rPr>
                      <w:color w:val="auto"/>
                    </w:rPr>
                    <w:t>H</w:t>
                  </w:r>
                  <w:r>
                    <w:rPr>
                      <w:color w:val="auto"/>
                      <w:vertAlign w:val="subscript"/>
                    </w:rPr>
                    <w:t>5</w:t>
                  </w:r>
                  <w:r>
                    <w:rPr>
                      <w:color w:val="auto"/>
                    </w:rPr>
                    <w:t>O</w:t>
                  </w:r>
                  <w:r>
                    <w:rPr>
                      <w:color w:val="auto"/>
                      <w:vertAlign w:val="subscript"/>
                    </w:rPr>
                    <w:t>2</w:t>
                  </w:r>
                  <w:r>
                    <w:rPr>
                      <w:color w:val="auto"/>
                    </w:rPr>
                    <w:t>Na，摩尔质量为144.10 g/mol，密度为1.44 g/c</w:t>
                  </w:r>
                  <w:r>
                    <w:rPr>
                      <w:rFonts w:hint="eastAsia"/>
                      <w:color w:val="auto"/>
                      <w:lang w:val="en-US" w:eastAsia="zh-CN"/>
                    </w:rPr>
                    <w:t>m³</w:t>
                  </w:r>
                  <w:r>
                    <w:rPr>
                      <w:color w:val="auto"/>
                    </w:rPr>
                    <w:t>。苯甲酸钠为白色颗粒或结晶性粉末，无臭或略带安息香的气味，极易溶于水，水溶液呈微碱性，微溶于乙醇，溶于甘油和甲醇，露置于空气中会吸潮。</w:t>
                  </w:r>
                </w:p>
              </w:tc>
            </w:tr>
            <w:tr>
              <w:trPr>
                <w:trHeight w:val="34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六偏磷酸钠</w:t>
                  </w:r>
                </w:p>
              </w:tc>
              <w:tc>
                <w:tcPr>
                  <w:tcW w:w="3995" w:type="pct"/>
                  <w:tcBorders>
                    <w:left w:val="single" w:sz="4" w:space="0" w:color="auto"/>
                  </w:tcBorders>
                </w:tcPr>
                <w:p>
                  <w:pPr>
                    <w:pStyle w:val="23"/>
                    <w:bidi w:val="0"/>
                    <w:ind w:left="0" w:right="0" w:firstLine="0"/>
                    <w:jc w:val="center"/>
                    <w:rPr>
                      <w:color w:val="auto"/>
                    </w:rPr>
                  </w:pPr>
                  <w:r>
                    <w:rPr>
                      <w:color w:val="auto"/>
                    </w:rPr>
                    <w:t>是一种无机盐类化合物，化学式为(NaPO</w:t>
                  </w:r>
                  <w:r>
                    <w:rPr>
                      <w:color w:val="auto"/>
                      <w:vertAlign w:val="subscript"/>
                    </w:rPr>
                    <w:t>3</w:t>
                  </w:r>
                  <w:r>
                    <w:rPr>
                      <w:color w:val="auto"/>
                    </w:rPr>
                    <w:t>)</w:t>
                  </w:r>
                  <w:r>
                    <w:rPr>
                      <w:color w:val="auto"/>
                      <w:vertAlign w:val="subscript"/>
                    </w:rPr>
                    <w:t>6</w:t>
                  </w:r>
                  <w:r>
                    <w:rPr>
                      <w:color w:val="auto"/>
                    </w:rPr>
                    <w:t>，相对分子量611.17。六偏磷酸钠外观为玻璃状无定形固体，成无色或白色的片状、纤维状或粉末，相对密度为2.484（20℃），熔点616℃（分解），溶于水，不溶于乙酸或</w:t>
                  </w:r>
                  <w:r>
                    <w:rPr>
                      <w:color w:val="auto"/>
                      <w:u w:val="none"/>
                    </w:rPr>
                    <w:t>乙醚</w:t>
                  </w:r>
                  <w:r>
                    <w:rPr>
                      <w:color w:val="auto"/>
                    </w:rPr>
                    <w:t>等有机溶剂。</w:t>
                  </w:r>
                </w:p>
              </w:tc>
            </w:tr>
            <w:tr>
              <w:trPr>
                <w:trHeight w:val="34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三聚磷酸钠</w:t>
                  </w:r>
                </w:p>
              </w:tc>
              <w:tc>
                <w:tcPr>
                  <w:tcW w:w="3995" w:type="pct"/>
                  <w:tcBorders>
                    <w:left w:val="single" w:sz="4" w:space="0" w:color="auto"/>
                  </w:tcBorders>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rPr>
                    <w:t>白色结晶性粉末</w:t>
                  </w:r>
                  <w:r>
                    <w:rPr>
                      <w:rFonts w:hint="eastAsia"/>
                      <w:color w:val="auto"/>
                      <w:lang w:eastAsia="zh-CN"/>
                    </w:rPr>
                    <w:t>，</w:t>
                  </w:r>
                  <w:r>
                    <w:rPr>
                      <w:rFonts w:hint="eastAsia"/>
                      <w:color w:val="auto"/>
                    </w:rPr>
                    <w:t>是一种无机化合物，化学式Na</w:t>
                  </w:r>
                  <w:r>
                    <w:rPr>
                      <w:rFonts w:hint="eastAsia"/>
                      <w:color w:val="auto"/>
                      <w:vertAlign w:val="subscript"/>
                    </w:rPr>
                    <w:t>5</w:t>
                  </w:r>
                  <w:r>
                    <w:rPr>
                      <w:rFonts w:hint="eastAsia"/>
                      <w:color w:val="auto"/>
                    </w:rPr>
                    <w:t>P</w:t>
                  </w:r>
                  <w:r>
                    <w:rPr>
                      <w:rFonts w:hint="eastAsia"/>
                      <w:color w:val="auto"/>
                      <w:vertAlign w:val="subscript"/>
                    </w:rPr>
                    <w:t>3</w:t>
                  </w:r>
                  <w:r>
                    <w:rPr>
                      <w:rFonts w:hint="eastAsia"/>
                      <w:color w:val="auto"/>
                    </w:rPr>
                    <w:t>O</w:t>
                  </w:r>
                  <w:r>
                    <w:rPr>
                      <w:rFonts w:hint="eastAsia"/>
                      <w:color w:val="auto"/>
                      <w:vertAlign w:val="subscript"/>
                    </w:rPr>
                    <w:t>10</w:t>
                  </w:r>
                  <w:r>
                    <w:rPr>
                      <w:rFonts w:hint="eastAsia"/>
                      <w:color w:val="auto"/>
                    </w:rPr>
                    <w:t>，是一种无定形水溶性线状聚磷酸盐</w:t>
                  </w:r>
                  <w:r>
                    <w:rPr>
                      <w:rFonts w:hint="eastAsia"/>
                      <w:color w:val="auto"/>
                      <w:lang w:eastAsia="zh-CN"/>
                    </w:rPr>
                    <w:t>，熔点622℃，密度2.52 g/c</w:t>
                  </w:r>
                  <w:r>
                    <w:rPr>
                      <w:rFonts w:hint="eastAsia"/>
                      <w:color w:val="auto"/>
                      <w:lang w:val="en-US" w:eastAsia="zh-CN"/>
                    </w:rPr>
                    <w:t>m³。</w:t>
                  </w:r>
                </w:p>
              </w:tc>
            </w:tr>
            <w:tr>
              <w:trPr>
                <w:trHeight w:val="340"/>
              </w:trPr>
              <w:tc>
                <w:tcPr>
                  <w:tcW w:w="1004" w:type="pct"/>
                  <w:shd w:val="clear" w:color="auto" w:fill="auto"/>
                  <w:vAlign w:val="center"/>
                </w:tcPr>
                <w:p>
                  <w:pPr>
                    <w:pStyle w:val="23"/>
                    <w:bidi w:val="0"/>
                    <w:ind w:left="0" w:right="0" w:firstLine="0"/>
                    <w:jc w:val="center"/>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乳酸</w:t>
                  </w:r>
                </w:p>
              </w:tc>
              <w:tc>
                <w:tcPr>
                  <w:tcW w:w="3995" w:type="pct"/>
                  <w:tcBorders>
                    <w:left w:val="single" w:sz="4" w:space="0" w:color="auto"/>
                  </w:tcBorders>
                </w:tcPr>
                <w:p>
                  <w:pPr>
                    <w:pStyle w:val="23"/>
                    <w:bidi w:val="0"/>
                    <w:ind w:left="0" w:right="0" w:firstLine="0"/>
                    <w:jc w:val="center"/>
                    <w:rPr>
                      <w:color w:val="auto"/>
                    </w:rPr>
                  </w:pPr>
                  <w:r>
                    <w:rPr>
                      <w:rFonts w:hint="eastAsia"/>
                      <w:color w:val="auto"/>
                    </w:rPr>
                    <w:t>是一种羧酸，化学式是C</w:t>
                  </w:r>
                  <w:r>
                    <w:rPr>
                      <w:rFonts w:hint="eastAsia"/>
                      <w:color w:val="auto"/>
                      <w:vertAlign w:val="subscript"/>
                    </w:rPr>
                    <w:t>3</w:t>
                  </w:r>
                  <w:r>
                    <w:rPr>
                      <w:rFonts w:hint="eastAsia"/>
                      <w:color w:val="auto"/>
                    </w:rPr>
                    <w:t>H</w:t>
                  </w:r>
                  <w:r>
                    <w:rPr>
                      <w:rFonts w:hint="eastAsia"/>
                      <w:color w:val="auto"/>
                      <w:vertAlign w:val="subscript"/>
                    </w:rPr>
                    <w:t>6</w:t>
                  </w:r>
                  <w:r>
                    <w:rPr>
                      <w:rFonts w:hint="eastAsia"/>
                      <w:color w:val="auto"/>
                    </w:rPr>
                    <w:t>O</w:t>
                  </w:r>
                  <w:r>
                    <w:rPr>
                      <w:rFonts w:hint="eastAsia"/>
                      <w:color w:val="auto"/>
                      <w:vertAlign w:val="subscript"/>
                    </w:rPr>
                    <w:t>3</w:t>
                  </w:r>
                  <w:r>
                    <w:rPr>
                      <w:rFonts w:hint="eastAsia"/>
                      <w:color w:val="auto"/>
                    </w:rPr>
                    <w:t>，含有羟基，分子量：90.078</w:t>
                  </w:r>
                  <w:r>
                    <w:rPr>
                      <w:rFonts w:hint="eastAsia"/>
                      <w:color w:val="auto"/>
                      <w:lang w:eastAsia="zh-CN"/>
                    </w:rPr>
                    <w:t>，</w:t>
                  </w:r>
                  <w:r>
                    <w:rPr>
                      <w:rFonts w:hint="eastAsia"/>
                      <w:color w:val="auto"/>
                      <w:lang w:val="en-US" w:eastAsia="zh-CN"/>
                    </w:rPr>
                    <w:t>相对密度：1.200，熔点：18℃</w:t>
                  </w:r>
                  <w:r>
                    <w:rPr>
                      <w:rFonts w:hint="eastAsia"/>
                      <w:color w:val="auto"/>
                      <w:lang w:eastAsia="zh-CN"/>
                    </w:rPr>
                    <w:t>，</w:t>
                  </w:r>
                  <w:r>
                    <w:rPr>
                      <w:rFonts w:hint="eastAsia"/>
                      <w:color w:val="auto"/>
                      <w:lang w:val="en-US" w:eastAsia="zh-CN"/>
                    </w:rPr>
                    <w:t>密度：1.209</w:t>
                  </w:r>
                  <w:r>
                    <w:rPr>
                      <w:rFonts w:hint="eastAsia"/>
                      <w:color w:val="auto"/>
                      <w:lang w:eastAsia="zh-CN"/>
                    </w:rPr>
                    <w:t>，</w:t>
                  </w:r>
                  <w:r>
                    <w:rPr>
                      <w:rFonts w:hint="eastAsia"/>
                      <w:color w:val="auto"/>
                      <w:lang w:val="en-US" w:eastAsia="zh-CN"/>
                    </w:rPr>
                    <w:t>沸点：122℃(15 mmHg)</w:t>
                  </w:r>
                </w:p>
              </w:tc>
            </w:tr>
            <w:tr>
              <w:trPr>
                <w:trHeight w:val="1364"/>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无水硫酸钠</w:t>
                  </w:r>
                </w:p>
              </w:tc>
              <w:tc>
                <w:tcPr>
                  <w:tcW w:w="3995" w:type="pct"/>
                  <w:tcBorders>
                    <w:left w:val="single" w:sz="4" w:space="0" w:color="auto"/>
                  </w:tcBorders>
                </w:tcPr>
                <w:p>
                  <w:pPr>
                    <w:pStyle w:val="23"/>
                    <w:bidi w:val="0"/>
                    <w:ind w:left="0" w:right="0" w:firstLine="0"/>
                    <w:jc w:val="center"/>
                    <w:rPr>
                      <w:color w:val="auto"/>
                    </w:rPr>
                  </w:pPr>
                  <w:r>
                    <w:rPr>
                      <w:color w:val="auto"/>
                    </w:rPr>
                    <w:t>硫酸钠是</w:t>
                  </w:r>
                  <w:r>
                    <w:rPr>
                      <w:color w:val="auto"/>
                      <w:u w:val="none"/>
                    </w:rPr>
                    <w:t>硫酸根</w:t>
                  </w:r>
                  <w:r>
                    <w:rPr>
                      <w:color w:val="auto"/>
                    </w:rPr>
                    <w:t>与</w:t>
                  </w:r>
                  <w:r>
                    <w:rPr>
                      <w:color w:val="auto"/>
                      <w:u w:val="none"/>
                    </w:rPr>
                    <w:t>钠离子</w:t>
                  </w:r>
                  <w:r>
                    <w:rPr>
                      <w:color w:val="auto"/>
                    </w:rPr>
                    <w:t>化合生成的盐，化学式为Na</w:t>
                  </w:r>
                  <w:r>
                    <w:rPr>
                      <w:color w:val="auto"/>
                      <w:vertAlign w:val="subscript"/>
                    </w:rPr>
                    <w:t>2</w:t>
                  </w:r>
                  <w:r>
                    <w:rPr>
                      <w:color w:val="auto"/>
                    </w:rPr>
                    <w:t>SO</w:t>
                  </w:r>
                  <w:r>
                    <w:rPr>
                      <w:color w:val="auto"/>
                      <w:vertAlign w:val="subscript"/>
                    </w:rPr>
                    <w:t>4</w:t>
                  </w:r>
                  <w:r>
                    <w:rPr>
                      <w:color w:val="auto"/>
                    </w:rPr>
                    <w:t>，硫酸钠溶于水，其溶液大多为中性，溶于</w:t>
                  </w:r>
                  <w:r>
                    <w:rPr>
                      <w:color w:val="auto"/>
                      <w:u w:val="none"/>
                    </w:rPr>
                    <w:t>甘油</w:t>
                  </w:r>
                  <w:r>
                    <w:rPr>
                      <w:color w:val="auto"/>
                    </w:rPr>
                    <w:t>而不溶于</w:t>
                  </w:r>
                  <w:r>
                    <w:rPr>
                      <w:color w:val="auto"/>
                      <w:u w:val="none"/>
                    </w:rPr>
                    <w:t>乙醇</w:t>
                  </w:r>
                  <w:r>
                    <w:rPr>
                      <w:color w:val="auto"/>
                    </w:rPr>
                    <w:t>。</w:t>
                  </w:r>
                  <w:r>
                    <w:rPr>
                      <w:color w:val="auto"/>
                      <w:u w:val="none"/>
                    </w:rPr>
                    <w:t>无机化合物</w:t>
                  </w:r>
                  <w:r>
                    <w:rPr>
                      <w:color w:val="auto"/>
                    </w:rPr>
                    <w:t>，高纯度、颗粒细的</w:t>
                  </w:r>
                  <w:r>
                    <w:rPr>
                      <w:color w:val="auto"/>
                      <w:u w:val="none"/>
                    </w:rPr>
                    <w:t>无水物</w:t>
                  </w:r>
                  <w:r>
                    <w:rPr>
                      <w:color w:val="auto"/>
                    </w:rPr>
                    <w:t>称为</w:t>
                  </w:r>
                  <w:r>
                    <w:rPr>
                      <w:color w:val="auto"/>
                      <w:u w:val="none"/>
                    </w:rPr>
                    <w:t>元明粉</w:t>
                  </w:r>
                  <w:r>
                    <w:rPr>
                      <w:color w:val="auto"/>
                    </w:rPr>
                    <w:t>。元明粉，白色、无臭、有苦味的结晶或粉末，有</w:t>
                  </w:r>
                  <w:r>
                    <w:rPr>
                      <w:color w:val="auto"/>
                      <w:u w:val="none"/>
                    </w:rPr>
                    <w:t>吸湿性</w:t>
                  </w:r>
                  <w:r>
                    <w:rPr>
                      <w:color w:val="auto"/>
                    </w:rPr>
                    <w:t>。外形为无色、透明、大的结晶或</w:t>
                  </w:r>
                  <w:r>
                    <w:rPr>
                      <w:color w:val="auto"/>
                      <w:u w:val="none"/>
                    </w:rPr>
                    <w:t>颗粒性</w:t>
                  </w:r>
                  <w:r>
                    <w:rPr>
                      <w:color w:val="auto"/>
                    </w:rPr>
                    <w:t>小结晶。</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磷酸二氢铵</w:t>
                  </w:r>
                </w:p>
              </w:tc>
              <w:tc>
                <w:tcPr>
                  <w:tcW w:w="3995" w:type="pct"/>
                  <w:tcBorders>
                    <w:left w:val="single" w:sz="4" w:space="0" w:color="auto"/>
                  </w:tcBorders>
                </w:tcPr>
                <w:p>
                  <w:pPr>
                    <w:pStyle w:val="23"/>
                    <w:bidi w:val="0"/>
                    <w:ind w:left="0" w:right="0" w:firstLine="0"/>
                    <w:jc w:val="center"/>
                    <w:rPr>
                      <w:color w:val="auto"/>
                    </w:rPr>
                  </w:pPr>
                  <w:r>
                    <w:rPr>
                      <w:color w:val="auto"/>
                    </w:rPr>
                    <w:t>又称一铵磷酸盐，也叫酸式磷酸铵，</w:t>
                  </w:r>
                  <w:r>
                    <w:rPr>
                      <w:color w:val="auto"/>
                    </w:rPr>
                    <w:t>是一种</w:t>
                  </w:r>
                  <w:r>
                    <w:rPr>
                      <w:color w:val="auto"/>
                      <w:u w:val="none"/>
                    </w:rPr>
                    <w:t>无机化合物</w:t>
                  </w:r>
                  <w:r>
                    <w:rPr>
                      <w:color w:val="auto"/>
                    </w:rPr>
                    <w:t>，化学式为NH</w:t>
                  </w:r>
                  <w:r>
                    <w:rPr>
                      <w:color w:val="auto"/>
                      <w:vertAlign w:val="subscript"/>
                    </w:rPr>
                    <w:t>4</w:t>
                  </w:r>
                  <w:r>
                    <w:rPr>
                      <w:color w:val="auto"/>
                    </w:rPr>
                    <w:t>H</w:t>
                  </w:r>
                  <w:r>
                    <w:rPr>
                      <w:color w:val="auto"/>
                      <w:vertAlign w:val="subscript"/>
                    </w:rPr>
                    <w:t>2</w:t>
                  </w:r>
                  <w:r>
                    <w:rPr>
                      <w:color w:val="auto"/>
                    </w:rPr>
                    <w:t>PO</w:t>
                  </w:r>
                  <w:r>
                    <w:rPr>
                      <w:color w:val="auto"/>
                      <w:vertAlign w:val="subscript"/>
                    </w:rPr>
                    <w:t>4</w:t>
                  </w:r>
                  <w:r>
                    <w:rPr>
                      <w:color w:val="auto"/>
                    </w:rPr>
                    <w:t>，摩尔质量为115.03g/mol。其为无色、透明四面体结晶，熔点为190℃，密度为1.8g/c</w:t>
                  </w:r>
                  <w:r>
                    <w:rPr>
                      <w:rFonts w:hint="eastAsia"/>
                      <w:color w:val="auto"/>
                      <w:lang w:val="en-US" w:eastAsia="zh-CN"/>
                    </w:rPr>
                    <w:t>m³</w:t>
                  </w:r>
                  <w:r>
                    <w:rPr>
                      <w:color w:val="auto"/>
                    </w:rPr>
                    <w:t>，易溶于水，水溶液呈酸性，微溶于醇，不溶于丙酮中。</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碱式乙酸铅</w:t>
                  </w:r>
                </w:p>
              </w:tc>
              <w:tc>
                <w:tcPr>
                  <w:tcW w:w="3995" w:type="pct"/>
                  <w:tcBorders>
                    <w:left w:val="single" w:sz="4" w:space="0" w:color="auto"/>
                  </w:tcBorders>
                </w:tcPr>
                <w:p>
                  <w:pPr>
                    <w:pStyle w:val="23"/>
                    <w:bidi w:val="0"/>
                    <w:ind w:left="0" w:right="0" w:firstLine="0"/>
                    <w:jc w:val="center"/>
                    <w:rPr>
                      <w:color w:val="auto"/>
                    </w:rPr>
                  </w:pPr>
                  <w:r>
                    <w:rPr>
                      <w:color w:val="auto"/>
                    </w:rPr>
                    <w:t>化学式为C</w:t>
                  </w:r>
                  <w:r>
                    <w:rPr>
                      <w:color w:val="auto"/>
                      <w:vertAlign w:val="subscript"/>
                    </w:rPr>
                    <w:t>4</w:t>
                  </w:r>
                  <w:r>
                    <w:rPr>
                      <w:color w:val="auto"/>
                    </w:rPr>
                    <w:t>H</w:t>
                  </w:r>
                  <w:r>
                    <w:rPr>
                      <w:color w:val="auto"/>
                      <w:vertAlign w:val="subscript"/>
                    </w:rPr>
                    <w:t>8</w:t>
                  </w:r>
                  <w:r>
                    <w:rPr>
                      <w:color w:val="auto"/>
                    </w:rPr>
                    <w:t>O</w:t>
                  </w:r>
                  <w:r>
                    <w:rPr>
                      <w:color w:val="auto"/>
                      <w:vertAlign w:val="subscript"/>
                    </w:rPr>
                    <w:t>6</w:t>
                  </w:r>
                  <w:r>
                    <w:rPr>
                      <w:color w:val="auto"/>
                    </w:rPr>
                    <w:t>Pb</w:t>
                  </w:r>
                  <w:r>
                    <w:rPr>
                      <w:color w:val="auto"/>
                      <w:vertAlign w:val="subscript"/>
                    </w:rPr>
                    <w:t>2</w:t>
                  </w:r>
                  <w:r>
                    <w:rPr>
                      <w:color w:val="auto"/>
                    </w:rPr>
                    <w:t>，为白色质重粉末，溶于水，不溶于醇。</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硫酸铜</w:t>
                  </w:r>
                </w:p>
              </w:tc>
              <w:tc>
                <w:tcPr>
                  <w:tcW w:w="3995" w:type="pct"/>
                  <w:tcBorders>
                    <w:left w:val="single" w:sz="4" w:space="0" w:color="auto"/>
                  </w:tcBorders>
                </w:tcPr>
                <w:p>
                  <w:pPr>
                    <w:pStyle w:val="23"/>
                    <w:bidi w:val="0"/>
                    <w:ind w:left="0" w:right="0" w:firstLine="0"/>
                    <w:jc w:val="center"/>
                    <w:rPr>
                      <w:color w:val="auto"/>
                    </w:rPr>
                  </w:pPr>
                  <w:r>
                    <w:rPr>
                      <w:color w:val="auto"/>
                    </w:rPr>
                    <w:t>灰白色粉末，易吸水变蓝色或深蓝色的五水合硫酸铜</w:t>
                  </w:r>
                  <w:r>
                    <w:rPr>
                      <w:color w:val="auto"/>
                    </w:rPr>
                    <w:t>。</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硫酸钾</w:t>
                  </w:r>
                </w:p>
              </w:tc>
              <w:tc>
                <w:tcPr>
                  <w:tcW w:w="3995" w:type="pct"/>
                  <w:tcBorders>
                    <w:left w:val="single" w:sz="4" w:space="0" w:color="auto"/>
                  </w:tcBorders>
                </w:tcPr>
                <w:p>
                  <w:pPr>
                    <w:pStyle w:val="23"/>
                    <w:bidi w:val="0"/>
                    <w:ind w:left="0" w:right="0" w:firstLine="0"/>
                    <w:jc w:val="center"/>
                    <w:rPr>
                      <w:color w:val="auto"/>
                    </w:rPr>
                  </w:pPr>
                  <w:r>
                    <w:rPr>
                      <w:color w:val="auto"/>
                    </w:rPr>
                    <w:t>是一种无机硫酸盐，</w:t>
                  </w:r>
                  <w:r>
                    <w:rPr>
                      <w:color w:val="auto"/>
                    </w:rPr>
                    <w:t>化学式为K</w:t>
                  </w:r>
                  <w:r>
                    <w:rPr>
                      <w:color w:val="auto"/>
                      <w:vertAlign w:val="subscript"/>
                    </w:rPr>
                    <w:t>2</w:t>
                  </w:r>
                  <w:r>
                    <w:rPr>
                      <w:color w:val="auto"/>
                    </w:rPr>
                    <w:t>SO</w:t>
                  </w:r>
                  <w:r>
                    <w:rPr>
                      <w:color w:val="auto"/>
                      <w:vertAlign w:val="subscript"/>
                    </w:rPr>
                    <w:t>4</w:t>
                  </w:r>
                  <w:r>
                    <w:rPr>
                      <w:color w:val="auto"/>
                    </w:rPr>
                    <w:t>，分子量为174.2。其通常情况下为无色晶体，味苦而咸。熔点为1069℃，密度是2.662g/c</w:t>
                  </w:r>
                  <w:r>
                    <w:rPr>
                      <w:rFonts w:hint="eastAsia"/>
                      <w:color w:val="auto"/>
                      <w:lang w:val="en-US" w:eastAsia="zh-CN"/>
                    </w:rPr>
                    <w:t>m³</w:t>
                  </w:r>
                  <w:r>
                    <w:rPr>
                      <w:color w:val="auto"/>
                    </w:rPr>
                    <w:t>。</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钨酸钠</w:t>
                  </w:r>
                </w:p>
              </w:tc>
              <w:tc>
                <w:tcPr>
                  <w:tcW w:w="3995" w:type="pct"/>
                  <w:tcBorders>
                    <w:left w:val="single" w:sz="4" w:space="0" w:color="auto"/>
                  </w:tcBorders>
                </w:tcPr>
                <w:p>
                  <w:pPr>
                    <w:pStyle w:val="23"/>
                    <w:bidi w:val="0"/>
                    <w:ind w:left="0" w:right="0" w:firstLine="0"/>
                    <w:jc w:val="center"/>
                    <w:rPr>
                      <w:color w:val="auto"/>
                    </w:rPr>
                  </w:pPr>
                  <w:r>
                    <w:rPr>
                      <w:color w:val="auto"/>
                    </w:rPr>
                    <w:t>是一种无机物，化学式为Na</w:t>
                  </w:r>
                  <w:r>
                    <w:rPr>
                      <w:color w:val="auto"/>
                      <w:vertAlign w:val="subscript"/>
                    </w:rPr>
                    <w:t>2</w:t>
                  </w:r>
                  <w:r>
                    <w:rPr>
                      <w:color w:val="auto"/>
                    </w:rPr>
                    <w:t>WO</w:t>
                  </w:r>
                  <w:r>
                    <w:rPr>
                      <w:color w:val="auto"/>
                      <w:vertAlign w:val="subscript"/>
                    </w:rPr>
                    <w:t>4</w:t>
                  </w:r>
                  <w:r>
                    <w:rPr>
                      <w:color w:val="auto"/>
                    </w:rPr>
                    <w:t>，为无色结晶或白色结晶性</w:t>
                  </w:r>
                  <w:r>
                    <w:rPr>
                      <w:color w:val="auto"/>
                      <w:u w:val="none"/>
                    </w:rPr>
                    <w:t>粉末</w:t>
                  </w:r>
                  <w:r>
                    <w:rPr>
                      <w:color w:val="auto"/>
                    </w:rPr>
                    <w:t>，在干燥空气中</w:t>
                  </w:r>
                  <w:r>
                    <w:rPr>
                      <w:color w:val="auto"/>
                      <w:u w:val="none"/>
                    </w:rPr>
                    <w:t>风化</w:t>
                  </w:r>
                  <w:r>
                    <w:rPr>
                      <w:color w:val="auto"/>
                    </w:rPr>
                    <w:t>，100℃时失去</w:t>
                  </w:r>
                  <w:r>
                    <w:rPr>
                      <w:color w:val="auto"/>
                      <w:u w:val="none"/>
                    </w:rPr>
                    <w:t>结晶水</w:t>
                  </w:r>
                  <w:r>
                    <w:rPr>
                      <w:color w:val="auto"/>
                    </w:rPr>
                    <w:t>，溶于水，不溶于乙醇，相对密度3.23～3.25，熔点698℃。</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磷酸氢二钠</w:t>
                  </w:r>
                </w:p>
              </w:tc>
              <w:tc>
                <w:tcPr>
                  <w:tcW w:w="3995" w:type="pct"/>
                  <w:tcBorders>
                    <w:left w:val="single" w:sz="4" w:space="0" w:color="auto"/>
                  </w:tcBorders>
                </w:tcPr>
                <w:p>
                  <w:pPr>
                    <w:pStyle w:val="23"/>
                    <w:bidi w:val="0"/>
                    <w:ind w:left="0" w:right="0" w:firstLine="0"/>
                    <w:jc w:val="center"/>
                    <w:rPr>
                      <w:color w:val="auto"/>
                    </w:rPr>
                  </w:pPr>
                  <w:r>
                    <w:rPr>
                      <w:color w:val="auto"/>
                    </w:rPr>
                    <w:t>又名磷酸一氢钠，化学式为Na</w:t>
                  </w:r>
                  <w:r>
                    <w:rPr>
                      <w:color w:val="auto"/>
                      <w:vertAlign w:val="subscript"/>
                    </w:rPr>
                    <w:t>2</w:t>
                  </w:r>
                  <w:r>
                    <w:rPr>
                      <w:color w:val="auto"/>
                    </w:rPr>
                    <w:t>HPO</w:t>
                  </w:r>
                  <w:r>
                    <w:rPr>
                      <w:color w:val="auto"/>
                      <w:vertAlign w:val="subscript"/>
                    </w:rPr>
                    <w:t>4</w:t>
                  </w:r>
                  <w:r>
                    <w:rPr>
                      <w:color w:val="auto"/>
                    </w:rPr>
                    <w:t>，是磷酸生成的钠盐酸式盐之一。</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磷酸二氢钾</w:t>
                  </w:r>
                </w:p>
              </w:tc>
              <w:tc>
                <w:tcPr>
                  <w:tcW w:w="3995" w:type="pct"/>
                  <w:tcBorders>
                    <w:left w:val="single" w:sz="4" w:space="0" w:color="auto"/>
                  </w:tcBorders>
                </w:tcPr>
                <w:p>
                  <w:pPr>
                    <w:pStyle w:val="23"/>
                    <w:bidi w:val="0"/>
                    <w:ind w:left="0" w:right="0" w:firstLine="0"/>
                    <w:jc w:val="center"/>
                    <w:rPr>
                      <w:color w:val="auto"/>
                    </w:rPr>
                  </w:pPr>
                  <w:r>
                    <w:rPr>
                      <w:color w:val="auto"/>
                    </w:rPr>
                    <w:t>是一种无机盐类化合物，化学式为KH</w:t>
                  </w:r>
                  <w:r>
                    <w:rPr>
                      <w:color w:val="auto"/>
                      <w:vertAlign w:val="subscript"/>
                    </w:rPr>
                    <w:t>2</w:t>
                  </w:r>
                  <w:r>
                    <w:rPr>
                      <w:color w:val="auto"/>
                    </w:rPr>
                    <w:t>PO</w:t>
                  </w:r>
                  <w:r>
                    <w:rPr>
                      <w:color w:val="auto"/>
                      <w:vertAlign w:val="subscript"/>
                    </w:rPr>
                    <w:t>4</w:t>
                  </w:r>
                  <w:r>
                    <w:rPr>
                      <w:color w:val="auto"/>
                    </w:rPr>
                    <w:t>，相对分子量为136.09。外观为无色四方晶体或白色粒状粉末，密度为2.338g/c</w:t>
                  </w:r>
                  <w:r>
                    <w:rPr>
                      <w:rFonts w:hint="eastAsia"/>
                      <w:color w:val="auto"/>
                      <w:lang w:eastAsia="zh-CN"/>
                    </w:rPr>
                    <w:t>m³</w:t>
                  </w:r>
                  <w:r>
                    <w:rPr>
                      <w:color w:val="auto"/>
                    </w:rPr>
                    <w:t>，熔点为252.6℃，易潮解，溶于水，水溶液呈弱酸性，不溶于乙醇。</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酒石酸钾钠</w:t>
                  </w:r>
                </w:p>
              </w:tc>
              <w:tc>
                <w:tcPr>
                  <w:tcW w:w="3995" w:type="pct"/>
                  <w:tcBorders>
                    <w:left w:val="single" w:sz="4" w:space="0" w:color="auto"/>
                  </w:tcBorders>
                </w:tcPr>
                <w:p>
                  <w:pPr>
                    <w:pStyle w:val="23"/>
                    <w:bidi w:val="0"/>
                    <w:ind w:left="0" w:right="0" w:firstLine="0"/>
                    <w:jc w:val="center"/>
                    <w:rPr>
                      <w:color w:val="auto"/>
                    </w:rPr>
                  </w:pPr>
                  <w:r>
                    <w:rPr>
                      <w:color w:val="auto"/>
                    </w:rPr>
                    <w:t>一种有机物，化学式为NaKC</w:t>
                  </w:r>
                  <w:r>
                    <w:rPr>
                      <w:color w:val="auto"/>
                      <w:vertAlign w:val="subscript"/>
                    </w:rPr>
                    <w:t>4</w:t>
                  </w:r>
                  <w:r>
                    <w:rPr>
                      <w:color w:val="auto"/>
                    </w:rPr>
                    <w:t>H</w:t>
                  </w:r>
                  <w:r>
                    <w:rPr>
                      <w:color w:val="auto"/>
                      <w:vertAlign w:val="subscript"/>
                    </w:rPr>
                    <w:t>4</w:t>
                  </w:r>
                  <w:r>
                    <w:rPr>
                      <w:color w:val="auto"/>
                    </w:rPr>
                    <w:t>O</w:t>
                  </w:r>
                  <w:r>
                    <w:rPr>
                      <w:color w:val="auto"/>
                      <w:vertAlign w:val="subscript"/>
                    </w:rPr>
                    <w:t>6</w:t>
                  </w:r>
                  <w:r>
                    <w:rPr>
                      <w:color w:val="auto"/>
                    </w:rPr>
                    <w:t>，无色透明结晶体。密度1.79g/c</w:t>
                  </w:r>
                  <w:r>
                    <w:rPr>
                      <w:rFonts w:hint="eastAsia"/>
                      <w:color w:val="auto"/>
                      <w:lang w:val="en-US" w:eastAsia="zh-CN"/>
                    </w:rPr>
                    <w:t>m³</w:t>
                  </w:r>
                  <w:r>
                    <w:rPr>
                      <w:color w:val="auto"/>
                    </w:rPr>
                    <w:t>。熔点75℃。在热空气中有风化性，60℃失去部分结晶水，215℃失去全部结晶水。</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磷酸二氢钠</w:t>
                  </w:r>
                </w:p>
              </w:tc>
              <w:tc>
                <w:tcPr>
                  <w:tcW w:w="3995" w:type="pct"/>
                  <w:tcBorders>
                    <w:left w:val="single" w:sz="4" w:space="0" w:color="auto"/>
                  </w:tcBorders>
                </w:tcPr>
                <w:p>
                  <w:pPr>
                    <w:pStyle w:val="23"/>
                    <w:bidi w:val="0"/>
                    <w:ind w:left="0" w:right="0" w:firstLine="0"/>
                    <w:jc w:val="center"/>
                    <w:rPr>
                      <w:color w:val="auto"/>
                    </w:rPr>
                  </w:pPr>
                  <w:r>
                    <w:rPr>
                      <w:color w:val="auto"/>
                    </w:rPr>
                    <w:t>又称酸性磷酸钠，化学式为NaH</w:t>
                  </w:r>
                  <w:r>
                    <w:rPr>
                      <w:color w:val="auto"/>
                      <w:vertAlign w:val="subscript"/>
                    </w:rPr>
                    <w:t>2</w:t>
                  </w:r>
                  <w:r>
                    <w:rPr>
                      <w:color w:val="auto"/>
                    </w:rPr>
                    <w:t>PO</w:t>
                  </w:r>
                  <w:r>
                    <w:rPr>
                      <w:color w:val="auto"/>
                      <w:vertAlign w:val="subscript"/>
                    </w:rPr>
                    <w:t>4</w:t>
                  </w:r>
                  <w:r>
                    <w:rPr>
                      <w:color w:val="auto"/>
                    </w:rPr>
                    <w:t>，是一种无机酸式盐，易溶于水，几乎不溶于乙醇。</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硫酸亚铁</w:t>
                  </w:r>
                </w:p>
              </w:tc>
              <w:tc>
                <w:tcPr>
                  <w:tcW w:w="3995" w:type="pct"/>
                  <w:tcBorders>
                    <w:left w:val="single" w:sz="4" w:space="0" w:color="auto"/>
                  </w:tcBorders>
                </w:tcPr>
                <w:p>
                  <w:pPr>
                    <w:pStyle w:val="23"/>
                    <w:bidi w:val="0"/>
                    <w:ind w:left="0" w:right="0" w:firstLine="0"/>
                    <w:jc w:val="center"/>
                    <w:rPr>
                      <w:color w:val="auto"/>
                    </w:rPr>
                  </w:pPr>
                  <w:r>
                    <w:rPr>
                      <w:color w:val="auto"/>
                    </w:rPr>
                    <w:t>一种</w:t>
                  </w:r>
                  <w:r>
                    <w:rPr>
                      <w:color w:val="auto"/>
                    </w:rPr>
                    <w:t>无机物，化学式为FeSO</w:t>
                  </w:r>
                  <w:r>
                    <w:rPr>
                      <w:color w:val="auto"/>
                      <w:vertAlign w:val="subscript"/>
                    </w:rPr>
                    <w:t>4</w:t>
                  </w:r>
                  <w:r>
                    <w:rPr>
                      <w:color w:val="auto"/>
                    </w:rPr>
                    <w:t>，外观为白色粉末无气味。</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柠檬酸氢二铵</w:t>
                  </w:r>
                </w:p>
              </w:tc>
              <w:tc>
                <w:tcPr>
                  <w:tcW w:w="3995" w:type="pct"/>
                  <w:tcBorders>
                    <w:left w:val="single" w:sz="4" w:space="0" w:color="auto"/>
                  </w:tcBorders>
                </w:tcPr>
                <w:p>
                  <w:pPr>
                    <w:pStyle w:val="23"/>
                    <w:bidi w:val="0"/>
                    <w:ind w:left="0" w:right="0" w:firstLine="0"/>
                    <w:jc w:val="center"/>
                    <w:rPr>
                      <w:color w:val="auto"/>
                    </w:rPr>
                  </w:pPr>
                  <w:r>
                    <w:rPr>
                      <w:color w:val="auto"/>
                    </w:rPr>
                    <w:t>分子式是C</w:t>
                  </w:r>
                  <w:r>
                    <w:rPr>
                      <w:color w:val="auto"/>
                      <w:vertAlign w:val="subscript"/>
                    </w:rPr>
                    <w:t>6</w:t>
                  </w:r>
                  <w:r>
                    <w:rPr>
                      <w:color w:val="auto"/>
                    </w:rPr>
                    <w:t>H</w:t>
                  </w:r>
                  <w:r>
                    <w:rPr>
                      <w:color w:val="auto"/>
                      <w:vertAlign w:val="subscript"/>
                    </w:rPr>
                    <w:t>14</w:t>
                  </w:r>
                  <w:r>
                    <w:rPr>
                      <w:color w:val="auto"/>
                    </w:rPr>
                    <w:t>N</w:t>
                  </w:r>
                  <w:r>
                    <w:rPr>
                      <w:color w:val="auto"/>
                      <w:vertAlign w:val="subscript"/>
                    </w:rPr>
                    <w:t>2</w:t>
                  </w:r>
                  <w:r>
                    <w:rPr>
                      <w:color w:val="auto"/>
                    </w:rPr>
                    <w:t>O</w:t>
                  </w:r>
                  <w:r>
                    <w:rPr>
                      <w:color w:val="auto"/>
                      <w:vertAlign w:val="subscript"/>
                    </w:rPr>
                    <w:t>7</w:t>
                  </w:r>
                  <w:r>
                    <w:rPr>
                      <w:color w:val="auto"/>
                    </w:rPr>
                    <w:t>。用作分析试剂，如作配合萃取剂、配合掩蔽剂、缓冲剂。</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氯化钾</w:t>
                  </w:r>
                </w:p>
              </w:tc>
              <w:tc>
                <w:tcPr>
                  <w:tcW w:w="3995" w:type="pct"/>
                  <w:tcBorders>
                    <w:left w:val="single" w:sz="4" w:space="0" w:color="auto"/>
                  </w:tcBorders>
                </w:tcPr>
                <w:p>
                  <w:pPr>
                    <w:pStyle w:val="23"/>
                    <w:bidi w:val="0"/>
                    <w:ind w:left="0" w:right="0" w:firstLine="0"/>
                    <w:jc w:val="center"/>
                    <w:rPr>
                      <w:color w:val="auto"/>
                    </w:rPr>
                  </w:pPr>
                  <w:r>
                    <w:rPr>
                      <w:color w:val="auto"/>
                    </w:rPr>
                    <w:t>一种</w:t>
                  </w:r>
                  <w:r>
                    <w:rPr>
                      <w:color w:val="auto"/>
                    </w:rPr>
                    <w:t>无机氯化物，化学式为KCI，分子量为74.55。其通常情况下为无色立方系晶体。熔点为790℃，沸点1500℃，密度1.988g/c</w:t>
                  </w:r>
                  <w:r>
                    <w:rPr>
                      <w:rFonts w:hint="eastAsia"/>
                      <w:color w:val="auto"/>
                      <w:lang w:eastAsia="zh-CN"/>
                    </w:rPr>
                    <w:t>m³</w:t>
                  </w:r>
                  <w:r>
                    <w:rPr>
                      <w:color w:val="auto"/>
                    </w:rPr>
                    <w:t>。</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氢氧化钠</w:t>
                  </w:r>
                </w:p>
              </w:tc>
              <w:tc>
                <w:tcPr>
                  <w:tcW w:w="3995" w:type="pct"/>
                  <w:tcBorders>
                    <w:left w:val="single" w:sz="4" w:space="0" w:color="auto"/>
                  </w:tcBorders>
                </w:tcPr>
                <w:p>
                  <w:pPr>
                    <w:pStyle w:val="23"/>
                    <w:bidi w:val="0"/>
                    <w:ind w:left="0" w:right="0" w:firstLine="0"/>
                    <w:jc w:val="center"/>
                    <w:rPr>
                      <w:color w:val="auto"/>
                    </w:rPr>
                  </w:pPr>
                  <w:r>
                    <w:rPr>
                      <w:color w:val="auto"/>
                    </w:rPr>
                    <w:t>白色不透明固体，易潮解。沸点：1390℃、熔点：318.4℃、相对密度（水=1）：2.12、</w:t>
                  </w:r>
                  <w:r>
                    <w:rPr>
                      <w:rFonts w:hint="eastAsia"/>
                      <w:color w:val="auto"/>
                      <w:lang w:eastAsia="zh-CN"/>
                    </w:rPr>
                    <w:t>饱和蒸汽</w:t>
                  </w:r>
                  <w:r>
                    <w:rPr>
                      <w:color w:val="auto"/>
                    </w:rPr>
                    <w:t>压（kPa）：0.13（739℃)、易溶于水、乙醇、甘油、不溶于丙酮。</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尿素</w:t>
                  </w:r>
                </w:p>
              </w:tc>
              <w:tc>
                <w:tcPr>
                  <w:tcW w:w="3995" w:type="pct"/>
                  <w:tcBorders>
                    <w:left w:val="single" w:sz="4" w:space="0" w:color="auto"/>
                  </w:tcBorders>
                </w:tcPr>
                <w:p>
                  <w:pPr>
                    <w:pStyle w:val="23"/>
                    <w:bidi w:val="0"/>
                    <w:ind w:left="0" w:right="0" w:firstLine="0"/>
                    <w:jc w:val="center"/>
                    <w:rPr>
                      <w:color w:val="auto"/>
                    </w:rPr>
                  </w:pPr>
                  <w:r>
                    <w:rPr>
                      <w:color w:val="auto"/>
                    </w:rPr>
                    <w:t>又称脲、碳酰胺，化学式是CH</w:t>
                  </w:r>
                  <w:r>
                    <w:rPr>
                      <w:color w:val="auto"/>
                      <w:vertAlign w:val="subscript"/>
                    </w:rPr>
                    <w:t>4</w:t>
                  </w:r>
                  <w:r>
                    <w:rPr>
                      <w:color w:val="auto"/>
                    </w:rPr>
                    <w:t>N</w:t>
                  </w:r>
                  <w:r>
                    <w:rPr>
                      <w:color w:val="auto"/>
                      <w:vertAlign w:val="subscript"/>
                    </w:rPr>
                    <w:t>2</w:t>
                  </w:r>
                  <w:r>
                    <w:rPr>
                      <w:color w:val="auto"/>
                    </w:rPr>
                    <w:t>O，是一种白色晶体，无味无臭，易溶于水、乙醇和苯，微溶于乙醚、氯仿。</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硼酸</w:t>
                  </w:r>
                </w:p>
              </w:tc>
              <w:tc>
                <w:tcPr>
                  <w:tcW w:w="3995" w:type="pct"/>
                  <w:tcBorders>
                    <w:left w:val="single" w:sz="4" w:space="0" w:color="auto"/>
                  </w:tcBorders>
                </w:tcPr>
                <w:p>
                  <w:pPr>
                    <w:pStyle w:val="23"/>
                    <w:bidi w:val="0"/>
                    <w:ind w:left="0" w:right="0" w:firstLine="0"/>
                    <w:jc w:val="center"/>
                    <w:rPr>
                      <w:color w:val="auto"/>
                    </w:rPr>
                  </w:pPr>
                  <w:r>
                    <w:rPr>
                      <w:color w:val="auto"/>
                    </w:rPr>
                    <w:t>是一种</w:t>
                  </w:r>
                  <w:r>
                    <w:rPr>
                      <w:color w:val="auto"/>
                    </w:rPr>
                    <w:t>无机化合物，化学式为H</w:t>
                  </w:r>
                  <w:r>
                    <w:rPr>
                      <w:color w:val="auto"/>
                      <w:vertAlign w:val="subscript"/>
                    </w:rPr>
                    <w:t>3</w:t>
                  </w:r>
                  <w:r>
                    <w:rPr>
                      <w:color w:val="auto"/>
                    </w:rPr>
                    <w:t>BO</w:t>
                  </w:r>
                  <w:r>
                    <w:rPr>
                      <w:color w:val="auto"/>
                      <w:vertAlign w:val="subscript"/>
                    </w:rPr>
                    <w:t>3</w:t>
                  </w:r>
                  <w:r>
                    <w:rPr>
                      <w:color w:val="auto"/>
                    </w:rPr>
                    <w:t>，为白色结晶性粉末，有滑腻手感，无气味，微溶于冷水，易溶于热水、甘油和乙醇。</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氧化镁</w:t>
                  </w:r>
                </w:p>
              </w:tc>
              <w:tc>
                <w:tcPr>
                  <w:tcW w:w="3995" w:type="pct"/>
                  <w:tcBorders>
                    <w:left w:val="single" w:sz="4" w:space="0" w:color="auto"/>
                  </w:tcBorders>
                </w:tcPr>
                <w:p>
                  <w:pPr>
                    <w:pStyle w:val="23"/>
                    <w:bidi w:val="0"/>
                    <w:ind w:left="0" w:right="0" w:firstLine="0"/>
                    <w:jc w:val="center"/>
                    <w:rPr>
                      <w:color w:val="auto"/>
                    </w:rPr>
                  </w:pPr>
                  <w:r>
                    <w:rPr>
                      <w:color w:val="auto"/>
                    </w:rPr>
                    <w:t>俗称</w:t>
                  </w:r>
                  <w:r>
                    <w:rPr>
                      <w:color w:val="auto"/>
                    </w:rPr>
                    <w:t>苦土或灯粉，氧化物型无机化合物，化学式为MgO，相对分子量40.30。常温下为白色粉末，密度约3.58g/c</w:t>
                  </w:r>
                  <w:r>
                    <w:rPr>
                      <w:rFonts w:hint="eastAsia"/>
                      <w:color w:val="auto"/>
                      <w:lang w:eastAsia="zh-CN"/>
                    </w:rPr>
                    <w:t>m³</w:t>
                  </w:r>
                  <w:r>
                    <w:rPr>
                      <w:color w:val="auto"/>
                    </w:rPr>
                    <w:t>，熔点2852℃，沸点3600℃，难溶于水和乙醇，溶于铵盐溶液。</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三乙醇胺</w:t>
                  </w:r>
                </w:p>
              </w:tc>
              <w:tc>
                <w:tcPr>
                  <w:tcW w:w="3995" w:type="pct"/>
                  <w:tcBorders>
                    <w:left w:val="single" w:sz="4" w:space="0" w:color="auto"/>
                  </w:tcBorders>
                </w:tcPr>
                <w:p>
                  <w:pPr>
                    <w:pStyle w:val="23"/>
                    <w:bidi w:val="0"/>
                    <w:ind w:left="0" w:right="0" w:firstLine="0"/>
                    <w:jc w:val="center"/>
                    <w:rPr>
                      <w:color w:val="auto"/>
                    </w:rPr>
                  </w:pPr>
                  <w:r>
                    <w:rPr>
                      <w:color w:val="auto"/>
                    </w:rPr>
                    <w:t>是一种</w:t>
                  </w:r>
                  <w:r>
                    <w:rPr>
                      <w:color w:val="auto"/>
                    </w:rPr>
                    <w:t>有机化合物，可以看作是三乙胺的三羟基取代物，化学式为C</w:t>
                  </w:r>
                  <w:r>
                    <w:rPr>
                      <w:color w:val="auto"/>
                      <w:vertAlign w:val="subscript"/>
                    </w:rPr>
                    <w:t>6</w:t>
                  </w:r>
                  <w:r>
                    <w:rPr>
                      <w:color w:val="auto"/>
                    </w:rPr>
                    <w:t>H</w:t>
                  </w:r>
                  <w:r>
                    <w:rPr>
                      <w:color w:val="auto"/>
                      <w:vertAlign w:val="subscript"/>
                    </w:rPr>
                    <w:t>15</w:t>
                  </w:r>
                  <w:r>
                    <w:rPr>
                      <w:color w:val="auto"/>
                    </w:rPr>
                    <w:t>NO</w:t>
                  </w:r>
                  <w:r>
                    <w:rPr>
                      <w:color w:val="auto"/>
                      <w:vertAlign w:val="subscript"/>
                    </w:rPr>
                    <w:t>3</w:t>
                  </w:r>
                  <w:r>
                    <w:rPr>
                      <w:color w:val="auto"/>
                    </w:rPr>
                    <w:t>。</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无水乙醇</w:t>
                  </w:r>
                </w:p>
              </w:tc>
              <w:tc>
                <w:tcPr>
                  <w:tcW w:w="3995" w:type="pct"/>
                  <w:tcBorders>
                    <w:left w:val="single" w:sz="4" w:space="0" w:color="auto"/>
                  </w:tcBorders>
                </w:tcPr>
                <w:p>
                  <w:pPr>
                    <w:pStyle w:val="23"/>
                    <w:bidi w:val="0"/>
                    <w:ind w:left="0" w:right="0" w:firstLine="0"/>
                    <w:jc w:val="center"/>
                    <w:rPr>
                      <w:color w:val="auto"/>
                    </w:rPr>
                  </w:pPr>
                  <w:r>
                    <w:rPr>
                      <w:color w:val="auto"/>
                    </w:rPr>
                    <w:t>乙醇在常温常压下是一种易燃、易挥发的无色透明液体，低毒性，纯液体不可直接饮用；具有特殊香味，并略带刺激；微甘，并伴有刺激的辛辣滋味。易燃，其蒸气能与空气形成爆炸性混合物，能与水以任意比互溶。能与氯仿、乙醚、甲醇、丙酮和其他多数有机溶剂混溶，相对密度(d15.56)0.816，熔点-114℃，沸点78℃</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碘化汞</w:t>
                  </w:r>
                </w:p>
              </w:tc>
              <w:tc>
                <w:tcPr>
                  <w:tcW w:w="3995" w:type="pct"/>
                  <w:tcBorders>
                    <w:left w:val="single" w:sz="4" w:space="0" w:color="auto"/>
                  </w:tcBorders>
                </w:tcPr>
                <w:p>
                  <w:pPr>
                    <w:pStyle w:val="23"/>
                    <w:bidi w:val="0"/>
                    <w:ind w:left="0" w:right="0" w:firstLine="0"/>
                    <w:jc w:val="center"/>
                    <w:rPr>
                      <w:rFonts w:eastAsia="宋体"/>
                      <w:color w:val="auto"/>
                      <w:lang w:val="en-US" w:eastAsia="zh-CN"/>
                    </w:rPr>
                  </w:pPr>
                  <w:r>
                    <w:rPr>
                      <w:color w:val="auto"/>
                    </w:rPr>
                    <w:t>化学式为HgI</w:t>
                  </w:r>
                  <w:r>
                    <w:rPr>
                      <w:color w:val="auto"/>
                      <w:vertAlign w:val="subscript"/>
                    </w:rPr>
                    <w:t>2</w:t>
                  </w:r>
                  <w:r>
                    <w:rPr>
                      <w:rFonts w:hint="eastAsia"/>
                      <w:color w:val="auto"/>
                      <w:lang w:eastAsia="zh-CN"/>
                    </w:rPr>
                    <w:t>，</w:t>
                  </w:r>
                  <w:r>
                    <w:rPr>
                      <w:rFonts w:hint="eastAsia"/>
                      <w:color w:val="auto"/>
                      <w:lang w:val="en-US" w:eastAsia="zh-CN"/>
                    </w:rPr>
                    <w:t>红色四角晶体，密度6.36g/cm³（25℃）</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亚甲基蓝</w:t>
                  </w:r>
                </w:p>
              </w:tc>
              <w:tc>
                <w:tcPr>
                  <w:tcW w:w="3995" w:type="pct"/>
                  <w:tcBorders>
                    <w:left w:val="single" w:sz="4" w:space="0" w:color="auto"/>
                  </w:tcBorders>
                </w:tcPr>
                <w:p>
                  <w:pPr>
                    <w:pStyle w:val="23"/>
                    <w:bidi w:val="0"/>
                    <w:ind w:left="0" w:right="0" w:firstLine="0"/>
                    <w:jc w:val="center"/>
                    <w:rPr>
                      <w:color w:val="auto"/>
                    </w:rPr>
                  </w:pPr>
                  <w:r>
                    <w:rPr>
                      <w:color w:val="auto"/>
                    </w:rPr>
                    <w:t>化学式为C</w:t>
                  </w:r>
                  <w:r>
                    <w:rPr>
                      <w:color w:val="auto"/>
                      <w:vertAlign w:val="subscript"/>
                    </w:rPr>
                    <w:t>16</w:t>
                  </w:r>
                  <w:r>
                    <w:rPr>
                      <w:color w:val="auto"/>
                    </w:rPr>
                    <w:t>H</w:t>
                  </w:r>
                  <w:r>
                    <w:rPr>
                      <w:color w:val="auto"/>
                      <w:vertAlign w:val="subscript"/>
                    </w:rPr>
                    <w:t>18</w:t>
                  </w:r>
                  <w:r>
                    <w:rPr>
                      <w:color w:val="auto"/>
                    </w:rPr>
                    <w:t>N</w:t>
                  </w:r>
                  <w:r>
                    <w:rPr>
                      <w:color w:val="auto"/>
                      <w:vertAlign w:val="subscript"/>
                    </w:rPr>
                    <w:t>3</w:t>
                  </w:r>
                  <w:r>
                    <w:rPr>
                      <w:color w:val="auto"/>
                    </w:rPr>
                    <w:t>ClS，是一种吩噻嗪盐，为深绿色青铜光泽结晶或粉末，可溶于水和乙醇，不溶于醚类。亚甲基蓝在空气中较稳定，其水溶液呈碱性，有毒。亚甲基蓝广泛应用于化学指示剂、染料、生物染色剂和药物等方面。</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甲基红</w:t>
                  </w:r>
                </w:p>
              </w:tc>
              <w:tc>
                <w:tcPr>
                  <w:tcW w:w="3995" w:type="pct"/>
                  <w:tcBorders>
                    <w:left w:val="single" w:sz="4" w:space="0" w:color="auto"/>
                  </w:tcBorders>
                </w:tcPr>
                <w:p>
                  <w:pPr>
                    <w:pStyle w:val="23"/>
                    <w:bidi w:val="0"/>
                    <w:ind w:left="0" w:right="0" w:firstLine="0"/>
                    <w:jc w:val="center"/>
                    <w:rPr>
                      <w:color w:val="auto"/>
                    </w:rPr>
                  </w:pPr>
                  <w:r>
                    <w:rPr>
                      <w:color w:val="auto"/>
                    </w:rPr>
                    <w:t>暗红色结晶，微溶于水，溶于乙醇，pH变色范围4.4-6.2（红→黄）。</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酚酞</w:t>
                  </w:r>
                </w:p>
              </w:tc>
              <w:tc>
                <w:tcPr>
                  <w:tcW w:w="3995" w:type="pct"/>
                  <w:tcBorders>
                    <w:left w:val="single" w:sz="4" w:space="0" w:color="auto"/>
                  </w:tcBorders>
                </w:tcPr>
                <w:p>
                  <w:pPr>
                    <w:pStyle w:val="23"/>
                    <w:bidi w:val="0"/>
                    <w:ind w:left="0" w:right="0" w:firstLine="0"/>
                    <w:jc w:val="center"/>
                    <w:rPr>
                      <w:color w:val="auto"/>
                    </w:rPr>
                  </w:pPr>
                  <w:r>
                    <w:rPr>
                      <w:color w:val="auto"/>
                    </w:rPr>
                    <w:t>白色至微黄色结晶性粉末，溶于乙醇和碱溶液，在乙醚中略溶，极微溶于氯仿，不溶于水，其特性是在酸性和中性溶液中为无色，在碱性溶液中为紫红色。常被人们用作酸碱指示剂。</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碘化钾</w:t>
                  </w:r>
                </w:p>
              </w:tc>
              <w:tc>
                <w:tcPr>
                  <w:tcW w:w="3995" w:type="pct"/>
                  <w:tcBorders>
                    <w:left w:val="single" w:sz="4" w:space="0" w:color="auto"/>
                  </w:tcBorders>
                </w:tcPr>
                <w:p>
                  <w:pPr>
                    <w:pStyle w:val="23"/>
                    <w:bidi w:val="0"/>
                    <w:ind w:left="0" w:right="0" w:firstLine="0"/>
                    <w:jc w:val="center"/>
                    <w:rPr>
                      <w:color w:val="auto"/>
                    </w:rPr>
                  </w:pPr>
                  <w:r>
                    <w:rPr>
                      <w:color w:val="auto"/>
                    </w:rPr>
                    <w:t>化学式为KI，为无色或白色晶体，无臭，有浓苦咸味。药用作利尿剂，加适量于食盐中可防治甲状腺疾病。</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溴甲酚绿</w:t>
                  </w:r>
                </w:p>
              </w:tc>
              <w:tc>
                <w:tcPr>
                  <w:tcW w:w="3995" w:type="pct"/>
                  <w:tcBorders>
                    <w:left w:val="single" w:sz="4" w:space="0" w:color="auto"/>
                  </w:tcBorders>
                </w:tcPr>
                <w:p>
                  <w:pPr>
                    <w:pStyle w:val="23"/>
                    <w:bidi w:val="0"/>
                    <w:ind w:left="0" w:right="0" w:firstLine="0"/>
                    <w:jc w:val="center"/>
                    <w:rPr>
                      <w:color w:val="auto"/>
                    </w:rPr>
                  </w:pPr>
                  <w:r>
                    <w:rPr>
                      <w:color w:val="auto"/>
                    </w:rPr>
                    <w:t>化学式C</w:t>
                  </w:r>
                  <w:r>
                    <w:rPr>
                      <w:color w:val="auto"/>
                      <w:vertAlign w:val="subscript"/>
                    </w:rPr>
                    <w:t>21</w:t>
                  </w:r>
                  <w:r>
                    <w:rPr>
                      <w:color w:val="auto"/>
                    </w:rPr>
                    <w:t>H</w:t>
                  </w:r>
                  <w:r>
                    <w:rPr>
                      <w:color w:val="auto"/>
                      <w:vertAlign w:val="subscript"/>
                    </w:rPr>
                    <w:t>14</w:t>
                  </w:r>
                  <w:r>
                    <w:rPr>
                      <w:color w:val="auto"/>
                    </w:rPr>
                    <w:t>Br</w:t>
                  </w:r>
                  <w:r>
                    <w:rPr>
                      <w:color w:val="auto"/>
                      <w:vertAlign w:val="subscript"/>
                    </w:rPr>
                    <w:t>4</w:t>
                  </w:r>
                  <w:r>
                    <w:rPr>
                      <w:color w:val="auto"/>
                    </w:rPr>
                    <w:t>O</w:t>
                  </w:r>
                  <w:r>
                    <w:rPr>
                      <w:color w:val="auto"/>
                      <w:vertAlign w:val="subscript"/>
                    </w:rPr>
                    <w:t>5</w:t>
                  </w:r>
                  <w:r>
                    <w:rPr>
                      <w:color w:val="auto"/>
                    </w:rPr>
                    <w:t>S，分子量698.02，是一种</w:t>
                  </w:r>
                  <w:r>
                    <w:rPr>
                      <w:color w:val="auto"/>
                    </w:rPr>
                    <w:t>酸碱指示剂。常温下为白色或微黄色结晶，熔点218～219℃，密度2.1±0.1 g/cm³，微溶于水，易溶于乙醇、乙醚等有机溶剂。</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氯化羟胺</w:t>
                  </w:r>
                </w:p>
              </w:tc>
              <w:tc>
                <w:tcPr>
                  <w:tcW w:w="3995" w:type="pct"/>
                  <w:tcBorders>
                    <w:left w:val="single" w:sz="4" w:space="0" w:color="auto"/>
                  </w:tcBorders>
                </w:tcPr>
                <w:p>
                  <w:pPr>
                    <w:pStyle w:val="23"/>
                    <w:bidi w:val="0"/>
                    <w:ind w:left="0" w:right="0" w:firstLine="0"/>
                    <w:jc w:val="center"/>
                    <w:rPr>
                      <w:color w:val="auto"/>
                    </w:rPr>
                  </w:pPr>
                  <w:r>
                    <w:rPr>
                      <w:color w:val="auto"/>
                    </w:rPr>
                    <w:t>化学式为NH</w:t>
                  </w:r>
                  <w:r>
                    <w:rPr>
                      <w:color w:val="auto"/>
                      <w:vertAlign w:val="subscript"/>
                    </w:rPr>
                    <w:t>2</w:t>
                  </w:r>
                  <w:r>
                    <w:rPr>
                      <w:color w:val="auto"/>
                    </w:rPr>
                    <w:t>OH·HCl，是一种无色或类白色结晶固体，有较强引湿性，熔点为154℃，易溶于水，溶于乙醇、甘油、丙三醇，不溶于乙醚。</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酚红</w:t>
                  </w:r>
                </w:p>
              </w:tc>
              <w:tc>
                <w:tcPr>
                  <w:tcW w:w="3995" w:type="pct"/>
                  <w:tcBorders>
                    <w:left w:val="single" w:sz="4" w:space="0" w:color="auto"/>
                  </w:tcBorders>
                </w:tcPr>
                <w:p>
                  <w:pPr>
                    <w:pStyle w:val="23"/>
                    <w:bidi w:val="0"/>
                    <w:ind w:left="0" w:right="0" w:firstLine="0"/>
                    <w:jc w:val="center"/>
                    <w:rPr>
                      <w:color w:val="auto"/>
                    </w:rPr>
                  </w:pPr>
                  <w:r>
                    <w:rPr>
                      <w:color w:val="auto"/>
                    </w:rPr>
                    <w:t>分子式C</w:t>
                  </w:r>
                  <w:r>
                    <w:rPr>
                      <w:color w:val="auto"/>
                      <w:vertAlign w:val="subscript"/>
                    </w:rPr>
                    <w:t>19</w:t>
                  </w:r>
                  <w:r>
                    <w:rPr>
                      <w:color w:val="auto"/>
                    </w:rPr>
                    <w:t>H</w:t>
                  </w:r>
                  <w:r>
                    <w:rPr>
                      <w:color w:val="auto"/>
                      <w:vertAlign w:val="subscript"/>
                    </w:rPr>
                    <w:t>14</w:t>
                  </w:r>
                  <w:r>
                    <w:rPr>
                      <w:color w:val="auto"/>
                    </w:rPr>
                    <w:t>O</w:t>
                  </w:r>
                  <w:r>
                    <w:rPr>
                      <w:color w:val="auto"/>
                      <w:vertAlign w:val="subscript"/>
                    </w:rPr>
                    <w:t>5</w:t>
                  </w:r>
                  <w:r>
                    <w:rPr>
                      <w:color w:val="auto"/>
                    </w:rPr>
                    <w:t>S，分子量354.38，深红色结晶粉末。能溶于乙醇、氢氧化钠和碳酸钠溶液，微溶于水，不溶于三氯甲烷和醚。主要用作酸碱指示剂</w:t>
                  </w:r>
                </w:p>
              </w:tc>
            </w:tr>
            <w:tr>
              <w:trPr>
                <w:trHeight w:val="340"/>
              </w:trPr>
              <w:tc>
                <w:tcPr>
                  <w:tcW w:w="1004" w:type="pc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石油醚（30-60）</w:t>
                  </w:r>
                </w:p>
              </w:tc>
              <w:tc>
                <w:tcPr>
                  <w:tcW w:w="3995" w:type="pct"/>
                  <w:tcBorders>
                    <w:left w:val="single" w:sz="4" w:space="0" w:color="auto"/>
                  </w:tcBorders>
                </w:tcPr>
                <w:p>
                  <w:pPr>
                    <w:pStyle w:val="23"/>
                    <w:bidi w:val="0"/>
                    <w:ind w:left="0" w:right="0" w:firstLine="0"/>
                    <w:jc w:val="center"/>
                    <w:rPr>
                      <w:color w:val="auto"/>
                    </w:rPr>
                  </w:pPr>
                  <w:r>
                    <w:rPr>
                      <w:color w:val="auto"/>
                    </w:rPr>
                    <w:t>石油醚是一种无色、挥发性强的液体。它主要由烷烃、芳烃和环烷烃等碳氢化合物组成。它在常温下易燃，能够与空气形成可燃性混合物。</w:t>
                  </w:r>
                </w:p>
              </w:tc>
            </w:tr>
          </w:tbl>
          <w:p>
            <w:pPr>
              <w:adjustRightInd/>
              <w:spacing w:line="360" w:lineRule="auto"/>
              <w:rPr>
                <w:rFonts w:ascii="Times New Roman" w:cs="Times New Roman" w:hAnsi="Times New Roman"/>
                <w:b/>
                <w:bCs/>
                <w:color w:val="auto"/>
              </w:rPr>
            </w:pPr>
            <w:r>
              <w:rPr>
                <w:rFonts w:ascii="Times New Roman" w:cs="Times New Roman" w:hAnsi="Times New Roman"/>
                <w:b/>
                <w:bCs/>
                <w:color w:val="auto"/>
              </w:rPr>
              <w:t>4、生产规模及产品方案</w:t>
            </w:r>
          </w:p>
          <w:p>
            <w:pPr>
              <w:spacing w:line="360" w:lineRule="auto"/>
              <w:ind w:firstLineChars="200" w:firstLine="480"/>
              <w:rPr>
                <w:color w:val="auto"/>
              </w:rPr>
            </w:pPr>
            <w:r>
              <w:rPr>
                <w:rFonts w:hint="eastAsia"/>
                <w:color w:val="auto"/>
                <w:sz w:val="24"/>
              </w:rPr>
              <w:t>本项目</w:t>
            </w:r>
            <w:r>
              <w:rPr>
                <w:color w:val="auto"/>
                <w:sz w:val="24"/>
              </w:rPr>
              <w:t>完成后全厂生产规模及产品方案见表2-</w:t>
            </w:r>
            <w:r>
              <w:rPr>
                <w:rFonts w:hint="eastAsia"/>
                <w:color w:val="auto"/>
                <w:sz w:val="24"/>
              </w:rPr>
              <w:t>5</w:t>
            </w:r>
            <w:r>
              <w:rPr>
                <w:color w:val="auto"/>
                <w:sz w:val="24"/>
              </w:rPr>
              <w:t>。</w:t>
            </w:r>
          </w:p>
          <w:p>
            <w:pPr>
              <w:pStyle w:val="24"/>
              <w:bidi w:val="0"/>
              <w:rPr>
                <w:color w:val="auto"/>
              </w:rPr>
            </w:pPr>
            <w:r>
              <w:rPr>
                <w:color w:val="auto"/>
              </w:rPr>
              <w:t>表2-</w:t>
            </w:r>
            <w:r>
              <w:rPr>
                <w:rFonts w:hint="eastAsia"/>
                <w:color w:val="auto"/>
              </w:rPr>
              <w:t>5  本项目完成后全厂</w:t>
            </w:r>
            <w:r>
              <w:rPr>
                <w:color w:val="auto"/>
              </w:rPr>
              <w:t>生产规模及产品方案一览表</w:t>
            </w:r>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316"/>
              <w:gridCol w:w="1199"/>
              <w:gridCol w:w="620"/>
              <w:gridCol w:w="461"/>
              <w:gridCol w:w="982"/>
              <w:gridCol w:w="317"/>
              <w:gridCol w:w="4509"/>
            </w:tblGrid>
            <w:tr>
              <w:trPr>
                <w:trHeight w:val="23"/>
              </w:trPr>
              <w:tc>
                <w:tcPr>
                  <w:vMerge w:val="restart"/>
                  <w:tcMar>
                    <w:left w:w="28" w:type="dxa"/>
                    <w:right w:w="28" w:type="dxa"/>
                  </w:tcMar>
                  <w:vAlign w:val="center"/>
                </w:tcPr>
                <w:p>
                  <w:pPr>
                    <w:pStyle w:val="23"/>
                    <w:bidi w:val="0"/>
                    <w:rPr>
                      <w:color w:val="auto"/>
                    </w:rPr>
                  </w:pPr>
                  <w:r>
                    <w:rPr>
                      <w:color w:val="auto"/>
                    </w:rPr>
                    <w:t>序号</w:t>
                  </w:r>
                </w:p>
              </w:tc>
              <w:tc>
                <w:tcPr>
                  <w:vMerge w:val="restart"/>
                  <w:tcMar>
                    <w:left w:w="28" w:type="dxa"/>
                    <w:right w:w="28" w:type="dxa"/>
                  </w:tcMar>
                  <w:vAlign w:val="center"/>
                </w:tcPr>
                <w:p>
                  <w:pPr>
                    <w:pStyle w:val="23"/>
                    <w:bidi w:val="0"/>
                    <w:rPr>
                      <w:color w:val="auto"/>
                    </w:rPr>
                  </w:pPr>
                  <w:r>
                    <w:rPr>
                      <w:color w:val="auto"/>
                    </w:rPr>
                    <w:t>产品名称</w:t>
                  </w:r>
                </w:p>
              </w:tc>
              <w:tc>
                <w:tcPr>
                  <w:gridSpan w:val="3"/>
                  <w:tcMar>
                    <w:left w:w="28" w:type="dxa"/>
                    <w:right w:w="28" w:type="dxa"/>
                  </w:tcMar>
                  <w:vAlign w:val="center"/>
                </w:tcPr>
                <w:p>
                  <w:pPr>
                    <w:pStyle w:val="23"/>
                    <w:bidi w:val="0"/>
                    <w:rPr>
                      <w:color w:val="auto"/>
                    </w:rPr>
                  </w:pPr>
                  <w:r>
                    <w:rPr>
                      <w:color w:val="auto"/>
                    </w:rPr>
                    <w:t>年产量</w:t>
                  </w:r>
                </w:p>
              </w:tc>
              <w:tc>
                <w:tcPr>
                  <w:vMerge w:val="restart"/>
                  <w:tcMar>
                    <w:left w:w="28" w:type="dxa"/>
                    <w:right w:w="28" w:type="dxa"/>
                  </w:tcMar>
                  <w:vAlign w:val="center"/>
                </w:tcPr>
                <w:p>
                  <w:pPr>
                    <w:pStyle w:val="23"/>
                    <w:bidi w:val="0"/>
                    <w:rPr>
                      <w:color w:val="auto"/>
                    </w:rPr>
                  </w:pPr>
                  <w:r>
                    <w:rPr>
                      <w:color w:val="auto"/>
                    </w:rPr>
                    <w:t>单位</w:t>
                  </w:r>
                </w:p>
              </w:tc>
              <w:tc>
                <w:tcPr>
                  <w:vMerge w:val="restart"/>
                  <w:tcMar>
                    <w:left w:w="28" w:type="dxa"/>
                    <w:right w:w="28" w:type="dxa"/>
                  </w:tcMar>
                  <w:vAlign w:val="center"/>
                </w:tcPr>
                <w:p>
                  <w:pPr>
                    <w:pStyle w:val="23"/>
                    <w:bidi w:val="0"/>
                    <w:rPr>
                      <w:color w:val="auto"/>
                    </w:rPr>
                  </w:pPr>
                  <w:r>
                    <w:rPr>
                      <w:rFonts w:hint="eastAsia"/>
                      <w:color w:val="auto"/>
                    </w:rPr>
                    <w:t>备注</w:t>
                  </w:r>
                </w:p>
              </w:tc>
            </w:tr>
            <w:tr>
              <w:trPr>
                <w:trHeight w:val="23"/>
              </w:trPr>
              <w:tc>
                <w:tcPr>
                  <w:vMerge/>
                  <w:tcMar>
                    <w:left w:w="28" w:type="dxa"/>
                    <w:right w:w="28" w:type="dxa"/>
                  </w:tcMar>
                  <w:vAlign w:val="center"/>
                </w:tcPr>
                <w:p/>
              </w:tc>
              <w:tc>
                <w:tcPr>
                  <w:vMerge/>
                  <w:tcBorders>
                    <w:left w:val="single" w:sz="4" w:space="0" w:color="auto"/>
                  </w:tcBorders>
                  <w:tcMar>
                    <w:left w:w="28" w:type="dxa"/>
                    <w:right w:w="28" w:type="dxa"/>
                  </w:tcMar>
                  <w:vAlign w:val="center"/>
                </w:tcP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现有工程</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本项目</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本项目完成后全厂</w:t>
                  </w:r>
                </w:p>
              </w:tc>
              <w:tc>
                <w:tcPr>
                  <w:vMerge/>
                  <w:tcBorders>
                    <w:left w:val="single" w:sz="4" w:space="0" w:color="auto"/>
                  </w:tcBorders>
                  <w:tcMar>
                    <w:left w:w="28" w:type="dxa"/>
                    <w:right w:w="28" w:type="dxa"/>
                  </w:tcMar>
                  <w:vAlign w:val="center"/>
                </w:tcPr>
                <w:p/>
              </w:tc>
              <w:tc>
                <w:tcPr>
                  <w:vMerge/>
                  <w:tcBorders>
                    <w:left w:val="single" w:sz="4" w:space="0" w:color="auto"/>
                  </w:tcBorders>
                  <w:tcMar>
                    <w:left w:w="28" w:type="dxa"/>
                    <w:right w:w="28" w:type="dxa"/>
                  </w:tcMar>
                  <w:vAlign w:val="center"/>
                </w:tcPr>
                <w:p/>
              </w:tc>
            </w:tr>
            <w:tr>
              <w:trPr>
                <w:trHeight w:val="439"/>
              </w:trPr>
              <w:tc>
                <w:tcPr>
                  <w:tcMar>
                    <w:left w:w="28" w:type="dxa"/>
                    <w:right w:w="28" w:type="dxa"/>
                  </w:tcMar>
                  <w:vAlign w:val="center"/>
                </w:tcPr>
                <w:p>
                  <w:pPr>
                    <w:pStyle w:val="23"/>
                    <w:bidi w:val="0"/>
                    <w:rPr>
                      <w:rFonts w:eastAsia="宋体" w:hint="eastAsia"/>
                      <w:color w:val="auto"/>
                      <w:lang w:val="en-US" w:eastAsia="zh-CN"/>
                    </w:rPr>
                  </w:pPr>
                  <w:r>
                    <w:rPr>
                      <w:rFonts w:hint="eastAsia"/>
                      <w:color w:val="auto"/>
                      <w:lang w:val="en-US" w:eastAsia="zh-CN"/>
                    </w:rPr>
                    <w:t>1</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固体型食品添加剂</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2300</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10</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2310</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t/a</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新增喷雾干燥制成的固体型食品添加剂</w:t>
                  </w:r>
                </w:p>
              </w:tc>
            </w:tr>
            <w:tr>
              <w:trPr>
                <w:trHeight w:val="294"/>
              </w:trPr>
              <w:tc>
                <w:tcPr>
                  <w:tcMar>
                    <w:left w:w="28" w:type="dxa"/>
                    <w:right w:w="28" w:type="dxa"/>
                  </w:tcMar>
                  <w:vAlign w:val="center"/>
                </w:tcPr>
                <w:p>
                  <w:pPr>
                    <w:pStyle w:val="23"/>
                    <w:bidi w:val="0"/>
                    <w:rPr>
                      <w:rFonts w:eastAsia="宋体" w:hint="eastAsia"/>
                      <w:color w:val="auto"/>
                      <w:lang w:val="en-US" w:eastAsia="zh-CN"/>
                    </w:rPr>
                  </w:pPr>
                  <w:r>
                    <w:rPr>
                      <w:rFonts w:hint="eastAsia"/>
                      <w:color w:val="auto"/>
                      <w:lang w:val="en-US" w:eastAsia="zh-CN"/>
                    </w:rPr>
                    <w:t>2</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液体型食品添加剂</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200</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-50</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150</w:t>
                  </w:r>
                </w:p>
              </w:tc>
              <w:tc>
                <w:tcPr>
                  <w:tcBorders>
                    <w:left w:val="single" w:sz="4" w:space="0" w:color="auto"/>
                  </w:tcBorders>
                  <w:tcMar>
                    <w:left w:w="28" w:type="dxa"/>
                    <w:right w:w="28" w:type="dxa"/>
                  </w:tcMar>
                  <w:vAlign w:val="center"/>
                </w:tcPr>
                <w:p>
                  <w:pPr>
                    <w:pStyle w:val="25"/>
                    <w:tabs>
                      <w:tab w:val="left" w:pos="1680"/>
                      <w:tab w:val="left" w:pos="3465"/>
                    </w:tabs>
                    <w:bidi w:val="0"/>
                    <w:rPr>
                      <w:color w:val="auto"/>
                    </w:rPr>
                  </w:pPr>
                  <w:r>
                    <w:rPr>
                      <w:rFonts w:hint="eastAsia"/>
                      <w:color w:val="auto"/>
                      <w:lang w:val="en-US" w:eastAsia="zh-CN"/>
                    </w:rPr>
                    <w:t>t/a</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eastAsia="宋体"/>
                      <w:color w:val="auto"/>
                      <w:lang w:val="en-US" w:eastAsia="zh-CN"/>
                    </w:rPr>
                    <w:t>现有液体食品添加剂生产设备生产的液料进行喷雾干燥制成固体食品添加剂，现有液体食品添加剂产能减少</w:t>
                  </w:r>
                </w:p>
              </w:tc>
            </w:tr>
            <w:tr>
              <w:trPr>
                <w:trHeight w:val="23"/>
              </w:trPr>
              <w:tc>
                <w:tcPr>
                  <w:tcMar>
                    <w:left w:w="28" w:type="dxa"/>
                    <w:right w:w="28" w:type="dxa"/>
                  </w:tcMar>
                  <w:vAlign w:val="center"/>
                </w:tcPr>
                <w:p>
                  <w:pPr>
                    <w:pStyle w:val="23"/>
                    <w:bidi w:val="0"/>
                    <w:rPr>
                      <w:rFonts w:eastAsia="宋体" w:hint="eastAsia"/>
                      <w:color w:val="auto"/>
                      <w:lang w:val="en-US" w:eastAsia="zh-CN"/>
                    </w:rPr>
                  </w:pPr>
                  <w:r>
                    <w:rPr>
                      <w:rFonts w:hint="eastAsia"/>
                      <w:color w:val="auto"/>
                      <w:lang w:val="en-US" w:eastAsia="zh-CN"/>
                    </w:rPr>
                    <w:t>3</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乳化型食品添加剂</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100</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0</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100</w:t>
                  </w:r>
                </w:p>
              </w:tc>
              <w:tc>
                <w:tcPr>
                  <w:tcBorders>
                    <w:left w:val="single" w:sz="4" w:space="0" w:color="auto"/>
                  </w:tcBorders>
                  <w:tcMar>
                    <w:left w:w="28" w:type="dxa"/>
                    <w:right w:w="28" w:type="dxa"/>
                  </w:tcMar>
                  <w:vAlign w:val="center"/>
                </w:tcPr>
                <w:p>
                  <w:pPr>
                    <w:pStyle w:val="25"/>
                    <w:tabs>
                      <w:tab w:val="left" w:pos="1680"/>
                      <w:tab w:val="left" w:pos="3465"/>
                    </w:tabs>
                    <w:bidi w:val="0"/>
                    <w:rPr>
                      <w:color w:val="auto"/>
                    </w:rPr>
                  </w:pPr>
                  <w:r>
                    <w:rPr>
                      <w:rFonts w:hint="eastAsia"/>
                      <w:color w:val="auto"/>
                      <w:lang w:val="en-US" w:eastAsia="zh-CN"/>
                    </w:rPr>
                    <w:t>t/a</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w:t>
                  </w:r>
                </w:p>
              </w:tc>
            </w:tr>
            <w:tr>
              <w:trPr>
                <w:trHeight w:val="23"/>
              </w:trPr>
              <w:tc>
                <w:tcPr>
                  <w:tcMar>
                    <w:left w:w="28" w:type="dxa"/>
                    <w:right w:w="28" w:type="dxa"/>
                  </w:tcMar>
                  <w:vAlign w:val="center"/>
                </w:tcPr>
                <w:p>
                  <w:pPr>
                    <w:pStyle w:val="23"/>
                    <w:bidi w:val="0"/>
                    <w:rPr>
                      <w:rFonts w:eastAsia="宋体" w:hint="eastAsia"/>
                      <w:color w:val="auto"/>
                      <w:lang w:val="en-US" w:eastAsia="zh-CN"/>
                    </w:rPr>
                  </w:pPr>
                  <w:r>
                    <w:rPr>
                      <w:rFonts w:hint="eastAsia"/>
                      <w:color w:val="auto"/>
                      <w:lang w:val="en-US" w:eastAsia="zh-CN"/>
                    </w:rPr>
                    <w:t>4</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果汁饮料和含乳饮料</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5000</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0</w:t>
                  </w:r>
                </w:p>
              </w:tc>
              <w:tc>
                <w:tcPr>
                  <w:tcBorders>
                    <w:left w:val="single" w:sz="4" w:space="0" w:color="auto"/>
                  </w:tcBorders>
                  <w:shd w:val="clear" w:color="auto" w:fill="auto"/>
                  <w:tcMar>
                    <w:left w:w="28" w:type="dxa"/>
                    <w:right w:w="28" w:type="dxa"/>
                  </w:tcMar>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5000</w:t>
                  </w:r>
                </w:p>
              </w:tc>
              <w:tc>
                <w:tcPr>
                  <w:tcBorders>
                    <w:left w:val="single" w:sz="4" w:space="0" w:color="auto"/>
                  </w:tcBorders>
                  <w:tcMar>
                    <w:left w:w="28" w:type="dxa"/>
                    <w:right w:w="28" w:type="dxa"/>
                  </w:tcMar>
                  <w:vAlign w:val="center"/>
                </w:tcPr>
                <w:p>
                  <w:pPr>
                    <w:pStyle w:val="25"/>
                    <w:tabs>
                      <w:tab w:val="left" w:pos="1680"/>
                      <w:tab w:val="left" w:pos="3465"/>
                    </w:tabs>
                    <w:bidi w:val="0"/>
                    <w:rPr>
                      <w:color w:val="auto"/>
                    </w:rPr>
                  </w:pPr>
                  <w:r>
                    <w:rPr>
                      <w:rFonts w:hint="eastAsia"/>
                      <w:color w:val="auto"/>
                      <w:lang w:val="en-US" w:eastAsia="zh-CN"/>
                    </w:rPr>
                    <w:t>t/a</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w:t>
                  </w:r>
                </w:p>
              </w:tc>
            </w:tr>
            <w:tr>
              <w:trPr>
                <w:trHeight w:val="23"/>
              </w:trPr>
              <w:tc>
                <w:tcPr>
                  <w:tcMar>
                    <w:left w:w="28" w:type="dxa"/>
                    <w:right w:w="28" w:type="dxa"/>
                  </w:tcMar>
                  <w:vAlign w:val="center"/>
                </w:tcPr>
                <w:p>
                  <w:pPr>
                    <w:pStyle w:val="23"/>
                    <w:bidi w:val="0"/>
                    <w:rPr>
                      <w:rFonts w:eastAsia="宋体" w:hint="eastAsia"/>
                      <w:color w:val="auto"/>
                      <w:lang w:val="en-US" w:eastAsia="zh-CN"/>
                    </w:rPr>
                  </w:pPr>
                  <w:r>
                    <w:rPr>
                      <w:rFonts w:hint="eastAsia"/>
                      <w:color w:val="auto"/>
                      <w:lang w:val="en-US" w:eastAsia="zh-CN"/>
                    </w:rPr>
                    <w:t>5</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eastAsia="宋体"/>
                      <w:color w:val="auto"/>
                      <w:lang w:val="en-US" w:eastAsia="zh-CN"/>
                    </w:rPr>
                    <w:t>果蔬汁（浆）</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0</w:t>
                  </w:r>
                </w:p>
              </w:tc>
              <w:tc>
                <w:tcPr>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200</w:t>
                  </w:r>
                </w:p>
              </w:tc>
              <w:tc>
                <w:tcPr>
                  <w:tcBorders>
                    <w:left w:val="single" w:sz="4" w:space="0" w:color="auto"/>
                  </w:tcBorders>
                  <w:shd w:val="clear" w:color="auto" w:fill="auto"/>
                  <w:tcMar>
                    <w:left w:w="28" w:type="dxa"/>
                    <w:right w:w="28" w:type="dxa"/>
                  </w:tcMar>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200</w:t>
                  </w:r>
                </w:p>
              </w:tc>
              <w:tc>
                <w:tcPr>
                  <w:tcBorders>
                    <w:left w:val="single" w:sz="4" w:space="0" w:color="auto"/>
                  </w:tcBorders>
                  <w:tcMar>
                    <w:left w:w="28" w:type="dxa"/>
                    <w:right w:w="28" w:type="dxa"/>
                  </w:tcMar>
                  <w:vAlign w:val="center"/>
                </w:tcPr>
                <w:p>
                  <w:pPr>
                    <w:pStyle w:val="25"/>
                    <w:tabs>
                      <w:tab w:val="left" w:pos="1680"/>
                      <w:tab w:val="left" w:pos="3465"/>
                    </w:tabs>
                    <w:bidi w:val="0"/>
                    <w:rPr>
                      <w:color w:val="auto"/>
                    </w:rPr>
                  </w:pPr>
                  <w:r>
                    <w:rPr>
                      <w:rFonts w:hint="eastAsia"/>
                      <w:color w:val="auto"/>
                      <w:lang w:val="en-US" w:eastAsia="zh-CN"/>
                    </w:rPr>
                    <w:t>t/a</w:t>
                  </w:r>
                </w:p>
              </w:tc>
              <w:tc>
                <w:tcPr>
                  <w:vMerge w:val="restart"/>
                  <w:tcBorders>
                    <w:left w:val="single" w:sz="4" w:space="0" w:color="auto"/>
                  </w:tcBorders>
                  <w:tcMar>
                    <w:left w:w="28" w:type="dxa"/>
                    <w:right w:w="28" w:type="dxa"/>
                  </w:tcMar>
                  <w:vAlign w:val="center"/>
                </w:tcPr>
                <w:p>
                  <w:pPr>
                    <w:pStyle w:val="23"/>
                    <w:bidi w:val="0"/>
                    <w:rPr>
                      <w:rFonts w:eastAsia="宋体"/>
                      <w:color w:val="auto"/>
                      <w:lang w:val="en-US" w:eastAsia="zh-CN"/>
                    </w:rPr>
                  </w:pPr>
                  <w:r>
                    <w:rPr>
                      <w:rFonts w:hint="eastAsia"/>
                      <w:color w:val="auto"/>
                      <w:lang w:val="en-US" w:eastAsia="zh-CN"/>
                    </w:rPr>
                    <w:t>新增产品</w:t>
                  </w:r>
                </w:p>
              </w:tc>
            </w:tr>
            <w:tr>
              <w:trPr>
                <w:trHeight w:val="23"/>
              </w:trPr>
              <w:tc>
                <w:tcPr>
                  <w:tcMar>
                    <w:left w:w="28" w:type="dxa"/>
                    <w:right w:w="28" w:type="dxa"/>
                  </w:tcMar>
                  <w:vAlign w:val="center"/>
                </w:tcPr>
                <w:p>
                  <w:pPr>
                    <w:pStyle w:val="23"/>
                    <w:bidi w:val="0"/>
                    <w:rPr>
                      <w:rFonts w:eastAsia="宋体" w:hint="eastAsia"/>
                      <w:color w:val="auto"/>
                      <w:lang w:val="en-US" w:eastAsia="zh-CN"/>
                    </w:rPr>
                  </w:pPr>
                  <w:r>
                    <w:rPr>
                      <w:rFonts w:hint="eastAsia"/>
                      <w:color w:val="auto"/>
                      <w:lang w:val="en-US" w:eastAsia="zh-CN"/>
                    </w:rPr>
                    <w:t>6</w:t>
                  </w:r>
                </w:p>
              </w:tc>
              <w:tc>
                <w:tcPr>
                  <w:tcBorders>
                    <w:left w:val="single" w:sz="4" w:space="0" w:color="auto"/>
                  </w:tcBorders>
                  <w:tcMar>
                    <w:left w:w="28" w:type="dxa"/>
                    <w:right w:w="28" w:type="dxa"/>
                  </w:tcMar>
                  <w:vAlign w:val="center"/>
                </w:tcPr>
                <w:p>
                  <w:pPr>
                    <w:pStyle w:val="23"/>
                    <w:bidi w:val="0"/>
                    <w:rPr>
                      <w:rFonts w:hint="eastAsia"/>
                      <w:color w:val="auto"/>
                      <w:lang w:val="en-US" w:eastAsia="zh-CN"/>
                    </w:rPr>
                  </w:pPr>
                  <w:r>
                    <w:rPr>
                      <w:rFonts w:hint="eastAsia"/>
                      <w:color w:val="auto"/>
                      <w:lang w:val="en-US" w:eastAsia="zh-CN"/>
                    </w:rPr>
                    <w:t>浓缩果蔬汁（浆）</w:t>
                  </w:r>
                </w:p>
              </w:tc>
              <w:tc>
                <w:tcPr>
                  <w:tcBorders>
                    <w:left w:val="single" w:sz="4" w:space="0" w:color="auto"/>
                  </w:tcBorders>
                  <w:tcMar>
                    <w:left w:w="28" w:type="dxa"/>
                    <w:right w:w="28" w:type="dxa"/>
                  </w:tcMar>
                  <w:vAlign w:val="center"/>
                </w:tcPr>
                <w:p>
                  <w:pPr>
                    <w:pStyle w:val="23"/>
                    <w:bidi w:val="0"/>
                    <w:rPr>
                      <w:color w:val="auto"/>
                      <w:lang w:val="en-US" w:eastAsia="zh-CN"/>
                    </w:rPr>
                  </w:pPr>
                  <w:r>
                    <w:rPr>
                      <w:rFonts w:hint="eastAsia"/>
                      <w:color w:val="auto"/>
                      <w:lang w:val="en-US" w:eastAsia="zh-CN"/>
                    </w:rPr>
                    <w:t>0</w:t>
                  </w:r>
                </w:p>
              </w:tc>
              <w:tc>
                <w:tcPr>
                  <w:tcBorders>
                    <w:left w:val="single" w:sz="4" w:space="0" w:color="auto"/>
                  </w:tcBorders>
                  <w:tcMar>
                    <w:left w:w="28" w:type="dxa"/>
                    <w:right w:w="28" w:type="dxa"/>
                  </w:tcMar>
                  <w:vAlign w:val="center"/>
                </w:tcPr>
                <w:p>
                  <w:pPr>
                    <w:pStyle w:val="23"/>
                    <w:bidi w:val="0"/>
                    <w:rPr>
                      <w:color w:val="auto"/>
                      <w:lang w:val="en-US" w:eastAsia="zh-CN"/>
                    </w:rPr>
                  </w:pPr>
                  <w:r>
                    <w:rPr>
                      <w:rFonts w:hint="eastAsia"/>
                      <w:color w:val="auto"/>
                      <w:lang w:val="en-US" w:eastAsia="zh-CN"/>
                    </w:rPr>
                    <w:t>150</w:t>
                  </w:r>
                </w:p>
              </w:tc>
              <w:tc>
                <w:tcPr>
                  <w:tcBorders>
                    <w:left w:val="single" w:sz="4" w:space="0" w:color="auto"/>
                  </w:tcBorders>
                  <w:shd w:val="clear" w:color="auto" w:fill="auto"/>
                  <w:tcMar>
                    <w:left w:w="28" w:type="dxa"/>
                    <w:right w:w="28" w:type="dxa"/>
                  </w:tcMar>
                  <w:vAlign w:val="center"/>
                </w:tcPr>
                <w:p>
                  <w:pPr>
                    <w:pStyle w:val="23"/>
                    <w:bidi w:val="0"/>
                    <w:ind w:firstLine="0"/>
                    <w:rPr>
                      <w:color w:val="auto"/>
                      <w:lang w:val="en-US" w:eastAsia="zh-CN"/>
                    </w:rPr>
                  </w:pPr>
                  <w:r>
                    <w:rPr>
                      <w:rFonts w:hint="eastAsia"/>
                      <w:color w:val="auto"/>
                      <w:lang w:val="en-US" w:eastAsia="zh-CN"/>
                    </w:rPr>
                    <w:t>150</w:t>
                  </w:r>
                </w:p>
              </w:tc>
              <w:tc>
                <w:tcPr>
                  <w:tcBorders>
                    <w:left w:val="single" w:sz="4" w:space="0" w:color="auto"/>
                  </w:tcBorders>
                  <w:tcMar>
                    <w:left w:w="28" w:type="dxa"/>
                    <w:right w:w="28" w:type="dxa"/>
                  </w:tcMar>
                  <w:vAlign w:val="center"/>
                </w:tcPr>
                <w:p>
                  <w:pPr>
                    <w:pStyle w:val="25"/>
                    <w:tabs>
                      <w:tab w:val="left" w:pos="1680"/>
                      <w:tab w:val="left" w:pos="3465"/>
                    </w:tabs>
                    <w:bidi w:val="0"/>
                    <w:rPr>
                      <w:color w:val="auto"/>
                    </w:rPr>
                  </w:pPr>
                  <w:r>
                    <w:rPr>
                      <w:rFonts w:hint="eastAsia"/>
                      <w:color w:val="auto"/>
                      <w:lang w:val="en-US" w:eastAsia="zh-CN"/>
                    </w:rPr>
                    <w:t>t/a</w:t>
                  </w:r>
                </w:p>
              </w:tc>
              <w:tc>
                <w:tcPr>
                  <w:vMerge/>
                  <w:tcBorders>
                    <w:left w:val="single" w:sz="4" w:space="0" w:color="auto"/>
                  </w:tcBorders>
                  <w:tcMar>
                    <w:left w:w="28" w:type="dxa"/>
                    <w:right w:w="28" w:type="dxa"/>
                  </w:tcMar>
                  <w:vAlign w:val="center"/>
                </w:tcPr>
                <w:p/>
              </w:tc>
            </w:tr>
          </w:tbl>
          <w:p>
            <w:pPr>
              <w:bidi w:val="0"/>
              <w:rPr>
                <w:color w:val="auto"/>
                <w:lang w:val="en-US" w:eastAsia="zh-CN"/>
              </w:rPr>
            </w:pPr>
            <w:r>
              <w:rPr>
                <w:rFonts w:hint="eastAsia"/>
                <w:color w:val="auto"/>
                <w:lang w:val="en-US" w:eastAsia="zh-CN"/>
              </w:rPr>
              <w:t>食品添加剂质量标准：《食品安全国家标准复配食品添加剂通则》（GB26687-2011）；</w:t>
            </w:r>
          </w:p>
          <w:p>
            <w:pPr>
              <w:bidi w:val="0"/>
              <w:rPr>
                <w:color w:val="auto"/>
                <w:lang w:val="en-US" w:eastAsia="zh-CN"/>
              </w:rPr>
            </w:pPr>
            <w:r>
              <w:rPr>
                <w:rFonts w:hint="eastAsia"/>
                <w:color w:val="auto"/>
                <w:lang w:val="en-US" w:eastAsia="zh-CN"/>
              </w:rPr>
              <w:t>饮料质量标准：《食品安全国家标准 饮料》（GB 7101-2022）</w:t>
            </w:r>
          </w:p>
          <w:p>
            <w:pPr>
              <w:bidi w:val="0"/>
              <w:rPr>
                <w:color w:val="auto"/>
              </w:rPr>
            </w:pPr>
            <w:r>
              <w:rPr>
                <w:color w:val="auto"/>
                <w:lang w:val="en-US" w:eastAsia="zh-CN"/>
              </w:rPr>
              <w:t>果蔬汁（浆）</w:t>
            </w:r>
            <w:r>
              <w:rPr>
                <w:rFonts w:hint="eastAsia"/>
                <w:color w:val="auto"/>
                <w:lang w:val="en-US" w:eastAsia="zh-CN"/>
              </w:rPr>
              <w:t>质量标准：《果蔬汁类及其饮料》（GB/T 31121-2014）。</w:t>
            </w:r>
          </w:p>
          <w:p>
            <w:pPr>
              <w:bidi w:val="0"/>
              <w:rPr>
                <w:b/>
                <w:bCs/>
                <w:color w:val="auto"/>
              </w:rPr>
            </w:pPr>
            <w:r>
              <w:rPr>
                <w:b/>
                <w:bCs/>
                <w:color w:val="auto"/>
              </w:rPr>
              <w:t>5、公用工程</w:t>
            </w:r>
          </w:p>
          <w:p>
            <w:pPr>
              <w:bidi w:val="0"/>
              <w:spacing w:line="360" w:lineRule="auto"/>
              <w:rPr>
                <w:color w:val="auto"/>
              </w:rPr>
            </w:pPr>
            <w:r>
              <w:rPr>
                <w:color w:val="auto"/>
              </w:rPr>
              <w:t>（1）给排水</w:t>
            </w:r>
          </w:p>
          <w:p>
            <w:pPr>
              <w:bidi w:val="0"/>
              <w:rPr>
                <w:rFonts w:hint="eastAsia"/>
                <w:color w:val="auto"/>
                <w:lang w:val="en-US" w:eastAsia="zh-CN"/>
              </w:rPr>
            </w:pPr>
            <w:r>
              <w:rPr>
                <w:rFonts w:hint="eastAsia"/>
                <w:color w:val="auto"/>
                <w:lang w:val="en-US" w:eastAsia="zh-CN"/>
              </w:rPr>
              <w:t>1）本项目：</w:t>
            </w:r>
          </w:p>
          <w:p>
            <w:pPr>
              <w:bidi w:val="0"/>
              <w:rPr>
                <w:rFonts w:hint="eastAsia"/>
                <w:color w:val="auto"/>
                <w:lang w:val="en-US" w:eastAsia="zh-CN"/>
              </w:rPr>
            </w:pPr>
            <w:r>
              <w:rPr>
                <w:rFonts w:hint="eastAsia"/>
                <w:color w:val="auto"/>
                <w:lang w:val="en-US" w:eastAsia="zh-CN"/>
              </w:rPr>
              <w:t>项目用水由园区自来水厂提供，本项目新鲜水用量为60.03m³/d。</w:t>
            </w:r>
          </w:p>
          <w:p>
            <w:pPr>
              <w:bidi w:val="0"/>
              <w:rPr>
                <w:rFonts w:eastAsia="宋体" w:hint="eastAsia"/>
                <w:color w:val="auto"/>
                <w:lang w:eastAsia="zh-CN"/>
              </w:rPr>
            </w:pPr>
            <w:r>
              <w:rPr>
                <w:rFonts w:hint="eastAsia"/>
                <w:color w:val="auto"/>
              </w:rPr>
              <w:t>给水</w:t>
            </w:r>
            <w:r>
              <w:rPr>
                <w:rFonts w:hint="eastAsia"/>
                <w:color w:val="auto"/>
                <w:lang w:eastAsia="zh-CN"/>
              </w:rPr>
              <w:t>：</w:t>
            </w:r>
          </w:p>
          <w:p>
            <w:pPr>
              <w:bidi w:val="0"/>
              <w:rPr>
                <w:rFonts w:ascii="Times New Roman" w:cs="Times New Roman" w:hAnsi="Times New Roman"/>
                <w:color w:val="auto"/>
              </w:rPr>
            </w:pPr>
            <w:r>
              <w:rPr>
                <w:rFonts w:ascii="Times New Roman" w:cs="Times New Roman" w:hAnsi="Times New Roman"/>
                <w:color w:val="auto"/>
              </w:rPr>
              <w:t>本项目生产用水包括</w:t>
            </w:r>
            <w:r>
              <w:rPr>
                <w:rFonts w:ascii="Times New Roman" w:cs="Times New Roman" w:hAnsi="Times New Roman"/>
                <w:color w:val="auto"/>
                <w:lang w:eastAsia="zh-CN"/>
              </w:rPr>
              <w:t>：</w:t>
            </w:r>
            <w:r>
              <w:rPr>
                <w:rFonts w:ascii="Times New Roman" w:cs="Times New Roman" w:hAnsi="Times New Roman"/>
                <w:color w:val="auto"/>
              </w:rPr>
              <w:t>设备冲洗用水</w:t>
            </w:r>
            <w:r>
              <w:rPr>
                <w:rFonts w:cs="Times New Roman" w:hint="eastAsia"/>
                <w:color w:val="auto"/>
                <w:lang w:eastAsia="zh-CN"/>
              </w:rPr>
              <w:t>、</w:t>
            </w:r>
            <w:r>
              <w:rPr>
                <w:rFonts w:cs="Times New Roman" w:hint="eastAsia"/>
                <w:color w:val="auto"/>
                <w:lang w:val="en-US" w:eastAsia="zh-CN"/>
              </w:rPr>
              <w:t>果蔬清洗用水、纯水机用水、蒸汽发生器用水、碱喷淋装置补水</w:t>
            </w:r>
            <w:r>
              <w:rPr>
                <w:rFonts w:ascii="Times New Roman" w:cs="Times New Roman" w:hAnsi="Times New Roman"/>
                <w:color w:val="auto"/>
              </w:rPr>
              <w:t>。</w:t>
            </w:r>
          </w:p>
          <w:p>
            <w:pPr>
              <w:bidi w:val="0"/>
              <w:rPr>
                <w:rFonts w:ascii="Times New Roman" w:cs="Times New Roman" w:hAnsi="Times New Roman"/>
                <w:color w:val="auto"/>
                <w:lang w:val="en-US" w:eastAsia="zh-CN"/>
              </w:rPr>
            </w:pPr>
            <w:r>
              <w:rPr>
                <w:rFonts w:ascii="Times New Roman" w:cs="Times New Roman" w:hAnsi="Times New Roman"/>
                <w:color w:val="auto"/>
              </w:rPr>
              <w:t>①</w:t>
            </w:r>
            <w:r>
              <w:rPr>
                <w:rFonts w:cs="Times New Roman" w:hint="eastAsia"/>
                <w:color w:val="auto"/>
                <w:lang w:val="en-US" w:eastAsia="zh-CN"/>
              </w:rPr>
              <w:t>蒸汽发生器用水：本项目蒸汽发生器用水使用纯水机制出的纯水和回用的蒸汽冷凝水，纯水用量为13.6m³/d，蒸汽冷凝水用量为20m³/d；</w:t>
            </w:r>
          </w:p>
          <w:p>
            <w:pPr>
              <w:bidi w:val="0"/>
              <w:rPr>
                <w:rFonts w:ascii="Times New Roman" w:cs="Times New Roman" w:hAnsi="Times New Roman"/>
                <w:color w:val="auto"/>
                <w:highlight w:val="none"/>
              </w:rPr>
            </w:pPr>
            <w:r>
              <w:rPr>
                <w:rFonts w:ascii="Times New Roman" w:cs="Times New Roman" w:hAnsi="Times New Roman"/>
                <w:color w:val="auto"/>
                <w:highlight w:val="none"/>
              </w:rPr>
              <w:t>②设备冲洗用水：</w:t>
            </w:r>
            <w:r>
              <w:rPr>
                <w:rFonts w:cs="Times New Roman" w:hint="eastAsia"/>
                <w:color w:val="auto"/>
                <w:lang w:val="en-US" w:eastAsia="zh-CN"/>
                <w:highlight w:val="none"/>
              </w:rPr>
              <w:t>根据生产批次，每天约进行5次设备清洗，单台设备清洗用水量为2L/次，则每天</w:t>
            </w:r>
            <w:r>
              <w:rPr>
                <w:rFonts w:ascii="Times New Roman" w:cs="Times New Roman" w:hAnsi="Times New Roman"/>
                <w:color w:val="auto"/>
                <w:lang w:val="en-US" w:eastAsia="zh-CN"/>
                <w:highlight w:val="none"/>
              </w:rPr>
              <w:t>单台设备清洗用水量为</w:t>
            </w:r>
            <w:r>
              <w:rPr>
                <w:rFonts w:cs="Times New Roman" w:hint="eastAsia"/>
                <w:color w:val="auto"/>
                <w:lang w:val="en-US" w:eastAsia="zh-CN"/>
                <w:highlight w:val="none"/>
              </w:rPr>
              <w:t>1</w:t>
            </w:r>
            <w:r>
              <w:rPr>
                <w:rFonts w:ascii="Times New Roman" w:cs="Times New Roman" w:hAnsi="Times New Roman"/>
                <w:color w:val="auto"/>
                <w:lang w:val="en-US" w:eastAsia="zh-CN"/>
                <w:highlight w:val="none"/>
              </w:rPr>
              <w:t>0L/d，本项目需每天清洗的设备共计</w:t>
            </w:r>
            <w:r>
              <w:rPr>
                <w:rFonts w:cs="Times New Roman" w:hint="eastAsia"/>
                <w:color w:val="auto"/>
                <w:lang w:val="en-US" w:eastAsia="zh-CN"/>
                <w:highlight w:val="none"/>
              </w:rPr>
              <w:t>12</w:t>
            </w:r>
            <w:r>
              <w:rPr>
                <w:rFonts w:ascii="Times New Roman" w:cs="Times New Roman" w:hAnsi="Times New Roman"/>
                <w:color w:val="auto"/>
                <w:lang w:val="en-US" w:eastAsia="zh-CN"/>
                <w:highlight w:val="none"/>
              </w:rPr>
              <w:t>套，本项目设备清洗用水为</w:t>
            </w:r>
            <w:r>
              <w:rPr>
                <w:rFonts w:cs="Times New Roman" w:hint="eastAsia"/>
                <w:color w:val="auto"/>
                <w:lang w:val="en-US" w:eastAsia="zh-CN"/>
                <w:highlight w:val="none"/>
              </w:rPr>
              <w:t>0.12</w:t>
            </w:r>
            <w:r>
              <w:rPr>
                <w:rFonts w:ascii="Times New Roman" w:cs="Times New Roman" w:hAnsi="Times New Roman"/>
                <w:color w:val="auto"/>
                <w:lang w:val="en-US" w:eastAsia="zh-CN"/>
                <w:highlight w:val="none"/>
              </w:rPr>
              <w:t>m³/d</w:t>
            </w:r>
            <w:r>
              <w:rPr>
                <w:rFonts w:ascii="Times New Roman" w:cs="Times New Roman" w:hAnsi="Times New Roman" w:hint="eastAsia"/>
                <w:color w:val="auto"/>
                <w:lang w:val="en-US" w:eastAsia="zh-CN"/>
                <w:highlight w:val="none"/>
              </w:rPr>
              <w:t>；</w:t>
            </w:r>
          </w:p>
          <w:p>
            <w:pPr>
              <w:bidi w:val="0"/>
              <w:rPr>
                <w:rFonts w:cs="Times New Roman" w:hint="eastAsia"/>
                <w:color w:val="auto"/>
                <w:lang w:val="en-US" w:eastAsia="zh-CN"/>
                <w:highlight w:val="none"/>
              </w:rPr>
            </w:pPr>
            <w:r>
              <w:rPr>
                <w:rFonts w:ascii="Times New Roman" w:cs="Times New Roman" w:hAnsi="Times New Roman"/>
                <w:color w:val="auto"/>
                <w:highlight w:val="none"/>
              </w:rPr>
              <w:t>③</w:t>
            </w:r>
            <w:r>
              <w:rPr>
                <w:rFonts w:ascii="Times New Roman" w:cs="Times New Roman" w:hAnsi="Times New Roman"/>
                <w:color w:val="auto"/>
                <w:lang w:val="en-US" w:eastAsia="zh-CN"/>
                <w:highlight w:val="none"/>
              </w:rPr>
              <w:t>果蔬清洗用水</w:t>
            </w:r>
            <w:r>
              <w:rPr>
                <w:rFonts w:cs="Times New Roman" w:hint="eastAsia"/>
                <w:color w:val="auto"/>
                <w:lang w:val="en-US" w:eastAsia="zh-CN"/>
                <w:highlight w:val="none"/>
              </w:rPr>
              <w:t>：清洗水槽存水量为2.5m³，根据生产批次每天更换15次，则果蔬清洗用水量为37.5m³/d；</w:t>
            </w:r>
          </w:p>
          <w:p>
            <w:pPr>
              <w:bidi w:val="0"/>
              <w:rPr>
                <w:rFonts w:cs="Times New Roman"/>
                <w:color w:val="auto"/>
                <w:lang w:val="en-US" w:eastAsia="zh-CN"/>
              </w:rPr>
            </w:pPr>
            <w:r>
              <w:rPr>
                <w:rFonts w:cs="Times New Roman" w:hint="eastAsia"/>
                <w:color w:val="auto"/>
                <w:lang w:val="en-US" w:eastAsia="zh-CN"/>
                <w:highlight w:val="none"/>
              </w:rPr>
              <w:t>④</w:t>
            </w:r>
            <w:r>
              <w:rPr>
                <w:rFonts w:cs="Times New Roman" w:hint="eastAsia"/>
                <w:color w:val="auto"/>
                <w:lang w:val="en-US" w:eastAsia="zh-CN"/>
              </w:rPr>
              <w:t>研发实验室用水：研发实验室用水主要用作设备及器具清洗用水，均为新鲜水，根据建设单位提供的资料，研发实验室用量为0.01m³/d。</w:t>
            </w:r>
          </w:p>
          <w:p>
            <w:pPr>
              <w:bidi w:val="0"/>
              <w:rPr>
                <w:rFonts w:cs="Times New Roman" w:hint="eastAsia"/>
                <w:color w:val="auto"/>
                <w:lang w:val="en-US" w:eastAsia="zh-CN"/>
              </w:rPr>
            </w:pPr>
            <w:r>
              <w:rPr>
                <w:rFonts w:cs="Times New Roman" w:hint="eastAsia"/>
                <w:color w:val="auto"/>
                <w:lang w:val="en-US" w:eastAsia="zh-CN"/>
              </w:rPr>
              <w:t>⑤检测实验室用水：检测实验室用水主要为样品预处理及试剂配备、实验室器具清洗用水、仪器设备用水（水浴用水、蒸汽灭菌用水），均使用外购的纯水，根据建设单位提供的资料，检测实验室纯水用量为0.01m³/d，其中仪器设备用水量为0.004m³/d，样品预处理及试剂配备、实验室器具清洗用水量为0.006m³/d。</w:t>
            </w:r>
          </w:p>
          <w:p>
            <w:pPr>
              <w:bidi w:val="0"/>
              <w:rPr>
                <w:rFonts w:cs="Times New Roman" w:hint="eastAsia"/>
                <w:color w:val="auto"/>
                <w:lang w:val="en-US" w:eastAsia="zh-CN"/>
              </w:rPr>
            </w:pPr>
            <w:r>
              <w:rPr>
                <w:rFonts w:cs="Times New Roman" w:hint="eastAsia"/>
                <w:color w:val="auto"/>
                <w:lang w:val="en-US" w:eastAsia="zh-CN"/>
              </w:rPr>
              <w:t>⑥纯水机</w:t>
            </w:r>
          </w:p>
          <w:p>
            <w:pPr>
              <w:bidi w:val="0"/>
              <w:rPr>
                <w:rFonts w:cs="Times New Roman" w:hint="eastAsia"/>
                <w:color w:val="auto"/>
                <w:lang w:val="en-US" w:eastAsia="zh-CN"/>
              </w:rPr>
            </w:pPr>
            <w:r>
              <w:rPr>
                <w:rFonts w:cs="Times New Roman" w:hint="eastAsia"/>
                <w:color w:val="auto"/>
                <w:lang w:val="en-US" w:eastAsia="zh-CN"/>
              </w:rPr>
              <w:t>本项目纯水总用量为13.6m³/d，</w:t>
            </w:r>
            <w:r>
              <w:rPr>
                <w:rFonts w:cs="Times New Roman"/>
                <w:color w:val="auto"/>
                <w:lang w:val="en-US" w:eastAsia="zh-CN"/>
              </w:rPr>
              <w:t>纯水制备率为70%，则新鲜水用量为</w:t>
            </w:r>
            <w:r>
              <w:rPr>
                <w:rFonts w:cs="Times New Roman" w:hint="eastAsia"/>
                <w:color w:val="auto"/>
                <w:lang w:val="en-US" w:eastAsia="zh-CN"/>
              </w:rPr>
              <w:t>19.4</w:t>
            </w:r>
            <w:r>
              <w:rPr>
                <w:rFonts w:cs="Times New Roman"/>
                <w:color w:val="auto"/>
                <w:lang w:val="en-US" w:eastAsia="zh-CN"/>
              </w:rPr>
              <w:t>m³/d</w:t>
            </w:r>
            <w:r>
              <w:rPr>
                <w:rFonts w:cs="Times New Roman" w:hint="eastAsia"/>
                <w:color w:val="auto"/>
                <w:lang w:val="en-US" w:eastAsia="zh-CN"/>
              </w:rPr>
              <w:t>；</w:t>
            </w:r>
          </w:p>
          <w:p>
            <w:pPr>
              <w:bidi w:val="0"/>
              <w:rPr>
                <w:rFonts w:cs="Times New Roman" w:hint="eastAsia"/>
                <w:color w:val="auto"/>
                <w:lang w:val="en-US" w:eastAsia="zh-CN"/>
              </w:rPr>
            </w:pPr>
            <w:r>
              <w:rPr>
                <w:rFonts w:cs="Times New Roman" w:hint="eastAsia"/>
                <w:color w:val="auto"/>
                <w:lang w:val="en-US" w:eastAsia="zh-CN"/>
              </w:rPr>
              <w:t>⑦碱喷淋装置补水</w:t>
            </w:r>
          </w:p>
          <w:p>
            <w:pPr>
              <w:bidi w:val="0"/>
              <w:rPr>
                <w:rFonts w:cs="Times New Roman"/>
                <w:color w:val="auto"/>
                <w:lang w:val="en-US" w:eastAsia="zh-CN"/>
              </w:rPr>
            </w:pPr>
            <w:r>
              <w:rPr>
                <w:rFonts w:cs="Times New Roman" w:hint="eastAsia"/>
                <w:color w:val="auto"/>
                <w:lang w:val="en-US" w:eastAsia="zh-CN"/>
              </w:rPr>
              <w:t>碱喷淋装置定期补充部分新鲜水，补充水量为3m³/d。</w:t>
            </w:r>
          </w:p>
          <w:p>
            <w:pPr>
              <w:bidi w:val="0"/>
              <w:rPr>
                <w:rFonts w:ascii="Times New Roman" w:eastAsia="宋体" w:cs="Times New Roman" w:hAnsi="Times New Roman" w:hint="eastAsia"/>
                <w:color w:val="auto"/>
                <w:lang w:eastAsia="zh-CN"/>
              </w:rPr>
            </w:pPr>
            <w:r>
              <w:rPr>
                <w:rFonts w:ascii="Times New Roman" w:cs="Times New Roman" w:hAnsi="Times New Roman"/>
                <w:color w:val="auto"/>
              </w:rPr>
              <w:t>排水</w:t>
            </w:r>
            <w:r>
              <w:rPr>
                <w:rFonts w:cs="Times New Roman" w:hint="eastAsia"/>
                <w:color w:val="auto"/>
                <w:lang w:eastAsia="zh-CN"/>
              </w:rPr>
              <w:t>：</w:t>
            </w:r>
          </w:p>
          <w:p>
            <w:pPr>
              <w:bidi w:val="0"/>
              <w:rPr>
                <w:rFonts w:ascii="Times New Roman" w:cs="Times New Roman" w:hAnsi="Times New Roman"/>
                <w:color w:val="auto"/>
              </w:rPr>
            </w:pPr>
            <w:r>
              <w:rPr>
                <w:rFonts w:ascii="Times New Roman" w:cs="Times New Roman" w:hAnsi="Times New Roman"/>
                <w:color w:val="auto"/>
              </w:rPr>
              <w:t>本项目产生的废水主要为设备冲洗废水</w:t>
            </w:r>
            <w:r>
              <w:rPr>
                <w:rFonts w:ascii="Times New Roman" w:cs="Times New Roman" w:hAnsi="Times New Roman"/>
                <w:color w:val="auto"/>
                <w:lang w:eastAsia="zh-CN"/>
              </w:rPr>
              <w:t>、</w:t>
            </w:r>
            <w:r>
              <w:rPr>
                <w:rFonts w:ascii="Times New Roman" w:cs="Times New Roman" w:hAnsi="Times New Roman"/>
                <w:color w:val="auto"/>
                <w:lang w:val="en-US" w:eastAsia="zh-CN"/>
              </w:rPr>
              <w:t>果蔬</w:t>
            </w:r>
            <w:r>
              <w:rPr>
                <w:rFonts w:ascii="Times New Roman" w:cs="Times New Roman" w:hAnsi="Times New Roman"/>
                <w:color w:val="auto"/>
              </w:rPr>
              <w:t>清洗废水、</w:t>
            </w:r>
            <w:r>
              <w:rPr>
                <w:rFonts w:ascii="Times New Roman" w:cs="Times New Roman" w:hAnsi="Times New Roman"/>
                <w:color w:val="auto"/>
                <w:lang w:val="en-US" w:eastAsia="zh-CN"/>
              </w:rPr>
              <w:t>研发实验室</w:t>
            </w:r>
            <w:r>
              <w:rPr>
                <w:rFonts w:cs="Times New Roman" w:hint="eastAsia"/>
                <w:color w:val="auto"/>
                <w:lang w:val="en-US" w:eastAsia="zh-CN"/>
              </w:rPr>
              <w:t>废水</w:t>
            </w:r>
            <w:r>
              <w:rPr>
                <w:rFonts w:cs="Times New Roman" w:hint="eastAsia"/>
                <w:color w:val="auto"/>
                <w:lang w:eastAsia="zh-CN"/>
              </w:rPr>
              <w:t>、</w:t>
            </w:r>
            <w:r>
              <w:rPr>
                <w:rFonts w:cs="Times New Roman" w:hint="eastAsia"/>
                <w:color w:val="auto"/>
                <w:lang w:val="en-US" w:eastAsia="zh-CN"/>
              </w:rPr>
              <w:t>检测实验室废水</w:t>
            </w:r>
            <w:r>
              <w:rPr>
                <w:rFonts w:cs="Times New Roman" w:hint="eastAsia"/>
                <w:color w:val="auto"/>
                <w:lang w:eastAsia="zh-CN"/>
              </w:rPr>
              <w:t>、</w:t>
            </w:r>
            <w:r>
              <w:rPr>
                <w:rFonts w:cs="Times New Roman" w:hint="eastAsia"/>
                <w:color w:val="auto"/>
                <w:lang w:val="en-US" w:eastAsia="zh-CN"/>
              </w:rPr>
              <w:t>纯水机废水及蒸汽发生器排水</w:t>
            </w:r>
            <w:r>
              <w:rPr>
                <w:rFonts w:ascii="Times New Roman" w:cs="Times New Roman" w:hAnsi="Times New Roman"/>
                <w:color w:val="auto"/>
              </w:rPr>
              <w:t>。</w:t>
            </w:r>
          </w:p>
          <w:p>
            <w:pPr>
              <w:bidi w:val="0"/>
              <w:rPr>
                <w:rFonts w:ascii="Times New Roman" w:cs="Times New Roman" w:hAnsi="Times New Roman"/>
                <w:color w:val="auto"/>
                <w:highlight w:val="yellow"/>
              </w:rPr>
            </w:pPr>
            <w:r>
              <w:rPr>
                <w:rFonts w:ascii="Times New Roman" w:cs="Times New Roman" w:hAnsi="Times New Roman"/>
                <w:color w:val="auto"/>
                <w:highlight w:val="none"/>
              </w:rPr>
              <w:t>①</w:t>
            </w:r>
            <w:r>
              <w:rPr>
                <w:rFonts w:cs="Times New Roman" w:hint="eastAsia"/>
                <w:color w:val="auto"/>
                <w:lang w:val="en-US" w:eastAsia="zh-CN"/>
                <w:highlight w:val="none"/>
              </w:rPr>
              <w:t>纯水机废</w:t>
            </w:r>
            <w:r>
              <w:rPr>
                <w:rFonts w:ascii="Times New Roman" w:cs="Times New Roman" w:hAnsi="Times New Roman"/>
                <w:color w:val="auto"/>
                <w:lang w:val="en-US" w:eastAsia="zh-CN"/>
                <w:highlight w:val="none"/>
              </w:rPr>
              <w:t>水</w:t>
            </w:r>
            <w:r>
              <w:rPr>
                <w:rFonts w:ascii="Times New Roman" w:cs="Times New Roman" w:hAnsi="Times New Roman"/>
                <w:color w:val="auto"/>
                <w:highlight w:val="none"/>
              </w:rPr>
              <w:t>：</w:t>
            </w:r>
            <w:r>
              <w:rPr>
                <w:rFonts w:ascii="Times New Roman" w:cs="Times New Roman" w:hAnsi="Times New Roman"/>
                <w:color w:val="auto"/>
                <w:lang w:val="en-US" w:eastAsia="zh-CN"/>
                <w:highlight w:val="none"/>
              </w:rPr>
              <w:t>水处理机组浓水产生量</w:t>
            </w:r>
            <w:r>
              <w:rPr>
                <w:rFonts w:ascii="Times New Roman" w:cs="Times New Roman" w:hAnsi="Times New Roman"/>
                <w:color w:val="auto"/>
                <w:highlight w:val="none"/>
              </w:rPr>
              <w:t>为</w:t>
            </w:r>
            <w:r>
              <w:rPr>
                <w:rFonts w:cs="Times New Roman" w:hint="eastAsia"/>
                <w:color w:val="auto"/>
                <w:lang w:val="en-US" w:eastAsia="zh-CN"/>
                <w:highlight w:val="none"/>
              </w:rPr>
              <w:t>5.8</w:t>
            </w:r>
            <w:r>
              <w:rPr>
                <w:rFonts w:ascii="Times New Roman" w:cs="Times New Roman" w:hAnsi="Times New Roman"/>
                <w:color w:val="auto"/>
                <w:lang w:val="en-US" w:eastAsia="zh-CN"/>
                <w:highlight w:val="none"/>
              </w:rPr>
              <w:t>m³/d</w:t>
            </w:r>
            <w:r>
              <w:rPr>
                <w:rFonts w:ascii="Times New Roman" w:cs="Times New Roman" w:hAnsi="Times New Roman"/>
                <w:color w:val="auto"/>
                <w:highlight w:val="none"/>
              </w:rPr>
              <w:t>；</w:t>
            </w:r>
          </w:p>
          <w:p>
            <w:pPr>
              <w:bidi w:val="0"/>
              <w:rPr>
                <w:rFonts w:ascii="Times New Roman" w:cs="Times New Roman" w:hAnsi="Times New Roman"/>
                <w:color w:val="auto"/>
              </w:rPr>
            </w:pPr>
            <w:r>
              <w:rPr>
                <w:rFonts w:ascii="Times New Roman" w:cs="Times New Roman" w:hAnsi="Times New Roman"/>
                <w:color w:val="auto"/>
              </w:rPr>
              <w:t>②设备冲洗废水：设备冲洗废水</w:t>
            </w:r>
            <w:r>
              <w:rPr>
                <w:rFonts w:ascii="Times New Roman" w:cs="Times New Roman" w:hAnsi="Times New Roman"/>
                <w:color w:val="auto"/>
                <w:lang w:val="en-US" w:eastAsia="zh-CN"/>
              </w:rPr>
              <w:t>产生量</w:t>
            </w:r>
            <w:r>
              <w:rPr>
                <w:rFonts w:ascii="Times New Roman" w:cs="Times New Roman" w:hAnsi="Times New Roman"/>
                <w:color w:val="auto"/>
              </w:rPr>
              <w:t>按用水量的80%计，为</w:t>
            </w:r>
            <w:r>
              <w:rPr>
                <w:rFonts w:cs="Times New Roman" w:hint="eastAsia"/>
                <w:color w:val="auto"/>
                <w:lang w:val="en-US" w:eastAsia="zh-CN"/>
              </w:rPr>
              <w:t>0.1</w:t>
            </w:r>
            <w:r>
              <w:rPr>
                <w:rFonts w:ascii="Times New Roman" w:cs="Times New Roman" w:hAnsi="Times New Roman"/>
                <w:color w:val="auto"/>
                <w:lang w:val="en-US" w:eastAsia="zh-CN"/>
              </w:rPr>
              <w:t>m³</w:t>
            </w:r>
            <w:r>
              <w:rPr>
                <w:rFonts w:ascii="Times New Roman" w:cs="Times New Roman" w:hAnsi="Times New Roman"/>
                <w:color w:val="auto"/>
              </w:rPr>
              <w:t>/d；</w:t>
            </w:r>
          </w:p>
          <w:p>
            <w:pPr>
              <w:bidi w:val="0"/>
              <w:rPr>
                <w:rFonts w:ascii="Times New Roman" w:cs="Times New Roman" w:hAnsi="Times New Roman"/>
                <w:color w:val="auto"/>
              </w:rPr>
            </w:pPr>
            <w:r>
              <w:rPr>
                <w:rFonts w:ascii="Times New Roman" w:cs="Times New Roman" w:hAnsi="Times New Roman"/>
                <w:color w:val="auto"/>
              </w:rPr>
              <w:t>③</w:t>
            </w:r>
            <w:r>
              <w:rPr>
                <w:rFonts w:cs="Times New Roman" w:hint="eastAsia"/>
                <w:color w:val="auto"/>
                <w:lang w:val="en-US" w:eastAsia="zh-CN"/>
              </w:rPr>
              <w:t>蒸汽发生器</w:t>
            </w:r>
            <w:r>
              <w:rPr>
                <w:rFonts w:ascii="Times New Roman" w:cs="Times New Roman" w:hAnsi="Times New Roman"/>
                <w:color w:val="auto"/>
                <w:lang w:val="en-US" w:eastAsia="zh-CN"/>
              </w:rPr>
              <w:t>排水</w:t>
            </w:r>
            <w:r>
              <w:rPr>
                <w:rFonts w:ascii="Times New Roman" w:cs="Times New Roman" w:hAnsi="Times New Roman"/>
                <w:color w:val="auto"/>
              </w:rPr>
              <w:t>：</w:t>
            </w:r>
            <w:r>
              <w:rPr>
                <w:rFonts w:cs="Times New Roman" w:hint="eastAsia"/>
                <w:color w:val="auto"/>
                <w:lang w:val="en-US" w:eastAsia="zh-CN"/>
              </w:rPr>
              <w:t>蒸汽发生器定期排水量为1.6</w:t>
            </w:r>
            <w:r>
              <w:rPr>
                <w:rFonts w:ascii="Times New Roman" w:cs="Times New Roman" w:hAnsi="Times New Roman"/>
                <w:color w:val="auto"/>
                <w:lang w:val="en-US" w:eastAsia="zh-CN"/>
              </w:rPr>
              <w:t>m³</w:t>
            </w:r>
            <w:r>
              <w:rPr>
                <w:rFonts w:ascii="Times New Roman" w:cs="Times New Roman" w:hAnsi="Times New Roman"/>
                <w:color w:val="auto"/>
              </w:rPr>
              <w:t>/d；</w:t>
            </w:r>
          </w:p>
          <w:p>
            <w:pPr>
              <w:bidi w:val="0"/>
              <w:rPr>
                <w:rFonts w:ascii="Times New Roman" w:eastAsia="宋体" w:cs="Times New Roman" w:hAnsi="Times New Roman" w:hint="eastAsia"/>
                <w:color w:val="auto"/>
                <w:lang w:eastAsia="zh-CN"/>
                <w:highlight w:val="none"/>
              </w:rPr>
            </w:pPr>
            <w:r>
              <w:rPr>
                <w:rFonts w:ascii="Times New Roman" w:cs="Times New Roman" w:hAnsi="Times New Roman"/>
                <w:color w:val="auto"/>
                <w:highlight w:val="none"/>
              </w:rPr>
              <w:t>④</w:t>
            </w:r>
            <w:r>
              <w:rPr>
                <w:rFonts w:ascii="Times New Roman" w:cs="Times New Roman" w:hAnsi="Times New Roman"/>
                <w:color w:val="auto"/>
                <w:lang w:val="en-US" w:eastAsia="zh-CN"/>
                <w:highlight w:val="none"/>
              </w:rPr>
              <w:t>果蔬</w:t>
            </w:r>
            <w:r>
              <w:rPr>
                <w:rFonts w:ascii="Times New Roman" w:cs="Times New Roman" w:hAnsi="Times New Roman"/>
                <w:color w:val="auto"/>
                <w:highlight w:val="none"/>
              </w:rPr>
              <w:t>清洗废水：</w:t>
            </w:r>
            <w:r>
              <w:rPr>
                <w:rFonts w:ascii="Times New Roman" w:cs="Times New Roman" w:hAnsi="Times New Roman"/>
                <w:color w:val="auto"/>
                <w:lang w:val="en-US" w:eastAsia="zh-CN"/>
                <w:highlight w:val="none"/>
              </w:rPr>
              <w:t>果蔬</w:t>
            </w:r>
            <w:r>
              <w:rPr>
                <w:rFonts w:ascii="Times New Roman" w:cs="Times New Roman" w:hAnsi="Times New Roman"/>
                <w:color w:val="auto"/>
                <w:highlight w:val="none"/>
              </w:rPr>
              <w:t>清洗废水的产生量</w:t>
            </w:r>
            <w:r>
              <w:rPr>
                <w:rFonts w:cs="Times New Roman" w:hint="eastAsia"/>
                <w:color w:val="auto"/>
                <w:lang w:val="en-US" w:eastAsia="zh-CN"/>
                <w:highlight w:val="none"/>
              </w:rPr>
              <w:t>以</w:t>
            </w:r>
            <w:r>
              <w:rPr>
                <w:rFonts w:ascii="Times New Roman" w:cs="Times New Roman" w:hAnsi="Times New Roman"/>
                <w:color w:val="auto"/>
                <w:highlight w:val="none"/>
              </w:rPr>
              <w:t>用水量的80%计，为</w:t>
            </w:r>
            <w:r>
              <w:rPr>
                <w:rFonts w:cs="Times New Roman" w:hint="eastAsia"/>
                <w:color w:val="auto"/>
                <w:lang w:val="en-US" w:eastAsia="zh-CN"/>
                <w:highlight w:val="none"/>
              </w:rPr>
              <w:t>30</w:t>
            </w:r>
            <w:r>
              <w:rPr>
                <w:rFonts w:ascii="Times New Roman" w:cs="Times New Roman" w:hAnsi="Times New Roman"/>
                <w:color w:val="auto"/>
                <w:lang w:val="en-US" w:eastAsia="zh-CN"/>
                <w:highlight w:val="none"/>
              </w:rPr>
              <w:t>m³</w:t>
            </w:r>
            <w:r>
              <w:rPr>
                <w:rFonts w:ascii="Times New Roman" w:cs="Times New Roman" w:hAnsi="Times New Roman"/>
                <w:color w:val="auto"/>
                <w:highlight w:val="none"/>
              </w:rPr>
              <w:t>/d</w:t>
            </w:r>
            <w:r>
              <w:rPr>
                <w:rFonts w:cs="Times New Roman" w:hint="eastAsia"/>
                <w:color w:val="auto"/>
                <w:lang w:eastAsia="zh-CN"/>
                <w:highlight w:val="none"/>
              </w:rPr>
              <w:t>；</w:t>
            </w:r>
          </w:p>
          <w:p>
            <w:pPr>
              <w:bidi w:val="0"/>
              <w:rPr>
                <w:rFonts w:ascii="Times New Roman" w:cs="Times New Roman" w:hAnsi="Times New Roman"/>
                <w:color w:val="auto"/>
                <w:lang w:val="en-US"/>
                <w:highlight w:val="none"/>
              </w:rPr>
            </w:pPr>
            <w:r>
              <w:rPr>
                <w:rFonts w:ascii="Times New Roman" w:cs="Times New Roman" w:hAnsi="Times New Roman"/>
                <w:color w:val="auto"/>
                <w:lang w:val="en-US" w:eastAsia="zh-CN"/>
                <w:highlight w:val="none"/>
              </w:rPr>
              <w:t>⑤研发实验室</w:t>
            </w:r>
            <w:r>
              <w:rPr>
                <w:rFonts w:cs="Times New Roman" w:hint="eastAsia"/>
                <w:color w:val="auto"/>
                <w:lang w:val="en-US" w:eastAsia="zh-CN"/>
                <w:highlight w:val="none"/>
              </w:rPr>
              <w:t>废水：研发实验室废水主要为设备及器具清洗废水，产生量为0.01m³/d；</w:t>
            </w:r>
          </w:p>
          <w:p>
            <w:pPr>
              <w:bidi w:val="0"/>
              <w:rPr>
                <w:rFonts w:cs="Times New Roman" w:hint="eastAsia"/>
                <w:color w:val="auto"/>
                <w:lang w:val="en-US" w:eastAsia="zh-CN"/>
                <w:highlight w:val="none"/>
              </w:rPr>
            </w:pPr>
            <w:r>
              <w:rPr>
                <w:rFonts w:cs="Times New Roman" w:hint="eastAsia"/>
                <w:color w:val="auto"/>
                <w:lang w:val="en-US" w:eastAsia="zh-CN"/>
                <w:highlight w:val="none"/>
              </w:rPr>
              <w:t>⑥检测实验室废水：仪器设备用水（水浴用水、蒸汽灭菌用水）化为水蒸气全部损耗，水量为0.004m³/d，样品预处理及试剂配备、实验室器具清洗废水因会沾染试剂，全部作为危险废物处置，水量为0.006m³/d。</w:t>
            </w:r>
          </w:p>
          <w:p>
            <w:pPr>
              <w:bidi w:val="0"/>
              <w:rPr>
                <w:rFonts w:cs="Times New Roman" w:hint="eastAsia"/>
                <w:color w:val="auto"/>
                <w:lang w:val="en-US" w:eastAsia="zh-CN"/>
                <w:highlight w:val="none"/>
              </w:rPr>
            </w:pPr>
            <w:r>
              <w:rPr>
                <w:rFonts w:cs="Times New Roman" w:hint="eastAsia"/>
                <w:color w:val="auto"/>
                <w:lang w:val="en-US" w:eastAsia="zh-CN"/>
                <w:highlight w:val="none"/>
              </w:rPr>
              <w:t>⑦碱喷淋装置排水：项目污水处理站扩容后恶臭污染物产生量增加，因此碱喷淋装置定期排水量会增加，排水量为3m³/d（现有工程排水量为1.5m³，本次扩建后排水量新增1.5m³/d，总排水量为3m³/d）。</w:t>
            </w:r>
          </w:p>
          <w:p>
            <w:pPr>
              <w:bidi w:val="0"/>
              <w:rPr>
                <w:rFonts w:cs="Times New Roman" w:hint="eastAsia"/>
                <w:color w:val="auto"/>
                <w:lang w:val="en-US" w:eastAsia="zh-CN"/>
                <w:highlight w:val="none"/>
              </w:rPr>
            </w:pPr>
            <w:r>
              <w:rPr>
                <w:rFonts w:cs="Times New Roman" w:hint="eastAsia"/>
                <w:color w:val="auto"/>
                <w:lang w:val="en-US" w:eastAsia="zh-CN"/>
                <w:highlight w:val="none"/>
              </w:rPr>
              <w:t>⑧浓缩过滤废水：本项目浓缩过滤采用反渗透工艺进行浓缩，根据工艺设计浓缩过程约去除果汁中50%的水，用于生产浓缩果蔬汁（浆）的果汁量为300吨，则浓缩过滤废水产生量为150m³/a（0.5m³/d）。</w:t>
            </w:r>
          </w:p>
          <w:p>
            <w:pPr>
              <w:bidi w:val="0"/>
              <w:rPr>
                <w:rFonts w:cs="Times New Roman" w:hint="eastAsia"/>
                <w:color w:val="auto"/>
                <w:lang w:val="en-US" w:eastAsia="zh-CN"/>
                <w:highlight w:val="none"/>
              </w:rPr>
            </w:pPr>
          </w:p>
          <w:p>
            <w:pPr>
              <w:pStyle w:val="24"/>
              <w:bidi w:val="0"/>
              <w:rPr>
                <w:color w:val="auto"/>
                <w:lang w:val="en-US" w:eastAsia="zh-CN"/>
              </w:rPr>
            </w:pPr>
            <w:r>
              <w:rPr>
                <w:color w:val="auto"/>
                <w:lang w:val="en-US" w:eastAsia="zh-CN"/>
              </w:rPr>
              <w:t>表2-6  本项目给排水平衡表          单位：m³/d</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484"/>
              <w:gridCol w:w="879"/>
              <w:gridCol w:w="902"/>
              <w:gridCol w:w="932"/>
              <w:gridCol w:w="932"/>
              <w:gridCol w:w="932"/>
              <w:gridCol w:w="1163"/>
              <w:gridCol w:w="1169"/>
            </w:tblGrid>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用水项目</w:t>
                  </w:r>
                </w:p>
              </w:tc>
              <w:tc>
                <w:tcPr>
                  <w:tcW w:w="523" w:type="pct"/>
                  <w:tcBorders>
                    <w:tl2br w:val="nil"/>
                    <w:tr2bl w:val="nil"/>
                  </w:tcBorders>
                  <w:vAlign w:val="center"/>
                </w:tcPr>
                <w:p>
                  <w:pPr>
                    <w:pStyle w:val="23"/>
                    <w:bidi w:val="0"/>
                    <w:rPr>
                      <w:color w:val="auto"/>
                      <w:lang w:val="en-US" w:eastAsia="zh-CN"/>
                    </w:rPr>
                  </w:pPr>
                  <w:r>
                    <w:rPr>
                      <w:color w:val="auto"/>
                      <w:lang w:val="en-US" w:eastAsia="zh-CN"/>
                    </w:rPr>
                    <w:t>总用水量</w:t>
                  </w:r>
                </w:p>
              </w:tc>
              <w:tc>
                <w:tcPr>
                  <w:tcW w:w="537" w:type="pct"/>
                  <w:tcBorders>
                    <w:tl2br w:val="nil"/>
                    <w:tr2bl w:val="nil"/>
                  </w:tcBorders>
                  <w:vAlign w:val="center"/>
                </w:tcPr>
                <w:p>
                  <w:pPr>
                    <w:pStyle w:val="23"/>
                    <w:bidi w:val="0"/>
                    <w:rPr>
                      <w:color w:val="auto"/>
                      <w:lang w:val="en-US" w:eastAsia="zh-CN"/>
                    </w:rPr>
                  </w:pPr>
                  <w:r>
                    <w:rPr>
                      <w:color w:val="auto"/>
                      <w:lang w:val="en-US" w:eastAsia="zh-CN"/>
                    </w:rPr>
                    <w:t>新鲜水量</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纯水用量</w:t>
                  </w:r>
                </w:p>
              </w:tc>
              <w:tc>
                <w:tcPr>
                  <w:tcW w:w="555" w:type="pct"/>
                  <w:tcBorders>
                    <w:tl2br w:val="nil"/>
                    <w:tr2bl w:val="nil"/>
                  </w:tcBorders>
                  <w:vAlign w:val="center"/>
                </w:tcPr>
                <w:p>
                  <w:pPr>
                    <w:pStyle w:val="23"/>
                    <w:bidi w:val="0"/>
                    <w:rPr>
                      <w:color w:val="auto"/>
                      <w:lang w:val="en-US" w:eastAsia="zh-CN"/>
                    </w:rPr>
                  </w:pPr>
                  <w:r>
                    <w:rPr>
                      <w:color w:val="auto"/>
                      <w:lang w:val="en-US" w:eastAsia="zh-CN"/>
                    </w:rPr>
                    <w:t>循环水量</w:t>
                  </w:r>
                </w:p>
              </w:tc>
              <w:tc>
                <w:tcPr>
                  <w:tcW w:w="555" w:type="pct"/>
                  <w:tcBorders>
                    <w:tl2br w:val="nil"/>
                    <w:tr2bl w:val="nil"/>
                  </w:tcBorders>
                  <w:vAlign w:val="center"/>
                </w:tcPr>
                <w:p>
                  <w:pPr>
                    <w:pStyle w:val="23"/>
                    <w:bidi w:val="0"/>
                    <w:rPr>
                      <w:color w:val="auto"/>
                      <w:lang w:val="en-US" w:eastAsia="zh-CN"/>
                    </w:rPr>
                  </w:pPr>
                  <w:r>
                    <w:rPr>
                      <w:color w:val="auto"/>
                      <w:lang w:val="en-US" w:eastAsia="zh-CN"/>
                    </w:rPr>
                    <w:t>损耗水量</w:t>
                  </w:r>
                </w:p>
              </w:tc>
              <w:tc>
                <w:tcPr>
                  <w:tcW w:w="692" w:type="pct"/>
                  <w:tcBorders>
                    <w:tl2br w:val="nil"/>
                    <w:tr2bl w:val="nil"/>
                  </w:tcBorders>
                  <w:vAlign w:val="center"/>
                </w:tcPr>
                <w:p>
                  <w:pPr>
                    <w:pStyle w:val="23"/>
                    <w:bidi w:val="0"/>
                    <w:rPr>
                      <w:color w:val="auto"/>
                      <w:lang w:val="en-US" w:eastAsia="zh-CN"/>
                    </w:rPr>
                  </w:pPr>
                  <w:r>
                    <w:rPr>
                      <w:color w:val="auto"/>
                      <w:lang w:val="en-US" w:eastAsia="zh-CN"/>
                    </w:rPr>
                    <w:t>废水产生量</w:t>
                  </w:r>
                </w:p>
              </w:tc>
              <w:tc>
                <w:tcPr>
                  <w:tcW w:w="696" w:type="pct"/>
                  <w:tcBorders>
                    <w:tl2br w:val="nil"/>
                    <w:tr2bl w:val="nil"/>
                  </w:tcBorders>
                  <w:vAlign w:val="center"/>
                </w:tcPr>
                <w:p>
                  <w:pPr>
                    <w:pStyle w:val="23"/>
                    <w:bidi w:val="0"/>
                    <w:rPr>
                      <w:color w:val="auto"/>
                      <w:lang w:val="en-US" w:eastAsia="zh-CN"/>
                    </w:rPr>
                  </w:pPr>
                  <w:r>
                    <w:rPr>
                      <w:color w:val="auto"/>
                      <w:lang w:val="en-US" w:eastAsia="zh-CN"/>
                    </w:rPr>
                    <w:t>废水排放量</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纯水机用水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19.4</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19.4</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5.8</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5.8</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蒸汽发生器用水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33.6</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13.6</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20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12</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1.6</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1.6</w:t>
                  </w:r>
                </w:p>
              </w:tc>
            </w:tr>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设备冲洗用水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0.12</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0.12</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0.02</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0.1</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0.1</w:t>
                  </w:r>
                </w:p>
              </w:tc>
            </w:tr>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果蔬清洗用水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37.5</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37.5</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7.5</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30</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30</w:t>
                  </w:r>
                </w:p>
              </w:tc>
            </w:tr>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研发实验室用水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r>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检测实验室用水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r>
            <w:tr>
              <w:trPr>
                <w:trHeight w:val="23"/>
              </w:trPr>
              <w:tc>
                <w:tcPr>
                  <w:tcW w:w="883"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碱喷淋装置排水</w:t>
                  </w:r>
                </w:p>
              </w:tc>
              <w:tc>
                <w:tcPr>
                  <w:tcW w:w="523"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15</w:t>
                  </w:r>
                </w:p>
              </w:tc>
              <w:tc>
                <w:tcPr>
                  <w:tcW w:w="5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12</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w:t>
                  </w:r>
                </w:p>
              </w:tc>
              <w:tc>
                <w:tcPr>
                  <w:tcW w:w="69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w:t>
                  </w:r>
                </w:p>
              </w:tc>
              <w:tc>
                <w:tcPr>
                  <w:tcW w:w="69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w:t>
                  </w:r>
                </w:p>
              </w:tc>
            </w:tr>
            <w:tr>
              <w:trPr>
                <w:trHeight w:val="23"/>
              </w:trPr>
              <w:tc>
                <w:tcPr>
                  <w:tcW w:w="883" w:type="pct"/>
                  <w:tcBorders>
                    <w:tl2br w:val="nil"/>
                    <w:tr2bl w:val="nil"/>
                  </w:tcBorders>
                  <w:shd w:val="clear" w:color="auto" w:fill="auto"/>
                  <w:vAlign w:val="center"/>
                </w:tcPr>
                <w:p>
                  <w:pPr>
                    <w:pStyle w:val="23"/>
                    <w:bidi w:val="0"/>
                    <w:ind w:firstLine="0"/>
                    <w:rPr>
                      <w:rFonts w:hint="eastAsia"/>
                      <w:color w:val="auto"/>
                      <w:lang w:val="en-US" w:eastAsia="zh-CN"/>
                    </w:rPr>
                  </w:pPr>
                  <w:r>
                    <w:rPr>
                      <w:rFonts w:hint="eastAsia"/>
                      <w:color w:val="auto"/>
                      <w:lang w:val="en-US" w:eastAsia="zh-CN"/>
                    </w:rPr>
                    <w:t>浓缩过滤废水</w:t>
                  </w:r>
                </w:p>
              </w:tc>
              <w:tc>
                <w:tcPr>
                  <w:tcW w:w="523"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0</w:t>
                  </w:r>
                </w:p>
              </w:tc>
              <w:tc>
                <w:tcPr>
                  <w:tcW w:w="537"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color w:val="auto"/>
                      <w:lang w:val="en-US" w:eastAsia="zh-CN"/>
                      <w:highlight w:val="none"/>
                    </w:rPr>
                  </w:pPr>
                  <w:r>
                    <w:rPr>
                      <w:rFonts w:hint="eastAsia"/>
                      <w:color w:val="auto"/>
                      <w:lang w:val="en-US" w:eastAsia="zh-CN"/>
                      <w:highlight w:val="none"/>
                    </w:rPr>
                    <w:t>0</w:t>
                  </w:r>
                </w:p>
              </w:tc>
              <w:tc>
                <w:tcPr>
                  <w:tcW w:w="555"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0</w:t>
                  </w:r>
                </w:p>
              </w:tc>
              <w:tc>
                <w:tcPr>
                  <w:tcW w:w="692"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0.5</w:t>
                  </w:r>
                </w:p>
              </w:tc>
              <w:tc>
                <w:tcPr>
                  <w:tcW w:w="696"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0.5</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合计</w:t>
                  </w:r>
                </w:p>
              </w:tc>
              <w:tc>
                <w:tcPr>
                  <w:tcW w:w="523" w:type="pct"/>
                  <w:tcBorders>
                    <w:tl2br w:val="nil"/>
                    <w:tr2bl w:val="nil"/>
                  </w:tcBorders>
                  <w:vAlign w:val="center"/>
                </w:tcPr>
                <w:p>
                  <w:pPr>
                    <w:pStyle w:val="23"/>
                    <w:bidi w:val="0"/>
                    <w:rPr>
                      <w:color w:val="auto"/>
                      <w:lang w:val="en-US" w:eastAsia="zh-CN"/>
                    </w:rPr>
                  </w:pPr>
                  <w:r>
                    <w:rPr>
                      <w:color w:val="auto"/>
                      <w:lang w:val="en-US" w:eastAsia="zh-CN"/>
                    </w:rPr>
                    <w:fldChar w:fldCharType="begin"/>
                  </w:r>
                  <w:r>
                    <w:rPr>
                      <w:color w:val="auto"/>
                      <w:lang w:val="en-US" w:eastAsia="zh-CN"/>
                    </w:rPr>
                    <w:instrText xml:space="preserve"> = sum(B2:B8) \* MERGEFORMAT </w:instrText>
                  </w:r>
                  <w:r>
                    <w:rPr>
                      <w:color w:val="auto"/>
                      <w:lang w:val="en-US" w:eastAsia="zh-CN"/>
                    </w:rPr>
                    <w:fldChar w:fldCharType="separate"/>
                  </w:r>
                  <w:r>
                    <w:rPr>
                      <w:color w:val="auto"/>
                      <w:lang w:val="en-US" w:eastAsia="zh-CN"/>
                    </w:rPr>
                    <w:t>105.64</w:t>
                  </w:r>
                  <w:r>
                    <w:rPr>
                      <w:color w:val="auto"/>
                      <w:lang w:val="en-US" w:eastAsia="zh-CN"/>
                    </w:rPr>
                    <w:fldChar w:fldCharType="end"/>
                  </w:r>
                </w:p>
              </w:tc>
              <w:tc>
                <w:tcPr>
                  <w:tcW w:w="537" w:type="pct"/>
                  <w:tcBorders>
                    <w:tl2br w:val="nil"/>
                    <w:tr2bl w:val="nil"/>
                  </w:tcBorders>
                  <w:vAlign w:val="center"/>
                </w:tcPr>
                <w:p>
                  <w:pPr>
                    <w:pStyle w:val="23"/>
                    <w:bidi w:val="0"/>
                    <w:rPr>
                      <w:color w:val="auto"/>
                      <w:lang w:val="en-US" w:eastAsia="zh-CN"/>
                    </w:rPr>
                  </w:pPr>
                  <w:r>
                    <w:rPr>
                      <w:color w:val="auto"/>
                      <w:lang w:val="en-US" w:eastAsia="zh-CN"/>
                    </w:rPr>
                    <w:fldChar w:fldCharType="begin"/>
                  </w:r>
                  <w:r>
                    <w:rPr>
                      <w:color w:val="auto"/>
                      <w:lang w:val="en-US" w:eastAsia="zh-CN"/>
                    </w:rPr>
                    <w:instrText xml:space="preserve"> = sum(C2:C8) \* MERGEFORMAT </w:instrText>
                  </w:r>
                  <w:r>
                    <w:rPr>
                      <w:color w:val="auto"/>
                      <w:lang w:val="en-US" w:eastAsia="zh-CN"/>
                    </w:rPr>
                    <w:fldChar w:fldCharType="separate"/>
                  </w:r>
                  <w:r>
                    <w:rPr>
                      <w:color w:val="auto"/>
                      <w:lang w:val="en-US" w:eastAsia="zh-CN"/>
                    </w:rPr>
                    <w:t>60.03</w:t>
                  </w:r>
                  <w:r>
                    <w:rPr>
                      <w:color w:val="auto"/>
                      <w:lang w:val="en-US" w:eastAsia="zh-CN"/>
                    </w:rPr>
                    <w:fldChar w:fldCharType="end"/>
                  </w:r>
                </w:p>
              </w:tc>
              <w:tc>
                <w:tcPr>
                  <w:tcW w:w="555" w:type="pct"/>
                  <w:tcBorders>
                    <w:tl2br w:val="nil"/>
                    <w:tr2bl w:val="nil"/>
                  </w:tcBorders>
                  <w:vAlign w:val="center"/>
                </w:tcPr>
                <w:p>
                  <w:pPr>
                    <w:pStyle w:val="23"/>
                    <w:bidi w:val="0"/>
                    <w:rPr>
                      <w:color w:val="auto"/>
                      <w:lang w:val="en-US" w:eastAsia="zh-CN"/>
                    </w:rPr>
                  </w:pPr>
                  <w:r>
                    <w:rPr>
                      <w:color w:val="auto"/>
                      <w:lang w:val="en-US" w:eastAsia="zh-CN"/>
                    </w:rPr>
                    <w:fldChar w:fldCharType="begin"/>
                  </w:r>
                  <w:r>
                    <w:rPr>
                      <w:color w:val="auto"/>
                      <w:lang w:val="en-US" w:eastAsia="zh-CN"/>
                    </w:rPr>
                    <w:instrText xml:space="preserve"> = sum(D2:D8) \* MERGEFORMAT </w:instrText>
                  </w:r>
                  <w:r>
                    <w:rPr>
                      <w:color w:val="auto"/>
                      <w:lang w:val="en-US" w:eastAsia="zh-CN"/>
                    </w:rPr>
                    <w:fldChar w:fldCharType="separate"/>
                  </w:r>
                  <w:r>
                    <w:rPr>
                      <w:color w:val="auto"/>
                      <w:lang w:val="en-US" w:eastAsia="zh-CN"/>
                    </w:rPr>
                    <w:t>13.61</w:t>
                  </w:r>
                  <w:r>
                    <w:rPr>
                      <w:color w:val="auto"/>
                      <w:lang w:val="en-US" w:eastAsia="zh-CN"/>
                    </w:rPr>
                    <w:fldChar w:fldCharType="end"/>
                  </w:r>
                </w:p>
              </w:tc>
              <w:tc>
                <w:tcPr>
                  <w:tcW w:w="555" w:type="pct"/>
                  <w:tcBorders>
                    <w:tl2br w:val="nil"/>
                    <w:tr2bl w:val="nil"/>
                  </w:tcBorders>
                  <w:vAlign w:val="center"/>
                </w:tcPr>
                <w:p>
                  <w:pPr>
                    <w:pStyle w:val="23"/>
                    <w:bidi w:val="0"/>
                    <w:rPr>
                      <w:color w:val="auto"/>
                      <w:lang w:val="en-US" w:eastAsia="zh-CN"/>
                    </w:rPr>
                  </w:pPr>
                  <w:r>
                    <w:rPr>
                      <w:color w:val="auto"/>
                      <w:lang w:val="en-US" w:eastAsia="zh-CN"/>
                    </w:rPr>
                    <w:fldChar w:fldCharType="begin"/>
                  </w:r>
                  <w:r>
                    <w:rPr>
                      <w:color w:val="auto"/>
                      <w:lang w:val="en-US" w:eastAsia="zh-CN"/>
                    </w:rPr>
                    <w:instrText xml:space="preserve"> = sum(E2:E8) \* MERGEFORMAT </w:instrText>
                  </w:r>
                  <w:r>
                    <w:rPr>
                      <w:color w:val="auto"/>
                      <w:lang w:val="en-US" w:eastAsia="zh-CN"/>
                    </w:rPr>
                    <w:fldChar w:fldCharType="separate"/>
                  </w:r>
                  <w:r>
                    <w:rPr>
                      <w:color w:val="auto"/>
                      <w:lang w:val="en-US" w:eastAsia="zh-CN"/>
                    </w:rPr>
                    <w:t>32</w:t>
                  </w:r>
                  <w:r>
                    <w:rPr>
                      <w:color w:val="auto"/>
                      <w:lang w:val="en-US" w:eastAsia="zh-CN"/>
                    </w:rPr>
                    <w:fldChar w:fldCharType="end"/>
                  </w:r>
                </w:p>
              </w:tc>
              <w:tc>
                <w:tcPr>
                  <w:tcW w:w="555" w:type="pct"/>
                  <w:tcBorders>
                    <w:tl2br w:val="nil"/>
                    <w:tr2bl w:val="nil"/>
                  </w:tcBorders>
                  <w:vAlign w:val="center"/>
                </w:tcPr>
                <w:p>
                  <w:pPr>
                    <w:pStyle w:val="23"/>
                    <w:bidi w:val="0"/>
                    <w:rPr>
                      <w:color w:val="auto"/>
                      <w:lang w:val="en-US" w:eastAsia="zh-CN"/>
                    </w:rPr>
                  </w:pPr>
                  <w:r>
                    <w:rPr>
                      <w:color w:val="auto"/>
                      <w:lang w:val="en-US" w:eastAsia="zh-CN"/>
                    </w:rPr>
                    <w:fldChar w:fldCharType="begin"/>
                  </w:r>
                  <w:r>
                    <w:rPr>
                      <w:color w:val="auto"/>
                      <w:lang w:val="en-US" w:eastAsia="zh-CN"/>
                    </w:rPr>
                    <w:instrText xml:space="preserve"> = sum(F2:F8) \* MERGEFORMAT </w:instrText>
                  </w:r>
                  <w:r>
                    <w:rPr>
                      <w:color w:val="auto"/>
                      <w:lang w:val="en-US" w:eastAsia="zh-CN"/>
                    </w:rPr>
                    <w:fldChar w:fldCharType="separate"/>
                  </w:r>
                  <w:r>
                    <w:rPr>
                      <w:color w:val="auto"/>
                      <w:lang w:val="en-US" w:eastAsia="zh-CN"/>
                    </w:rPr>
                    <w:t>19.53</w:t>
                  </w:r>
                  <w:r>
                    <w:rPr>
                      <w:color w:val="auto"/>
                      <w:lang w:val="en-US" w:eastAsia="zh-CN"/>
                    </w:rPr>
                    <w:fldChar w:fldCharType="end"/>
                  </w:r>
                </w:p>
              </w:tc>
              <w:tc>
                <w:tcPr>
                  <w:tcW w:w="692" w:type="pct"/>
                  <w:tcBorders>
                    <w:tl2br w:val="nil"/>
                    <w:tr2bl w:val="nil"/>
                  </w:tcBorders>
                  <w:vAlign w:val="center"/>
                </w:tcPr>
                <w:p>
                  <w:pPr>
                    <w:pStyle w:val="23"/>
                    <w:bidi w:val="0"/>
                    <w:rPr>
                      <w:color w:val="auto"/>
                      <w:lang w:val="en-US" w:eastAsia="zh-CN"/>
                    </w:rPr>
                  </w:pPr>
                  <w:r>
                    <w:rPr>
                      <w:color w:val="auto"/>
                      <w:lang w:val="en-US" w:eastAsia="zh-CN"/>
                    </w:rPr>
                    <w:fldChar w:fldCharType="begin"/>
                  </w:r>
                  <w:r>
                    <w:rPr>
                      <w:color w:val="auto"/>
                      <w:lang w:val="en-US" w:eastAsia="zh-CN"/>
                    </w:rPr>
                    <w:instrText xml:space="preserve"> = sum(G2:G9) \* MERGEFORMAT </w:instrText>
                  </w:r>
                  <w:r>
                    <w:rPr>
                      <w:color w:val="auto"/>
                      <w:lang w:val="en-US" w:eastAsia="zh-CN"/>
                    </w:rPr>
                    <w:fldChar w:fldCharType="separate"/>
                  </w:r>
                  <w:r>
                    <w:rPr>
                      <w:color w:val="auto"/>
                      <w:lang w:val="en-US" w:eastAsia="zh-CN"/>
                    </w:rPr>
                    <w:t>41.01</w:t>
                  </w:r>
                  <w:r>
                    <w:rPr>
                      <w:color w:val="auto"/>
                      <w:lang w:val="en-US" w:eastAsia="zh-CN"/>
                    </w:rPr>
                    <w:fldChar w:fldCharType="end"/>
                  </w:r>
                </w:p>
              </w:tc>
              <w:tc>
                <w:tcPr>
                  <w:tcW w:w="696" w:type="pct"/>
                  <w:tcBorders>
                    <w:tl2br w:val="nil"/>
                    <w:tr2bl w:val="nil"/>
                  </w:tcBorders>
                  <w:vAlign w:val="center"/>
                </w:tcPr>
                <w:p>
                  <w:pPr>
                    <w:pStyle w:val="23"/>
                    <w:bidi w:val="0"/>
                    <w:rPr>
                      <w:color w:val="auto"/>
                      <w:lang w:val="en-US" w:eastAsia="zh-CN"/>
                    </w:rPr>
                  </w:pPr>
                  <w:r>
                    <w:rPr>
                      <w:color w:val="auto"/>
                      <w:lang w:val="en-US" w:eastAsia="zh-CN"/>
                    </w:rPr>
                    <w:fldChar w:fldCharType="begin"/>
                  </w:r>
                  <w:r>
                    <w:rPr>
                      <w:color w:val="auto"/>
                      <w:lang w:val="en-US" w:eastAsia="zh-CN"/>
                    </w:rPr>
                    <w:instrText xml:space="preserve"> = sum(H2:H9) \* MERGEFORMAT </w:instrText>
                  </w:r>
                  <w:r>
                    <w:rPr>
                      <w:color w:val="auto"/>
                      <w:lang w:val="en-US" w:eastAsia="zh-CN"/>
                    </w:rPr>
                    <w:fldChar w:fldCharType="separate"/>
                  </w:r>
                  <w:r>
                    <w:rPr>
                      <w:color w:val="auto"/>
                      <w:lang w:val="en-US" w:eastAsia="zh-CN"/>
                    </w:rPr>
                    <w:t>41.01</w:t>
                  </w:r>
                  <w:r>
                    <w:rPr>
                      <w:color w:val="auto"/>
                      <w:lang w:val="en-US" w:eastAsia="zh-CN"/>
                    </w:rPr>
                    <w:fldChar w:fldCharType="end"/>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cs="Times New Roman" w:hAnsi="Times New Roman"/>
                <w:color w:val="auto"/>
              </w:rPr>
            </w:pPr>
            <w:r>
              <w:rPr>
                <w:rFonts w:ascii="Times New Roman" w:cs="Times New Roman" w:hAnsi="Times New Roman"/>
                <w:color w:val="auto"/>
              </w:rPr>
              <w:t>本项目</w:t>
            </w:r>
            <w:r>
              <w:rPr>
                <w:rFonts w:cs="Times New Roman" w:hint="eastAsia"/>
                <w:color w:val="auto"/>
                <w:lang w:val="en-US" w:eastAsia="zh-CN"/>
              </w:rPr>
              <w:t>新鲜水用量为60.03m³/d，</w:t>
            </w:r>
            <w:r>
              <w:rPr>
                <w:rFonts w:ascii="Times New Roman" w:cs="Times New Roman" w:hAnsi="Times New Roman"/>
                <w:color w:val="auto"/>
              </w:rPr>
              <w:t>废水</w:t>
            </w:r>
            <w:r>
              <w:rPr>
                <w:rFonts w:cs="Times New Roman" w:hint="eastAsia"/>
                <w:color w:val="auto"/>
                <w:lang w:val="en-US" w:eastAsia="zh-CN"/>
              </w:rPr>
              <w:t>排放</w:t>
            </w:r>
            <w:r>
              <w:rPr>
                <w:rFonts w:ascii="Times New Roman" w:cs="Times New Roman" w:hAnsi="Times New Roman"/>
                <w:color w:val="auto"/>
              </w:rPr>
              <w:t>量为</w:t>
            </w:r>
            <w:r>
              <w:rPr>
                <w:rFonts w:cs="Times New Roman" w:hint="eastAsia"/>
                <w:color w:val="auto"/>
                <w:lang w:val="en-US" w:eastAsia="zh-CN"/>
              </w:rPr>
              <w:t>41.01</w:t>
            </w:r>
            <w:r>
              <w:rPr>
                <w:rFonts w:ascii="Times New Roman" w:cs="Times New Roman" w:hAnsi="Times New Roman"/>
                <w:color w:val="auto"/>
                <w:lang w:val="en-US" w:eastAsia="zh-CN"/>
              </w:rPr>
              <w:t>m³</w:t>
            </w:r>
            <w:r>
              <w:rPr>
                <w:rFonts w:ascii="Times New Roman" w:cs="Times New Roman" w:hAnsi="Times New Roman"/>
                <w:color w:val="auto"/>
              </w:rPr>
              <w:t>/d，废水均排入厂区污水处理站处理，处理后经市政管网排入德威华泰石家庄市栾城水务有限公司。</w:t>
            </w:r>
          </w:p>
          <w:p>
            <w:pPr>
              <w:pStyle w:val="24"/>
              <w:bidi w:val="0"/>
              <w:spacing w:line="240" w:lineRule="auto"/>
              <w:ind w:left="0" w:right="0" w:firstLine="0"/>
              <w:jc w:val="center"/>
              <w:rPr>
                <w:rFonts w:hint="eastAsia"/>
                <w:color w:val="auto"/>
                <w:lang w:val="en-US" w:eastAsia="zh-CN"/>
              </w:rPr>
            </w:pPr>
            <w:r>
              <w:rPr>
                <w:rFonts w:hint="eastAsia"/>
                <w:color w:val="auto"/>
                <w:lang w:val="en-US" w:eastAsia="zh-CN"/>
              </w:rPr>
              <w:drawing>
                <wp:inline distT="0" distB="0" distL="114300" distR="114300">
                  <wp:extent cx="5443220" cy="4679950"/>
                  <wp:effectExtent l="0" t="0" r="0" b="1"/>
                  <wp:docPr id="1029" name="图片 5"/>
                  <wp:cNvGraphicFramePr>
                    <a:graphicFrameLocks noChangeAspect="1"/>
                  </wp:cNvGraphicFramePr>
                  <a:graphic>
                    <a:graphicData uri="http://schemas.openxmlformats.org/drawingml/2006/picture">
                      <pic:pic>
                        <pic:nvPicPr>
                          <pic:cNvPr id="4" name="图片 5 4"/>
                          <pic:cNvPicPr/>
                        </pic:nvPicPr>
                        <pic:blipFill>
                          <a:blip r:embed="rId5"/>
                          <a:stretch>
                            <a:fillRect/>
                          </a:stretch>
                        </pic:blipFill>
                        <pic:spPr>
                          <a:xfrm rot="0">
                            <a:off x="0" y="0"/>
                            <a:ext cx="5443220" cy="4679950"/>
                          </a:xfrm>
                          <a:prstGeom prst="rect"/>
                          <a:noFill/>
                          <a:ln cmpd="sng" cap="flat">
                            <a:noFill/>
                            <a:prstDash val="solid"/>
                            <a:round/>
                          </a:ln>
                        </pic:spPr>
                      </pic:pic>
                    </a:graphicData>
                  </a:graphic>
                </wp:inline>
              </w:drawing>
            </w:r>
          </w:p>
          <w:p>
            <w:pPr>
              <w:pStyle w:val="24"/>
              <w:bidi w:val="0"/>
              <w:rPr>
                <w:color w:val="auto"/>
                <w:lang w:val="en-US" w:eastAsia="zh-CN"/>
              </w:rPr>
            </w:pPr>
            <w:r>
              <w:rPr>
                <w:rFonts w:hint="eastAsia"/>
                <w:color w:val="auto"/>
                <w:lang w:val="en-US" w:eastAsia="zh-CN"/>
              </w:rPr>
              <w:t>图2-1  本项目用水平衡图       m³/d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cs="Times New Roman" w:hAnsi="Times New Roman"/>
                <w:color w:val="auto"/>
                <w:lang w:val="en-US" w:eastAsia="zh-CN"/>
              </w:rPr>
            </w:pPr>
            <w:r>
              <w:rPr>
                <w:rFonts w:cs="Times New Roman" w:hint="eastAsia"/>
                <w:color w:val="auto"/>
                <w:lang w:val="en-US" w:eastAsia="zh-CN"/>
              </w:rPr>
              <w:t>2</w:t>
            </w:r>
            <w:r>
              <w:rPr>
                <w:rFonts w:ascii="Times New Roman" w:cs="Times New Roman" w:hAnsi="Times New Roman"/>
                <w:color w:val="auto"/>
                <w:lang w:val="en-US" w:eastAsia="zh-CN"/>
              </w:rPr>
              <w:t>）</w:t>
            </w:r>
            <w:r>
              <w:rPr>
                <w:rFonts w:cs="Times New Roman" w:hint="eastAsia"/>
                <w:color w:val="auto"/>
                <w:lang w:val="en-US" w:eastAsia="zh-CN"/>
              </w:rPr>
              <w:t>现有工程</w:t>
            </w:r>
            <w:r>
              <w:rPr>
                <w:rFonts w:ascii="Times New Roman" w:cs="Times New Roman" w:hAnsi="Times New Roman"/>
                <w:color w:va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cs="Times New Roman" w:hAnsi="Times New Roman"/>
                <w:color w:val="auto"/>
                <w:lang w:val="en-US" w:eastAsia="zh-CN"/>
              </w:rPr>
            </w:pPr>
            <w:r>
              <w:rPr>
                <w:rFonts w:cs="Times New Roman" w:hint="eastAsia"/>
                <w:color w:val="auto"/>
                <w:lang w:val="en-US" w:eastAsia="zh-CN"/>
              </w:rPr>
              <w:t>现有工程用水主要为生活用水和生产用水，生产用水包括：原料配比用水、设备冲洗用水、车间地面清洗用水、设备冷却水、碱喷淋装置补水，现有工程水平衡图如下。</w:t>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ascii="Times New Roman" w:cs="Times New Roman" w:hAnsi="Times New Roman"/>
                <w:color w:val="auto"/>
                <w:lang w:val="en-US" w:eastAsia="zh-CN"/>
              </w:rPr>
            </w:pPr>
            <w:r>
              <w:rPr>
                <w:rFonts w:ascii="Times New Roman" w:cs="Times New Roman" w:hAnsi="Times New Roman"/>
                <w:color w:val="auto"/>
                <w:lang w:val="en-US" w:eastAsia="zh-CN"/>
              </w:rPr>
              <w:drawing>
                <wp:inline distT="0" distB="0" distL="114300" distR="114300">
                  <wp:extent cx="4109085" cy="3959860"/>
                  <wp:effectExtent l="0" t="0" r="0" b="0"/>
                  <wp:docPr id="1030" name="图片 5"/>
                  <wp:cNvGraphicFramePr>
                    <a:graphicFrameLocks noChangeAspect="1"/>
                  </wp:cNvGraphicFramePr>
                  <a:graphic>
                    <a:graphicData uri="http://schemas.openxmlformats.org/drawingml/2006/picture">
                      <pic:pic>
                        <pic:nvPicPr>
                          <pic:cNvPr id="6" name="图片 5 6"/>
                          <pic:cNvPicPr/>
                        </pic:nvPicPr>
                        <pic:blipFill>
                          <a:blip r:embed="rId6"/>
                          <a:stretch>
                            <a:fillRect/>
                          </a:stretch>
                        </pic:blipFill>
                        <pic:spPr>
                          <a:xfrm rot="0">
                            <a:off x="0" y="0"/>
                            <a:ext cx="4109085" cy="3959860"/>
                          </a:xfrm>
                          <a:prstGeom prst="rect"/>
                          <a:noFill/>
                          <a:ln cmpd="sng" cap="flat">
                            <a:noFill/>
                            <a:prstDash val="solid"/>
                            <a:round/>
                          </a:ln>
                        </pic:spPr>
                      </pic:pic>
                    </a:graphicData>
                  </a:graphic>
                </wp:inline>
              </w:drawing>
            </w:r>
          </w:p>
          <w:p>
            <w:pPr>
              <w:pStyle w:val="24"/>
              <w:bidi w:val="0"/>
              <w:rPr>
                <w:color w:val="auto"/>
                <w:lang w:val="en-US" w:eastAsia="zh-CN"/>
              </w:rPr>
            </w:pPr>
            <w:r>
              <w:rPr>
                <w:rFonts w:hint="eastAsia"/>
                <w:color w:val="auto"/>
                <w:lang w:val="en-US" w:eastAsia="zh-CN"/>
              </w:rPr>
              <w:t>图2-2  现有工程用水平衡图       m³/d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cs="Times New Roman" w:hAnsi="Times New Roman"/>
                <w:color w:val="auto"/>
                <w:lang w:val="en-US" w:eastAsia="zh-CN"/>
              </w:rPr>
            </w:pPr>
            <w:r>
              <w:rPr>
                <w:rFonts w:cs="Times New Roman" w:hint="eastAsia"/>
                <w:color w:val="auto"/>
                <w:lang w:val="en-US" w:eastAsia="zh-CN"/>
              </w:rPr>
              <w:t>3）本项目完成后全厂</w:t>
            </w:r>
          </w:p>
          <w:p>
            <w:pPr>
              <w:bidi w:val="0"/>
              <w:rPr>
                <w:rFonts w:ascii="Times New Roman" w:cs="Times New Roman" w:hAnsi="Times New Roman"/>
                <w:color w:val="auto"/>
                <w:lang w:val="en-US" w:eastAsia="zh-CN"/>
              </w:rPr>
            </w:pPr>
            <w:r>
              <w:rPr>
                <w:rFonts w:ascii="Times New Roman" w:cs="Times New Roman" w:hAnsi="Times New Roman"/>
                <w:color w:val="auto"/>
                <w:lang w:val="en-US" w:eastAsia="zh-CN"/>
              </w:rPr>
              <w:t>本项目完成后全厂总新鲜水水量为109.2084m³/d，全厂废水排放量为70.7356m³/d，全厂水平衡图如下。</w:t>
            </w:r>
          </w:p>
          <w:p>
            <w:pPr>
              <w:pStyle w:val="24"/>
              <w:bidi w:val="0"/>
              <w:rPr>
                <w:color w:val="auto"/>
                <w:lang w:val="en-US" w:eastAsia="zh-CN"/>
              </w:rPr>
            </w:pPr>
            <w:r>
              <w:rPr>
                <w:rFonts w:hint="eastAsia"/>
                <w:color w:val="auto"/>
                <w:lang w:val="en-US" w:eastAsia="zh-CN"/>
              </w:rPr>
              <w:t>表2-7  本项目完成后全厂给排水平衡表          单位：m³/d</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484"/>
              <w:gridCol w:w="879"/>
              <w:gridCol w:w="902"/>
              <w:gridCol w:w="932"/>
              <w:gridCol w:w="932"/>
              <w:gridCol w:w="932"/>
              <w:gridCol w:w="1163"/>
              <w:gridCol w:w="1169"/>
            </w:tblGrid>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用水项目</w:t>
                  </w:r>
                </w:p>
              </w:tc>
              <w:tc>
                <w:tcPr>
                  <w:tcW w:w="523" w:type="pct"/>
                  <w:tcBorders>
                    <w:tl2br w:val="nil"/>
                    <w:tr2bl w:val="nil"/>
                  </w:tcBorders>
                  <w:vAlign w:val="center"/>
                </w:tcPr>
                <w:p>
                  <w:pPr>
                    <w:pStyle w:val="23"/>
                    <w:bidi w:val="0"/>
                    <w:rPr>
                      <w:color w:val="auto"/>
                      <w:lang w:val="en-US" w:eastAsia="zh-CN"/>
                    </w:rPr>
                  </w:pPr>
                  <w:r>
                    <w:rPr>
                      <w:color w:val="auto"/>
                      <w:lang w:val="en-US" w:eastAsia="zh-CN"/>
                    </w:rPr>
                    <w:t>总用水量</w:t>
                  </w:r>
                </w:p>
              </w:tc>
              <w:tc>
                <w:tcPr>
                  <w:tcW w:w="537" w:type="pct"/>
                  <w:tcBorders>
                    <w:tl2br w:val="nil"/>
                    <w:tr2bl w:val="nil"/>
                  </w:tcBorders>
                  <w:vAlign w:val="center"/>
                </w:tcPr>
                <w:p>
                  <w:pPr>
                    <w:pStyle w:val="23"/>
                    <w:bidi w:val="0"/>
                    <w:rPr>
                      <w:color w:val="auto"/>
                      <w:lang w:val="en-US" w:eastAsia="zh-CN"/>
                    </w:rPr>
                  </w:pPr>
                  <w:r>
                    <w:rPr>
                      <w:color w:val="auto"/>
                      <w:lang w:val="en-US" w:eastAsia="zh-CN"/>
                    </w:rPr>
                    <w:t>新鲜水量</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纯水用量</w:t>
                  </w:r>
                </w:p>
              </w:tc>
              <w:tc>
                <w:tcPr>
                  <w:tcW w:w="555" w:type="pct"/>
                  <w:tcBorders>
                    <w:tl2br w:val="nil"/>
                    <w:tr2bl w:val="nil"/>
                  </w:tcBorders>
                  <w:vAlign w:val="center"/>
                </w:tcPr>
                <w:p>
                  <w:pPr>
                    <w:pStyle w:val="23"/>
                    <w:bidi w:val="0"/>
                    <w:rPr>
                      <w:color w:val="auto"/>
                      <w:lang w:val="en-US" w:eastAsia="zh-CN"/>
                    </w:rPr>
                  </w:pPr>
                  <w:r>
                    <w:rPr>
                      <w:color w:val="auto"/>
                      <w:lang w:val="en-US" w:eastAsia="zh-CN"/>
                    </w:rPr>
                    <w:t>循环水量</w:t>
                  </w:r>
                </w:p>
              </w:tc>
              <w:tc>
                <w:tcPr>
                  <w:tcW w:w="555" w:type="pct"/>
                  <w:tcBorders>
                    <w:tl2br w:val="nil"/>
                    <w:tr2bl w:val="nil"/>
                  </w:tcBorders>
                  <w:vAlign w:val="center"/>
                </w:tcPr>
                <w:p>
                  <w:pPr>
                    <w:pStyle w:val="23"/>
                    <w:bidi w:val="0"/>
                    <w:rPr>
                      <w:color w:val="auto"/>
                      <w:lang w:val="en-US" w:eastAsia="zh-CN"/>
                    </w:rPr>
                  </w:pPr>
                  <w:r>
                    <w:rPr>
                      <w:color w:val="auto"/>
                      <w:lang w:val="en-US" w:eastAsia="zh-CN"/>
                    </w:rPr>
                    <w:t>损耗水量</w:t>
                  </w:r>
                </w:p>
              </w:tc>
              <w:tc>
                <w:tcPr>
                  <w:tcW w:w="692" w:type="pct"/>
                  <w:tcBorders>
                    <w:tl2br w:val="nil"/>
                    <w:tr2bl w:val="nil"/>
                  </w:tcBorders>
                  <w:vAlign w:val="center"/>
                </w:tcPr>
                <w:p>
                  <w:pPr>
                    <w:pStyle w:val="23"/>
                    <w:bidi w:val="0"/>
                    <w:rPr>
                      <w:color w:val="auto"/>
                      <w:lang w:val="en-US" w:eastAsia="zh-CN"/>
                    </w:rPr>
                  </w:pPr>
                  <w:r>
                    <w:rPr>
                      <w:color w:val="auto"/>
                      <w:lang w:val="en-US" w:eastAsia="zh-CN"/>
                    </w:rPr>
                    <w:t>废水产生量</w:t>
                  </w:r>
                </w:p>
              </w:tc>
              <w:tc>
                <w:tcPr>
                  <w:tcW w:w="696" w:type="pct"/>
                  <w:tcBorders>
                    <w:tl2br w:val="nil"/>
                    <w:tr2bl w:val="nil"/>
                  </w:tcBorders>
                  <w:vAlign w:val="center"/>
                </w:tcPr>
                <w:p>
                  <w:pPr>
                    <w:pStyle w:val="23"/>
                    <w:bidi w:val="0"/>
                    <w:rPr>
                      <w:color w:val="auto"/>
                      <w:lang w:val="en-US" w:eastAsia="zh-CN"/>
                    </w:rPr>
                  </w:pPr>
                  <w:r>
                    <w:rPr>
                      <w:color w:val="auto"/>
                      <w:lang w:val="en-US" w:eastAsia="zh-CN"/>
                    </w:rPr>
                    <w:t>废水排放量</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水处理机组</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16.7584</w:t>
                  </w:r>
                </w:p>
              </w:tc>
              <w:tc>
                <w:tcPr>
                  <w:tcW w:w="537"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16.7584</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4.1896</w:t>
                  </w:r>
                </w:p>
              </w:tc>
              <w:tc>
                <w:tcPr>
                  <w:tcW w:w="69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4.1896</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产品用水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12.5688</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12.5688</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12.5688</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r>
            <w:tr>
              <w:trPr>
                <w:trHeight w:val="23"/>
              </w:trPr>
              <w:tc>
                <w:tcPr>
                  <w:tcW w:w="883"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设备冲洗用水</w:t>
                  </w:r>
                </w:p>
              </w:tc>
              <w:tc>
                <w:tcPr>
                  <w:tcW w:w="523"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0.84</w:t>
                  </w:r>
                </w:p>
              </w:tc>
              <w:tc>
                <w:tcPr>
                  <w:tcW w:w="5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0.84</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0.164</w:t>
                  </w:r>
                </w:p>
              </w:tc>
              <w:tc>
                <w:tcPr>
                  <w:tcW w:w="69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0.676</w:t>
                  </w:r>
                </w:p>
              </w:tc>
              <w:tc>
                <w:tcPr>
                  <w:tcW w:w="69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0.676</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地面清洗废水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27.2</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27.2</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5.44</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21.76</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21.76</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设备冷却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20</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0.5</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19.5</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0.5</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食堂废水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1</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1</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0.2</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0.8</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0.8</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碱喷淋装置排水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15</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3</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12</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3</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3</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职工生活用水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3</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3</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2.4</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2.4</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蒸汽发生器用水</w:t>
                  </w:r>
                </w:p>
              </w:tc>
              <w:tc>
                <w:tcPr>
                  <w:tcW w:w="523"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33.6</w:t>
                  </w:r>
                </w:p>
              </w:tc>
              <w:tc>
                <w:tcPr>
                  <w:tcW w:w="53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13.6</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20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12</w:t>
                  </w:r>
                </w:p>
              </w:tc>
              <w:tc>
                <w:tcPr>
                  <w:tcW w:w="69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1.6</w:t>
                  </w:r>
                </w:p>
              </w:tc>
              <w:tc>
                <w:tcPr>
                  <w:tcW w:w="69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1.6</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纯水机</w:t>
                  </w:r>
                </w:p>
              </w:tc>
              <w:tc>
                <w:tcPr>
                  <w:tcW w:w="523"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19.4</w:t>
                  </w:r>
                </w:p>
              </w:tc>
              <w:tc>
                <w:tcPr>
                  <w:tcW w:w="5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19.4</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w:t>
                  </w:r>
                </w:p>
              </w:tc>
              <w:tc>
                <w:tcPr>
                  <w:tcW w:w="69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5.8</w:t>
                  </w:r>
                </w:p>
              </w:tc>
              <w:tc>
                <w:tcPr>
                  <w:tcW w:w="69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5.8</w:t>
                  </w:r>
                </w:p>
              </w:tc>
            </w:tr>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果蔬清洗用水</w:t>
                  </w:r>
                </w:p>
              </w:tc>
              <w:tc>
                <w:tcPr>
                  <w:tcW w:w="523"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37.5</w:t>
                  </w:r>
                </w:p>
              </w:tc>
              <w:tc>
                <w:tcPr>
                  <w:tcW w:w="53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37.5</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w:t>
                  </w:r>
                </w:p>
              </w:tc>
              <w:tc>
                <w:tcPr>
                  <w:tcW w:w="55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7.5</w:t>
                  </w:r>
                </w:p>
              </w:tc>
              <w:tc>
                <w:tcPr>
                  <w:tcW w:w="69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30</w:t>
                  </w:r>
                </w:p>
              </w:tc>
              <w:tc>
                <w:tcPr>
                  <w:tcW w:w="69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30</w:t>
                  </w:r>
                </w:p>
              </w:tc>
            </w:tr>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研发实验室用水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r>
            <w:tr>
              <w:trPr>
                <w:trHeight w:val="23"/>
              </w:trPr>
              <w:tc>
                <w:tcPr>
                  <w:tcW w:w="883" w:type="pct"/>
                  <w:tcBorders>
                    <w:tl2br w:val="nil"/>
                    <w:tr2bl w:val="nil"/>
                  </w:tcBorders>
                  <w:vAlign w:val="center"/>
                </w:tcPr>
                <w:p>
                  <w:pPr>
                    <w:pStyle w:val="23"/>
                    <w:bidi w:val="0"/>
                    <w:rPr>
                      <w:color w:val="auto"/>
                      <w:lang w:val="en-US" w:eastAsia="zh-CN"/>
                    </w:rPr>
                  </w:pPr>
                  <w:r>
                    <w:rPr>
                      <w:color w:val="auto"/>
                      <w:lang w:val="en-US" w:eastAsia="zh-CN"/>
                    </w:rPr>
                    <w:t>检测实验室用水</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r>
            <w:tr>
              <w:trPr>
                <w:trHeight w:val="23"/>
              </w:trPr>
              <w:tc>
                <w:tcPr>
                  <w:tcW w:w="883" w:type="pct"/>
                  <w:tcBorders>
                    <w:tl2br w:val="nil"/>
                    <w:tr2bl w:val="nil"/>
                  </w:tcBorders>
                  <w:vAlign w:val="center"/>
                </w:tcPr>
                <w:p>
                  <w:pPr>
                    <w:pStyle w:val="23"/>
                    <w:bidi w:val="0"/>
                    <w:ind w:left="0" w:right="0" w:firstLine="0"/>
                    <w:jc w:val="center"/>
                    <w:rPr>
                      <w:color w:val="auto"/>
                      <w:lang w:val="en-US" w:eastAsia="zh-CN"/>
                    </w:rPr>
                  </w:pPr>
                  <w:r>
                    <w:rPr>
                      <w:rFonts w:hint="eastAsia"/>
                      <w:color w:val="auto"/>
                      <w:lang w:val="en-US" w:eastAsia="zh-CN"/>
                    </w:rPr>
                    <w:t>浓缩过滤</w:t>
                  </w:r>
                </w:p>
              </w:tc>
              <w:tc>
                <w:tcPr>
                  <w:tcW w:w="523"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37"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555" w:type="pct"/>
                  <w:tcBorders>
                    <w:tl2br w:val="nil"/>
                    <w:tr2bl w:val="nil"/>
                  </w:tcBorders>
                  <w:vAlign w:val="center"/>
                </w:tcPr>
                <w:p>
                  <w:pPr>
                    <w:pStyle w:val="23"/>
                    <w:bidi w:val="0"/>
                    <w:rPr>
                      <w:color w:val="auto"/>
                      <w:lang w:val="en-US" w:eastAsia="zh-CN"/>
                    </w:rPr>
                  </w:pPr>
                  <w:r>
                    <w:rPr>
                      <w:rFonts w:hint="eastAsia"/>
                      <w:color w:val="auto"/>
                      <w:lang w:val="en-US" w:eastAsia="zh-CN"/>
                    </w:rPr>
                    <w:t>0</w:t>
                  </w:r>
                </w:p>
              </w:tc>
              <w:tc>
                <w:tcPr>
                  <w:tcW w:w="692" w:type="pct"/>
                  <w:tcBorders>
                    <w:tl2br w:val="nil"/>
                    <w:tr2bl w:val="nil"/>
                  </w:tcBorders>
                  <w:vAlign w:val="center"/>
                </w:tcPr>
                <w:p>
                  <w:pPr>
                    <w:pStyle w:val="23"/>
                    <w:bidi w:val="0"/>
                    <w:rPr>
                      <w:color w:val="auto"/>
                      <w:lang w:val="en-US" w:eastAsia="zh-CN"/>
                    </w:rPr>
                  </w:pPr>
                  <w:r>
                    <w:rPr>
                      <w:rFonts w:hint="eastAsia"/>
                      <w:color w:val="auto"/>
                      <w:lang w:val="en-US" w:eastAsia="zh-CN"/>
                    </w:rPr>
                    <w:t>0.5</w:t>
                  </w:r>
                </w:p>
              </w:tc>
              <w:tc>
                <w:tcPr>
                  <w:tcW w:w="696" w:type="pct"/>
                  <w:tcBorders>
                    <w:tl2br w:val="nil"/>
                    <w:tr2bl w:val="nil"/>
                  </w:tcBorders>
                  <w:vAlign w:val="center"/>
                </w:tcPr>
                <w:p>
                  <w:pPr>
                    <w:pStyle w:val="23"/>
                    <w:bidi w:val="0"/>
                    <w:rPr>
                      <w:color w:val="auto"/>
                      <w:lang w:val="en-US" w:eastAsia="zh-CN"/>
                    </w:rPr>
                  </w:pPr>
                  <w:r>
                    <w:rPr>
                      <w:rFonts w:hint="eastAsia"/>
                      <w:color w:val="auto"/>
                      <w:lang w:val="en-US" w:eastAsia="zh-CN"/>
                    </w:rPr>
                    <w:t>0.5</w:t>
                  </w:r>
                </w:p>
              </w:tc>
            </w:tr>
            <w:tr>
              <w:trPr>
                <w:trHeight w:val="23"/>
              </w:trPr>
              <w:tc>
                <w:tcPr>
                  <w:tcW w:w="883" w:type="pct"/>
                  <w:tcBorders>
                    <w:tl2br w:val="nil"/>
                    <w:tr2bl w:val="nil"/>
                  </w:tcBorders>
                  <w:vAlign w:val="center"/>
                </w:tcPr>
                <w:p>
                  <w:pPr>
                    <w:pStyle w:val="23"/>
                    <w:bidi w:val="0"/>
                    <w:rPr>
                      <w:color w:val="auto"/>
                      <w:lang w:val="en-US" w:eastAsia="zh-CN"/>
                    </w:rPr>
                  </w:pPr>
                  <w:r>
                    <w:rPr>
                      <w:rFonts w:hint="eastAsia"/>
                      <w:color w:val="auto"/>
                      <w:lang w:val="en-US" w:eastAsia="zh-CN"/>
                    </w:rPr>
                    <w:t>合计</w:t>
                  </w:r>
                </w:p>
              </w:tc>
              <w:tc>
                <w:tcPr>
                  <w:tcW w:w="523"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sum(B2:B14) \* MERGEFORMAT </w:instrText>
                  </w:r>
                  <w:r>
                    <w:rPr>
                      <w:rFonts w:hint="eastAsia"/>
                      <w:color w:val="auto"/>
                      <w:lang w:val="en-US" w:eastAsia="zh-CN"/>
                    </w:rPr>
                    <w:fldChar w:fldCharType="separate"/>
                  </w:r>
                  <w:r>
                    <w:rPr>
                      <w:rFonts w:hint="eastAsia"/>
                      <w:color w:val="auto"/>
                      <w:lang w:val="en-US" w:eastAsia="zh-CN"/>
                    </w:rPr>
                    <w:t>186.8872</w:t>
                  </w:r>
                  <w:r>
                    <w:rPr>
                      <w:rFonts w:hint="eastAsia"/>
                      <w:color w:val="auto"/>
                      <w:lang w:val="en-US" w:eastAsia="zh-CN"/>
                    </w:rPr>
                    <w:fldChar w:fldCharType="end"/>
                  </w:r>
                </w:p>
              </w:tc>
              <w:tc>
                <w:tcPr>
                  <w:tcW w:w="537"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sum(C2:C14) \* MERGEFORMAT </w:instrText>
                  </w:r>
                  <w:r>
                    <w:rPr>
                      <w:rFonts w:hint="eastAsia"/>
                      <w:color w:val="auto"/>
                      <w:lang w:val="en-US" w:eastAsia="zh-CN"/>
                    </w:rPr>
                    <w:fldChar w:fldCharType="separate"/>
                  </w:r>
                  <w:r>
                    <w:rPr>
                      <w:rFonts w:hint="eastAsia"/>
                      <w:color w:val="auto"/>
                      <w:lang w:val="en-US" w:eastAsia="zh-CN"/>
                    </w:rPr>
                    <w:t>109.2084</w:t>
                  </w:r>
                  <w:r>
                    <w:rPr>
                      <w:rFonts w:hint="eastAsia"/>
                      <w:color w:val="auto"/>
                      <w:lang w:val="en-US" w:eastAsia="zh-CN"/>
                    </w:rPr>
                    <w:fldChar w:fldCharType="end"/>
                  </w:r>
                </w:p>
              </w:tc>
              <w:tc>
                <w:tcPr>
                  <w:tcW w:w="55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sum(D2:D14) \* MERGEFORMAT </w:instrText>
                  </w:r>
                  <w:r>
                    <w:rPr>
                      <w:rFonts w:hint="eastAsia"/>
                      <w:color w:val="auto"/>
                      <w:lang w:val="en-US" w:eastAsia="zh-CN"/>
                    </w:rPr>
                    <w:fldChar w:fldCharType="separate"/>
                  </w:r>
                  <w:r>
                    <w:rPr>
                      <w:rFonts w:hint="eastAsia"/>
                      <w:color w:val="auto"/>
                      <w:lang w:val="en-US" w:eastAsia="zh-CN"/>
                    </w:rPr>
                    <w:t>26.1788</w:t>
                  </w:r>
                  <w:r>
                    <w:rPr>
                      <w:rFonts w:hint="eastAsia"/>
                      <w:color w:val="auto"/>
                      <w:lang w:val="en-US" w:eastAsia="zh-CN"/>
                    </w:rPr>
                    <w:fldChar w:fldCharType="end"/>
                  </w:r>
                </w:p>
              </w:tc>
              <w:tc>
                <w:tcPr>
                  <w:tcW w:w="55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sum(E2:E14) \* MERGEFORMAT </w:instrText>
                  </w:r>
                  <w:r>
                    <w:rPr>
                      <w:rFonts w:hint="eastAsia"/>
                      <w:color w:val="auto"/>
                      <w:lang w:val="en-US" w:eastAsia="zh-CN"/>
                    </w:rPr>
                    <w:fldChar w:fldCharType="separate"/>
                  </w:r>
                  <w:r>
                    <w:rPr>
                      <w:rFonts w:hint="eastAsia"/>
                      <w:color w:val="auto"/>
                      <w:lang w:val="en-US" w:eastAsia="zh-CN"/>
                    </w:rPr>
                    <w:t>51.5</w:t>
                  </w:r>
                  <w:r>
                    <w:rPr>
                      <w:rFonts w:hint="eastAsia"/>
                      <w:color w:val="auto"/>
                      <w:lang w:val="en-US" w:eastAsia="zh-CN"/>
                    </w:rPr>
                    <w:fldChar w:fldCharType="end"/>
                  </w:r>
                </w:p>
              </w:tc>
              <w:tc>
                <w:tcPr>
                  <w:tcW w:w="55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sum(F2:F14) \* MERGEFORMAT </w:instrText>
                  </w:r>
                  <w:r>
                    <w:rPr>
                      <w:rFonts w:hint="eastAsia"/>
                      <w:color w:val="auto"/>
                      <w:lang w:val="en-US" w:eastAsia="zh-CN"/>
                    </w:rPr>
                    <w:fldChar w:fldCharType="separate"/>
                  </w:r>
                  <w:r>
                    <w:rPr>
                      <w:rFonts w:hint="eastAsia"/>
                      <w:color w:val="auto"/>
                      <w:lang w:val="en-US" w:eastAsia="zh-CN"/>
                    </w:rPr>
                    <w:t>38.3828</w:t>
                  </w:r>
                  <w:r>
                    <w:rPr>
                      <w:rFonts w:hint="eastAsia"/>
                      <w:color w:val="auto"/>
                      <w:lang w:val="en-US" w:eastAsia="zh-CN"/>
                    </w:rPr>
                    <w:fldChar w:fldCharType="end"/>
                  </w:r>
                </w:p>
              </w:tc>
              <w:tc>
                <w:tcPr>
                  <w:tcW w:w="692"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sum(G2:G15) \* MERGEFORMAT </w:instrText>
                  </w:r>
                  <w:r>
                    <w:rPr>
                      <w:rFonts w:hint="eastAsia"/>
                      <w:color w:val="auto"/>
                      <w:lang w:val="en-US" w:eastAsia="zh-CN"/>
                    </w:rPr>
                    <w:fldChar w:fldCharType="separate"/>
                  </w:r>
                  <w:r>
                    <w:rPr>
                      <w:rFonts w:hint="eastAsia"/>
                      <w:color w:val="auto"/>
                      <w:lang w:val="en-US" w:eastAsia="zh-CN"/>
                    </w:rPr>
                    <w:t>70.7356</w:t>
                  </w:r>
                  <w:r>
                    <w:rPr>
                      <w:rFonts w:hint="eastAsia"/>
                      <w:color w:val="auto"/>
                      <w:lang w:val="en-US" w:eastAsia="zh-CN"/>
                    </w:rPr>
                    <w:fldChar w:fldCharType="end"/>
                  </w:r>
                </w:p>
              </w:tc>
              <w:tc>
                <w:tcPr>
                  <w:tcW w:w="69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sum(H2:H15) \* MERGEFORMAT </w:instrText>
                  </w:r>
                  <w:r>
                    <w:rPr>
                      <w:rFonts w:hint="eastAsia"/>
                      <w:color w:val="auto"/>
                      <w:lang w:val="en-US" w:eastAsia="zh-CN"/>
                    </w:rPr>
                    <w:fldChar w:fldCharType="separate"/>
                  </w:r>
                  <w:r>
                    <w:rPr>
                      <w:rFonts w:hint="eastAsia"/>
                      <w:color w:val="auto"/>
                      <w:lang w:val="en-US" w:eastAsia="zh-CN"/>
                    </w:rPr>
                    <w:t>70.7356</w:t>
                  </w:r>
                  <w:r>
                    <w:rPr>
                      <w:rFonts w:hint="eastAsia"/>
                      <w:color w:val="auto"/>
                      <w:lang w:val="en-US" w:eastAsia="zh-CN"/>
                    </w:rPr>
                    <w:fldChar w:fldCharType="end"/>
                  </w:r>
                </w:p>
              </w:tc>
            </w:tr>
          </w:tbl>
          <w:p>
            <w:pPr>
              <w:bidi w:val="0"/>
              <w:spacing w:line="240" w:lineRule="auto"/>
              <w:ind w:left="0" w:right="0" w:firstLineChars="0" w:firstLine="0"/>
              <w:jc w:val="both"/>
              <w:rPr>
                <w:color w:val="auto"/>
                <w:lang w:val="en-US" w:eastAsia="zh-CN"/>
              </w:rPr>
            </w:pPr>
            <w:r>
              <w:rPr>
                <w:color w:val="auto"/>
                <w:lang w:val="en-US" w:eastAsia="zh-CN"/>
              </w:rPr>
              <w:drawing>
                <wp:inline distT="0" distB="0" distL="114300" distR="114300">
                  <wp:extent cx="5514340" cy="7400290"/>
                  <wp:effectExtent l="0" t="0" r="0" b="1"/>
                  <wp:docPr id="1031" name="图片 6"/>
                  <wp:cNvGraphicFramePr>
                    <a:graphicFrameLocks noChangeAspect="1"/>
                  </wp:cNvGraphicFramePr>
                  <a:graphic>
                    <a:graphicData uri="http://schemas.openxmlformats.org/drawingml/2006/picture">
                      <pic:pic>
                        <pic:nvPicPr>
                          <pic:cNvPr id="8" name="图片 6 8"/>
                          <pic:cNvPicPr/>
                        </pic:nvPicPr>
                        <pic:blipFill>
                          <a:blip r:embed="rId7"/>
                          <a:stretch>
                            <a:fillRect/>
                          </a:stretch>
                        </pic:blipFill>
                        <pic:spPr>
                          <a:xfrm rot="0">
                            <a:off x="0" y="0"/>
                            <a:ext cx="5514340" cy="7400290"/>
                          </a:xfrm>
                          <a:prstGeom prst="rect"/>
                          <a:noFill/>
                          <a:ln cmpd="sng" cap="flat">
                            <a:noFill/>
                            <a:prstDash val="solid"/>
                            <a:round/>
                          </a:ln>
                        </pic:spPr>
                      </pic:pic>
                    </a:graphicData>
                  </a:graphic>
                </wp:inline>
              </w:drawing>
            </w:r>
          </w:p>
          <w:p>
            <w:pPr>
              <w:spacing w:line="240" w:lineRule="auto"/>
              <w:ind w:firstLineChars="200" w:firstLine="480"/>
              <w:jc w:val="center"/>
              <w:rPr>
                <w:b/>
                <w:bCs/>
                <w:color w:val="auto"/>
                <w:sz w:val="24"/>
              </w:rPr>
            </w:pPr>
            <w:r>
              <w:rPr>
                <w:b/>
                <w:bCs/>
                <w:color w:val="auto"/>
                <w:sz w:val="24"/>
              </w:rPr>
              <w:t>图2-</w:t>
            </w:r>
            <w:r>
              <w:rPr>
                <w:rFonts w:hint="eastAsia"/>
                <w:b/>
                <w:bCs/>
                <w:color w:val="auto"/>
                <w:sz w:val="24"/>
                <w:lang w:val="en-US" w:eastAsia="zh-CN"/>
              </w:rPr>
              <w:t>3</w:t>
            </w:r>
            <w:r>
              <w:rPr>
                <w:b/>
                <w:bCs/>
                <w:color w:val="auto"/>
                <w:sz w:val="24"/>
              </w:rPr>
              <w:t xml:space="preserve">  </w:t>
            </w:r>
            <w:r>
              <w:rPr>
                <w:rFonts w:hint="eastAsia"/>
                <w:b/>
                <w:bCs/>
                <w:color w:val="auto"/>
                <w:sz w:val="24"/>
                <w:lang w:val="en-US" w:eastAsia="zh-CN"/>
              </w:rPr>
              <w:t>本项目完成后全厂</w:t>
            </w:r>
            <w:r>
              <w:rPr>
                <w:b/>
                <w:bCs/>
                <w:color w:val="auto"/>
                <w:sz w:val="24"/>
              </w:rPr>
              <w:t>用水平衡图</w:t>
            </w:r>
            <w:r>
              <w:rPr>
                <w:rFonts w:hint="eastAsia"/>
                <w:b/>
                <w:bCs/>
                <w:color w:val="auto"/>
                <w:sz w:val="24"/>
                <w:lang w:val="en-US" w:eastAsia="zh-CN"/>
              </w:rPr>
              <w:t xml:space="preserve">       m³/d</w:t>
            </w:r>
          </w:p>
          <w:p>
            <w:pPr>
              <w:spacing w:line="360" w:lineRule="auto"/>
              <w:ind w:firstLineChars="200" w:firstLine="480"/>
              <w:rPr>
                <w:color w:val="auto"/>
                <w:sz w:val="24"/>
              </w:rPr>
            </w:pPr>
            <w:r>
              <w:rPr>
                <w:color w:val="auto"/>
                <w:sz w:val="24"/>
              </w:rPr>
              <w:t>（3）供电：</w:t>
            </w:r>
            <w:r>
              <w:rPr>
                <w:rFonts w:hint="eastAsia"/>
                <w:color w:val="auto"/>
                <w:sz w:val="24"/>
                <w:lang w:val="en-US" w:eastAsia="zh-CN"/>
              </w:rPr>
              <w:t>项目</w:t>
            </w:r>
            <w:r>
              <w:rPr>
                <w:color w:val="auto"/>
                <w:sz w:val="24"/>
              </w:rPr>
              <w:t>用电</w:t>
            </w:r>
            <w:r>
              <w:rPr>
                <w:rFonts w:hint="eastAsia"/>
                <w:color w:val="auto"/>
                <w:sz w:val="24"/>
              </w:rPr>
              <w:t>由园区供电所提供</w:t>
            </w:r>
            <w:r>
              <w:rPr>
                <w:color w:val="auto"/>
                <w:sz w:val="24"/>
              </w:rPr>
              <w:t>，</w:t>
            </w:r>
            <w:r>
              <w:rPr>
                <w:rFonts w:hint="eastAsia"/>
                <w:color w:val="auto"/>
                <w:sz w:val="24"/>
              </w:rPr>
              <w:t>本</w:t>
            </w:r>
            <w:r>
              <w:rPr>
                <w:color w:val="auto"/>
                <w:sz w:val="24"/>
              </w:rPr>
              <w:t>项目</w:t>
            </w:r>
            <w:r>
              <w:rPr>
                <w:rFonts w:hint="eastAsia"/>
                <w:color w:val="auto"/>
                <w:sz w:val="24"/>
                <w:lang w:val="en-US" w:eastAsia="zh-CN"/>
              </w:rPr>
              <w:t>新增</w:t>
            </w:r>
            <w:r>
              <w:rPr>
                <w:color w:val="auto"/>
                <w:sz w:val="24"/>
              </w:rPr>
              <w:t>电量</w:t>
            </w:r>
            <w:r>
              <w:rPr>
                <w:rFonts w:hint="eastAsia"/>
                <w:color w:val="auto"/>
                <w:sz w:val="24"/>
                <w:lang w:val="en-US" w:eastAsia="zh-CN"/>
              </w:rPr>
              <w:t>20</w:t>
            </w:r>
            <w:r>
              <w:rPr>
                <w:color w:val="auto"/>
                <w:sz w:val="24"/>
              </w:rPr>
              <w:t>万kW·h/a</w:t>
            </w:r>
            <w:r>
              <w:rPr>
                <w:rFonts w:hint="eastAsia"/>
                <w:color w:val="auto"/>
                <w:sz w:val="24"/>
              </w:rPr>
              <w:t>，</w:t>
            </w:r>
            <w:r>
              <w:rPr>
                <w:rFonts w:hint="eastAsia"/>
                <w:color w:val="auto"/>
                <w:sz w:val="24"/>
                <w:lang w:val="en-US" w:eastAsia="zh-CN"/>
              </w:rPr>
              <w:t>本项目完成后全厂用电量为60万kW·h/a</w:t>
            </w:r>
            <w:r>
              <w:rPr>
                <w:color w:val="auto"/>
                <w:sz w:val="24"/>
              </w:rPr>
              <w:t>。</w:t>
            </w:r>
          </w:p>
          <w:p>
            <w:pPr>
              <w:bidi w:val="0"/>
              <w:rPr>
                <w:color w:val="auto"/>
              </w:rPr>
            </w:pPr>
            <w:r>
              <w:rPr>
                <w:color w:val="auto"/>
              </w:rPr>
              <w:t>（</w:t>
            </w:r>
            <w:r>
              <w:rPr>
                <w:rFonts w:hint="eastAsia"/>
                <w:color w:val="auto"/>
              </w:rPr>
              <w:t>4</w:t>
            </w:r>
            <w:r>
              <w:rPr>
                <w:color w:val="auto"/>
              </w:rPr>
              <w:t>）供热</w:t>
            </w:r>
            <w:r>
              <w:rPr>
                <w:rFonts w:hint="eastAsia"/>
                <w:color w:val="auto"/>
                <w:lang w:eastAsia="zh-CN"/>
              </w:rPr>
              <w:t>：</w:t>
            </w:r>
            <w:r>
              <w:rPr>
                <w:rFonts w:hint="eastAsia"/>
                <w:color w:val="auto"/>
                <w:lang w:val="en-US" w:eastAsia="zh-CN"/>
              </w:rPr>
              <w:t>集中供热管提供的蒸汽压力为2-3MPa，而本项目杀菌机所需的蒸汽压力为7-8MPa，集中供热的蒸汽压力无法满足本项目的生产需求。因此，本项目拟建设2套2t/h的蒸汽发生器，为本项目及其他生产工序供应蒸汽。</w:t>
            </w:r>
          </w:p>
          <w:p>
            <w:pPr>
              <w:bidi w:val="0"/>
              <w:rPr>
                <w:color w:val="auto"/>
                <w:lang w:val="en-US" w:eastAsia="zh-CN"/>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lang w:val="en-US" w:eastAsia="zh-CN"/>
              </w:rPr>
              <w:t>供气：单台蒸汽发生器每小时天然气用量为150m³/h，设计运行时间为2400h/a，则单台蒸汽发生器天然气用量为36万m³/a，项目设计安装两套2t/h蒸汽发生器，天然气总用量为72万m³/a，项目用气由园区管网提供。</w:t>
            </w:r>
          </w:p>
          <w:p>
            <w:pPr>
              <w:spacing w:line="360" w:lineRule="auto"/>
              <w:ind w:firstLineChars="200" w:firstLine="480"/>
              <w:rPr>
                <w:color w:val="auto"/>
                <w:sz w:val="24"/>
                <w:szCs w:val="32"/>
              </w:rPr>
            </w:pPr>
            <w:r>
              <w:rPr>
                <w:rFonts w:hint="eastAsia"/>
                <w:b/>
                <w:bCs/>
                <w:color w:val="auto"/>
                <w:sz w:val="24"/>
                <w:szCs w:val="32"/>
              </w:rPr>
              <w:t>6、平面布置</w:t>
            </w:r>
          </w:p>
          <w:p>
            <w:pPr>
              <w:bidi w:val="0"/>
              <w:rPr>
                <w:color w:val="auto"/>
              </w:rPr>
            </w:pPr>
            <w:r>
              <w:rPr>
                <w:rFonts w:hint="eastAsia"/>
                <w:color w:val="auto"/>
                <w:lang w:val="en-US" w:eastAsia="zh-CN"/>
              </w:rPr>
              <w:t>厂区中部为1#车间和2#车间，1#车间南部为3#车间，1#车间北部为一般固废间，污水处理站、泵房和地下消防水池位于厂区东南角。1#车间内1层东北角是危废间，北侧为冷库，其他区域为饮料生产区，1#车间2层为食品添加剂生产区；2#车间1层东南角为锅炉房，其他区域暂时空置。</w:t>
            </w:r>
            <w:r>
              <w:rPr>
                <w:rFonts w:hint="eastAsia"/>
                <w:color w:val="auto"/>
              </w:rPr>
              <w:t>项目</w:t>
            </w:r>
            <w:r>
              <w:rPr>
                <w:color w:val="auto"/>
              </w:rPr>
              <w:t>平面布置</w:t>
            </w:r>
            <w:r>
              <w:rPr>
                <w:rFonts w:hint="eastAsia"/>
                <w:color w:val="auto"/>
              </w:rPr>
              <w:t>图</w:t>
            </w:r>
            <w:r>
              <w:rPr>
                <w:color w:val="auto"/>
              </w:rPr>
              <w:t>见附图3。</w:t>
            </w:r>
          </w:p>
          <w:p>
            <w:pPr>
              <w:spacing w:line="360" w:lineRule="auto"/>
              <w:ind w:firstLineChars="200" w:firstLine="480"/>
              <w:rPr>
                <w:rFonts w:eastAsia="宋体"/>
                <w:b/>
                <w:bCs/>
                <w:color w:val="auto"/>
                <w:sz w:val="24"/>
                <w:szCs w:val="32"/>
                <w:lang w:val="en-US" w:eastAsia="zh-CN"/>
              </w:rPr>
            </w:pPr>
            <w:r>
              <w:rPr>
                <w:rFonts w:hint="eastAsia"/>
                <w:b/>
                <w:bCs/>
                <w:color w:val="auto"/>
                <w:sz w:val="24"/>
                <w:szCs w:val="32"/>
                <w:lang w:val="en-US" w:eastAsia="zh-CN"/>
              </w:rPr>
              <w:t>7</w:t>
            </w:r>
            <w:r>
              <w:rPr>
                <w:rFonts w:hint="eastAsia"/>
                <w:b/>
                <w:bCs/>
                <w:color w:val="auto"/>
                <w:sz w:val="24"/>
                <w:szCs w:val="32"/>
              </w:rPr>
              <w:t>、</w:t>
            </w:r>
            <w:r>
              <w:rPr>
                <w:rFonts w:hint="eastAsia"/>
                <w:b/>
                <w:bCs/>
                <w:color w:val="auto"/>
                <w:sz w:val="24"/>
                <w:szCs w:val="32"/>
                <w:lang w:val="en-US" w:eastAsia="zh-CN"/>
              </w:rPr>
              <w:t>劳动定员及工作制度</w:t>
            </w:r>
          </w:p>
          <w:p>
            <w:pPr>
              <w:spacing w:line="360" w:lineRule="auto"/>
              <w:ind w:firstLineChars="200" w:firstLine="480"/>
              <w:rPr>
                <w:rFonts w:hint="eastAsia"/>
                <w:color w:val="auto"/>
                <w:sz w:val="24"/>
                <w:szCs w:val="32"/>
                <w:lang w:val="en-US" w:eastAsia="zh-CN"/>
              </w:rPr>
            </w:pPr>
            <w:r>
              <w:rPr>
                <w:rFonts w:hint="eastAsia"/>
                <w:color w:val="auto"/>
                <w:sz w:val="24"/>
                <w:szCs w:val="32"/>
                <w:lang w:val="en-US" w:eastAsia="zh-CN"/>
              </w:rPr>
              <w:t>本项目不新增劳动定员，由现有人员调剂，现有劳动定员50人，实行1班制，每班8小时，年工作300天。</w:t>
            </w: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p>
            <w:pPr>
              <w:spacing w:line="360" w:lineRule="auto"/>
              <w:ind w:firstLineChars="200" w:firstLine="480"/>
              <w:rPr>
                <w:rFonts w:hint="eastAsia"/>
                <w:color w:val="auto"/>
                <w:sz w:val="24"/>
                <w:szCs w:val="32"/>
                <w:lang w:val="en-US" w:eastAsia="zh-CN"/>
              </w:rPr>
            </w:pPr>
          </w:p>
        </w:tc>
      </w:tr>
      <w:tr>
        <w:trPr>
          <w:trHeight w:val="517"/>
        </w:trPr>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Chars="0" w:firstLine="0"/>
              <w:jc w:val="center"/>
              <w:textAlignment w:val="auto"/>
              <w:rPr>
                <w:rFonts w:ascii="Times New Roman" w:hAnsi="Times New Roman"/>
                <w:color w:val="auto"/>
                <w:szCs w:val="24"/>
              </w:rPr>
            </w:pPr>
            <w:r>
              <w:rPr>
                <w:rFonts w:ascii="Times New Roman" w:hAnsi="Times New Roman"/>
                <w:color w:val="auto"/>
                <w:szCs w:val="24"/>
              </w:rPr>
              <w:t>工艺流程和产排污环节</w:t>
            </w:r>
          </w:p>
        </w:tc>
        <w:tc>
          <w:tcPr>
            <w:tcW w:w="8640" w:type="dxa"/>
            <w:tcBorders>
              <w:left w:val="single" w:sz="4" w:space="0" w:color="auto"/>
            </w:tcBorders>
          </w:tcPr>
          <w:p>
            <w:pPr>
              <w:bidi w:val="0"/>
              <w:rPr>
                <w:color w:val="auto"/>
                <w:lang w:val="en-US" w:eastAsia="zh-CN"/>
              </w:rPr>
            </w:pPr>
            <w:r>
              <w:rPr>
                <w:rFonts w:hint="eastAsia"/>
                <w:color w:val="auto"/>
                <w:lang w:val="en-US" w:eastAsia="zh-CN"/>
              </w:rPr>
              <w:t>1、果蔬汁（浆）生产工艺流程（新增）</w:t>
            </w:r>
          </w:p>
          <w:p>
            <w:pPr>
              <w:bidi w:val="0"/>
              <w:spacing w:line="240" w:lineRule="auto"/>
              <w:ind w:left="0" w:right="0" w:firstLineChars="0" w:firstLine="0"/>
              <w:jc w:val="center"/>
              <w:rPr>
                <w:rFonts w:hint="eastAsia"/>
                <w:color w:val="auto"/>
                <w:lang w:val="en-US" w:eastAsia="zh-CN"/>
              </w:rPr>
            </w:pPr>
            <w:r>
              <w:rPr>
                <w:rFonts w:hint="eastAsia"/>
                <w:color w:val="auto"/>
                <w:lang w:val="en-US" w:eastAsia="zh-CN"/>
              </w:rPr>
              <mc:AlternateContent>
                <mc:Choice Requires="wps">
                  <w:drawing>
                    <wp:anchor distT="0" distB="0" distL="114300" distR="114300" simplePos="0" relativeHeight="550" behindDoc="0" locked="0" layoutInCell="1" hidden="0" allowOverlap="1">
                      <wp:simplePos x="0" y="0"/>
                      <wp:positionH relativeFrom="column">
                        <wp:posOffset>307975</wp:posOffset>
                      </wp:positionH>
                      <wp:positionV relativeFrom="paragraph">
                        <wp:posOffset>1591944</wp:posOffset>
                      </wp:positionV>
                      <wp:extent cx="2606040" cy="275590"/>
                      <wp:wrapNone/>
                      <wp:docPr id="96" name="文本框 96"/>
                      <wp:cNvGraphicFramePr>
                        <a:graphicFrameLocks noChangeAspect="0"/>
                      </wp:cNvGraphicFramePr>
                      <a:graphic>
                        <a:graphicData uri="http://schemas.microsoft.com/office/word/2010/wordprocessingShape">
                          <wps:wsp>
                            <wps:cNvSpPr/>
                            <wps:spPr>
                              <a:xfrm rot="0">
                                <a:off x="0" y="0"/>
                                <a:ext cx="2606040" cy="275590"/>
                              </a:xfrm>
                              <a:prstGeom prst="rect"/>
                              <a:noFill/>
                              <a:ln w="6350" cmpd="sng" cap="flat">
                                <a:noFill/>
                                <a:prstDash val="solid"/>
                                <a:round/>
                              </a:ln>
                            </wps:spPr>
                            <wps:txbx id="9">
                              <w:txbxContent>
                                <w:p>
                                  <w:pPr>
                                    <w:spacing w:line="240" w:lineRule="auto"/>
                                    <w:ind w:left="0" w:firstLineChars="0" w:firstLine="0"/>
                                    <w:rPr>
                                      <w:sz w:val="21"/>
                                      <w:szCs w:val="21"/>
                                      <w:lang w:val="en-US" w:eastAsia="zh-CN"/>
                                    </w:rPr>
                                  </w:pPr>
                                  <w:r>
                                    <w:rPr>
                                      <w:rFonts w:hint="eastAsia"/>
                                      <w:sz w:val="21"/>
                                      <w:szCs w:val="21"/>
                                      <w:lang w:val="en-US" w:eastAsia="zh-CN"/>
                                    </w:rPr>
                                    <w:t>G：废气  S：固体废物  W：废水</w:t>
                                  </w:r>
                                </w:p>
                              </w:txbxContent>
                            </wps:txbx>
                            <wps:bodyPr vert="horz" wrap="square" lIns="91440" tIns="45720" rIns="91440" bIns="45720" anchor="t" anchorCtr="0" upright="0">
                              <a:noAutofit/>
                            </wps:bodyPr>
                          </wps:wsp>
                        </a:graphicData>
                      </a:graphic>
                    </wp:anchor>
                  </w:drawing>
                </mc:Choice>
                <mc:Fallback>
                  <w:pict>
                    <v:rect type="#_x0000_t1" id="文本框 96" o:spid="_x0000_s10" filled="f" stroked="f" strokeweight="0.5pt" style="position:absolute;margin-left:24.250002pt;margin-top:125.35pt;width:205.2pt;height:21.7pt;z-index:550;mso-position-horizontal:absolute;mso-position-vertical:absolute;mso-wrap-style:square;">
                      <v:stroke/>
                      <v:textbox id="851" inset="2.54mm,1.27mm,2.54mm,1.27mm" o:insetmode="custom" style="layout-flow:horizontal;v-text-anchor:top;">
                        <w:txbxContent>
                          <w:p>
                            <w:pPr>
                              <w:spacing w:line="240" w:lineRule="auto"/>
                              <w:ind w:left="0" w:firstLineChars="0" w:firstLine="0"/>
                              <w:rPr>
                                <w:sz w:val="21"/>
                                <w:szCs w:val="21"/>
                                <w:lang w:val="en-US" w:eastAsia="zh-CN"/>
                              </w:rPr>
                            </w:pPr>
                            <w:r>
                              <w:rPr>
                                <w:rFonts w:hint="eastAsia"/>
                                <w:sz w:val="21"/>
                                <w:szCs w:val="21"/>
                                <w:lang w:val="en-US" w:eastAsia="zh-CN"/>
                              </w:rPr>
                              <w:t>G：废气  S：固体废物  W：废水</w:t>
                            </w:r>
                          </w:p>
                        </w:txbxContent>
                      </v:textbox>
                    </v:rect>
                  </w:pict>
                </mc:Fallback>
              </mc:AlternateContent>
            </w:r>
            <w:r>
              <w:rPr>
                <w:rFonts w:hint="eastAsia"/>
                <w:color w:val="auto"/>
                <w:lang w:val="en-US" w:eastAsia="zh-CN"/>
              </w:rPr>
              <w:drawing>
                <wp:inline distT="0" distB="0" distL="114300" distR="114300">
                  <wp:extent cx="4772659" cy="1908175"/>
                  <wp:effectExtent l="0" t="0" r="1" b="0"/>
                  <wp:docPr id="1032" name="图片 7"/>
                  <wp:cNvGraphicFramePr>
                    <a:graphicFrameLocks noChangeAspect="1"/>
                  </wp:cNvGraphicFramePr>
                  <a:graphic>
                    <a:graphicData uri="http://schemas.openxmlformats.org/drawingml/2006/picture">
                      <pic:pic>
                        <pic:nvPicPr>
                          <pic:cNvPr id="12" name="图片 7 12"/>
                          <pic:cNvPicPr/>
                        </pic:nvPicPr>
                        <pic:blipFill>
                          <a:blip r:embed="rId8"/>
                          <a:stretch>
                            <a:fillRect/>
                          </a:stretch>
                        </pic:blipFill>
                        <pic:spPr>
                          <a:xfrm rot="0">
                            <a:off x="0" y="0"/>
                            <a:ext cx="4772659" cy="1908175"/>
                          </a:xfrm>
                          <a:prstGeom prst="rect"/>
                          <a:noFill/>
                          <a:ln cmpd="sng" cap="flat">
                            <a:noFill/>
                            <a:prstDash val="solid"/>
                            <a:round/>
                          </a:ln>
                        </pic:spPr>
                      </pic:pic>
                    </a:graphicData>
                  </a:graphic>
                </wp:inline>
              </w:drawing>
            </w:r>
          </w:p>
          <w:p>
            <w:pPr>
              <w:pStyle w:val="24"/>
              <w:bidi w:val="0"/>
              <w:rPr>
                <w:rFonts w:hint="eastAsia"/>
                <w:color w:val="auto"/>
                <w:lang w:val="en-US" w:eastAsia="zh-CN"/>
              </w:rPr>
            </w:pPr>
            <w:r>
              <w:rPr>
                <w:rFonts w:hint="eastAsia"/>
                <w:color w:val="auto"/>
                <w:lang w:val="en-US" w:eastAsia="zh-CN"/>
                <w:highlight w:val="none"/>
              </w:rPr>
              <w:t>图2-4  果蔬汁（浆）生产工艺流程及排污节点图</w:t>
            </w:r>
          </w:p>
          <w:p>
            <w:pPr>
              <w:bidi w:val="0"/>
              <w:rPr>
                <w:color w:val="auto"/>
                <w:lang w:val="en-US" w:eastAsia="zh-CN"/>
              </w:rPr>
            </w:pPr>
            <w:r>
              <w:rPr>
                <w:rFonts w:hint="eastAsia"/>
                <w:color w:val="auto"/>
                <w:lang w:val="en-US" w:eastAsia="zh-CN"/>
              </w:rPr>
              <w:t>工艺流程简述：</w:t>
            </w:r>
          </w:p>
          <w:p>
            <w:pPr>
              <w:bidi w:val="0"/>
              <w:rPr>
                <w:rFonts w:hint="eastAsia"/>
                <w:color w:val="auto"/>
                <w:lang w:val="en-US" w:eastAsia="zh-CN"/>
              </w:rPr>
            </w:pPr>
            <w:r>
              <w:rPr>
                <w:rFonts w:hint="eastAsia"/>
                <w:color w:val="auto"/>
                <w:lang w:val="en-US" w:eastAsia="zh-CN"/>
              </w:rPr>
              <w:t>原料：原材料分为冷冻品和非冷冻品，入场的原料经人工核验合格后存入冷库暂存。</w:t>
            </w:r>
          </w:p>
          <w:p>
            <w:pPr>
              <w:bidi w:val="0"/>
              <w:rPr>
                <w:rFonts w:hint="eastAsia"/>
                <w:color w:val="auto"/>
                <w:lang w:val="en-US" w:eastAsia="zh-CN"/>
              </w:rPr>
            </w:pPr>
            <w:r>
              <w:rPr>
                <w:rFonts w:hint="eastAsia"/>
                <w:color w:val="auto"/>
                <w:lang w:val="en-US" w:eastAsia="zh-CN"/>
              </w:rPr>
              <w:t>预处理：冷冻的果蔬原材料在榨汁加工前需要用缓化隧道化冻处理，将原材料浸泡在缓化隧道的水池内，水的温度在40℃左右，水池底部铺设换热管，用厂内蒸汽发生器产生的蒸汽间接加热冷水，蒸汽冷凝后回用蒸汽发生器。</w:t>
            </w:r>
          </w:p>
          <w:p>
            <w:pPr>
              <w:bidi w:val="0"/>
              <w:rPr>
                <w:color w:val="auto"/>
                <w:lang w:val="en-US" w:eastAsia="zh-CN"/>
              </w:rPr>
            </w:pPr>
            <w:r>
              <w:rPr>
                <w:color w:val="auto"/>
                <w:lang w:val="en-US" w:eastAsia="zh-CN"/>
              </w:rPr>
              <w:t>此工序主要污染物为：果蔬清洗废水W1</w:t>
            </w:r>
            <w:r>
              <w:rPr>
                <w:rFonts w:hint="eastAsia"/>
                <w:color w:val="auto"/>
                <w:lang w:val="en-US" w:eastAsia="zh-CN"/>
              </w:rPr>
              <w:t>。</w:t>
            </w:r>
          </w:p>
          <w:p>
            <w:pPr>
              <w:bidi w:val="0"/>
              <w:rPr>
                <w:color w:val="auto"/>
                <w:lang w:val="en-US" w:eastAsia="zh-CN"/>
                <w:highlight w:val="none"/>
              </w:rPr>
            </w:pPr>
            <w:r>
              <w:rPr>
                <w:rFonts w:hint="eastAsia"/>
                <w:color w:val="auto"/>
                <w:lang w:val="en-US" w:eastAsia="zh-CN"/>
                <w:highlight w:val="none"/>
              </w:rPr>
              <w:t>清洗：化冻好的原材料或非冷冻的原材料送入清洗隧道浸泡清洗5-10分钟，清洗表面残余的泥土、灰尘等其他杂质。</w:t>
            </w:r>
          </w:p>
          <w:p>
            <w:pPr>
              <w:bidi w:val="0"/>
              <w:rPr>
                <w:color w:val="auto"/>
                <w:lang w:val="en-US" w:eastAsia="zh-CN"/>
              </w:rPr>
            </w:pPr>
            <w:r>
              <w:rPr>
                <w:rFonts w:hint="eastAsia"/>
                <w:color w:val="auto"/>
                <w:lang w:val="en-US" w:eastAsia="zh-CN"/>
              </w:rPr>
              <w:t>此工序产生果蔬清洗废水W1。</w:t>
            </w:r>
          </w:p>
          <w:p>
            <w:pPr>
              <w:bidi w:val="0"/>
              <w:rPr>
                <w:rFonts w:hint="eastAsia"/>
                <w:color w:val="auto"/>
                <w:lang w:val="en-US" w:eastAsia="zh-CN"/>
              </w:rPr>
            </w:pPr>
            <w:r>
              <w:rPr>
                <w:rFonts w:hint="eastAsia"/>
                <w:color w:val="auto"/>
                <w:lang w:val="en-US" w:eastAsia="zh-CN"/>
              </w:rPr>
              <w:t>打浆：清洗好的原材料送入打浆机或双联打浆机，打浆机内装有高速旋转的刀片，将原材料打成果蔬汁（浆），部分较大的原材料先用多功能切菜机切成小块后再送入打浆机打浆。</w:t>
            </w:r>
          </w:p>
          <w:p>
            <w:pPr>
              <w:bidi w:val="0"/>
              <w:rPr>
                <w:rFonts w:hint="eastAsia"/>
                <w:color w:val="auto"/>
                <w:lang w:val="en-US" w:eastAsia="zh-CN"/>
              </w:rPr>
            </w:pPr>
            <w:r>
              <w:rPr>
                <w:color w:val="auto"/>
                <w:lang w:val="en-US" w:eastAsia="zh-CN"/>
              </w:rPr>
              <w:t>此工序产生设备冲洗废水W</w:t>
            </w:r>
            <w:r>
              <w:rPr>
                <w:rFonts w:hint="eastAsia"/>
                <w:color w:val="auto"/>
                <w:lang w:val="en-US" w:eastAsia="zh-CN"/>
              </w:rPr>
              <w:t>2。</w:t>
            </w:r>
          </w:p>
          <w:p>
            <w:pPr>
              <w:bidi w:val="0"/>
              <w:rPr>
                <w:rFonts w:hint="eastAsia"/>
                <w:color w:val="auto"/>
                <w:lang w:val="en-US" w:eastAsia="zh-CN"/>
              </w:rPr>
            </w:pPr>
            <w:r>
              <w:rPr>
                <w:rFonts w:hint="eastAsia"/>
                <w:color w:val="auto"/>
                <w:lang w:val="en-US" w:eastAsia="zh-CN"/>
              </w:rPr>
              <w:t>过滤：打浆完成后将果蔬浆液通过密闭管道输送至过滤机，用滤网过滤浆料中的果蔬渣，得到果蔬汁（浆）。</w:t>
            </w:r>
          </w:p>
          <w:p>
            <w:pPr>
              <w:bidi w:val="0"/>
              <w:rPr>
                <w:color w:val="auto"/>
                <w:lang w:val="en-US" w:eastAsia="zh-CN"/>
              </w:rPr>
            </w:pPr>
            <w:r>
              <w:rPr>
                <w:color w:val="auto"/>
                <w:lang w:val="en-US" w:eastAsia="zh-CN"/>
              </w:rPr>
              <w:t>此工序产生设备冲洗废水W2、果蔬渣S1。</w:t>
            </w:r>
          </w:p>
          <w:p>
            <w:pPr>
              <w:bidi w:val="0"/>
              <w:rPr>
                <w:rFonts w:hint="eastAsia"/>
                <w:color w:val="auto"/>
                <w:lang w:val="en-US" w:eastAsia="zh-CN"/>
                <w:highlight w:val="none"/>
              </w:rPr>
            </w:pPr>
            <w:r>
              <w:rPr>
                <w:rFonts w:hint="eastAsia"/>
                <w:color w:val="auto"/>
                <w:lang w:val="en-US" w:eastAsia="zh-CN"/>
                <w:highlight w:val="none"/>
              </w:rPr>
              <w:t>调配：过滤好的果蔬汁再用密闭管道通入搅拌缸内，加入白砂糖和维生素进行调配。</w:t>
            </w:r>
          </w:p>
          <w:p>
            <w:pPr>
              <w:bidi w:val="0"/>
              <w:rPr>
                <w:color w:val="auto"/>
                <w:lang w:val="en-US" w:eastAsia="zh-CN"/>
              </w:rPr>
            </w:pPr>
            <w:r>
              <w:rPr>
                <w:color w:val="auto"/>
                <w:lang w:val="en-US" w:eastAsia="zh-CN"/>
              </w:rPr>
              <w:t>此工序产生设备冲洗废水W2</w:t>
            </w:r>
            <w:r>
              <w:rPr>
                <w:rFonts w:hint="eastAsia"/>
                <w:color w:val="auto"/>
                <w:lang w:val="en-US" w:eastAsia="zh-CN"/>
              </w:rPr>
              <w:t>。</w:t>
            </w:r>
          </w:p>
          <w:p>
            <w:pPr>
              <w:bidi w:val="0"/>
              <w:rPr>
                <w:rFonts w:hint="eastAsia"/>
                <w:color w:val="auto"/>
                <w:lang w:val="en-US" w:eastAsia="zh-CN"/>
              </w:rPr>
            </w:pPr>
            <w:r>
              <w:rPr>
                <w:rFonts w:hint="eastAsia"/>
                <w:color w:val="auto"/>
                <w:lang w:val="en-US" w:eastAsia="zh-CN"/>
              </w:rPr>
              <w:t>灌装：调配好的果蔬汁（浆）先经密闭管道输送至套管式杀菌机中杀菌消毒，物料在连续流动的状态下通过</w:t>
            </w:r>
            <w:r>
              <w:rPr>
                <w:rFonts w:hint="eastAsia"/>
                <w:color w:val="auto"/>
                <w:lang w:val="en-US" w:eastAsia="zh-CN"/>
              </w:rPr>
              <w:fldChar w:fldCharType="begin"/>
            </w:r>
            <w:r>
              <w:instrText>HYPERLINK "https://baike.baidu.com/item/%E5%A5%97%E7%AE%A1%E5%BC%8F%E7%83%AD%E4%BA%A4%E6%8D%A2%E5%99%A8/22734962?fromModule=lemma_inlink"</w:instrText>
            </w:r>
            <w:r>
              <w:rPr>
                <w:rFonts w:hint="eastAsia"/>
                <w:color w:val="auto"/>
                <w:lang w:val="en-US" w:eastAsia="zh-CN"/>
              </w:rPr>
              <w:fldChar w:fldCharType="separate"/>
            </w:r>
            <w:r>
              <w:rPr>
                <w:rFonts w:hint="eastAsia"/>
                <w:color w:val="auto"/>
                <w:lang w:val="en-US" w:eastAsia="zh-CN"/>
              </w:rPr>
              <w:t>套管式热交换器</w:t>
            </w:r>
            <w:r>
              <w:rPr>
                <w:rFonts w:hint="eastAsia"/>
                <w:color w:val="auto"/>
                <w:lang w:val="en-US" w:eastAsia="zh-CN"/>
              </w:rPr>
              <w:fldChar w:fldCharType="end"/>
            </w:r>
            <w:r>
              <w:rPr>
                <w:rFonts w:hint="eastAsia"/>
                <w:color w:val="auto"/>
                <w:lang w:val="en-US" w:eastAsia="zh-CN"/>
              </w:rPr>
              <w:t>加热至138～150℃，并在这一温度下保持一定的时间(2～4秒)以达到无菌水平，然后再用密闭管道输送到单头BIB无菌灌装机将物料灌装于</w:t>
            </w:r>
            <w:r>
              <w:rPr>
                <w:rFonts w:hint="eastAsia"/>
                <w:color w:val="auto"/>
                <w:lang w:val="en-US" w:eastAsia="zh-CN"/>
              </w:rPr>
              <w:fldChar w:fldCharType="begin"/>
            </w:r>
            <w:r>
              <w:instrText>HYPERLINK "https://baike.baidu.com/item/%E6%97%A0%E8%8F%8C%E5%8C%85%E8%A3%85/9515291?fromModule=lemma_inlink"</w:instrText>
            </w:r>
            <w:r>
              <w:rPr>
                <w:rFonts w:hint="eastAsia"/>
                <w:color w:val="auto"/>
                <w:lang w:val="en-US" w:eastAsia="zh-CN"/>
              </w:rPr>
              <w:fldChar w:fldCharType="separate"/>
            </w:r>
            <w:r>
              <w:rPr>
                <w:rFonts w:hint="eastAsia"/>
                <w:color w:val="auto"/>
                <w:lang w:val="en-US" w:eastAsia="zh-CN"/>
              </w:rPr>
              <w:t>包装</w:t>
            </w:r>
            <w:r>
              <w:rPr>
                <w:rFonts w:hint="eastAsia"/>
                <w:color w:val="auto"/>
                <w:lang w:val="en-US" w:eastAsia="zh-CN"/>
              </w:rPr>
              <w:fldChar w:fldCharType="end"/>
            </w:r>
            <w:r>
              <w:rPr>
                <w:rFonts w:hint="eastAsia"/>
                <w:color w:val="auto"/>
                <w:lang w:val="en-US" w:eastAsia="zh-CN"/>
              </w:rPr>
              <w:t>容器中。整个灭菌过程在高温状态下瞬时内完成，极大的保存了食品原有的风味和营养成分，大大延长了产品的保质期，杀菌所用的蒸汽由厂内蒸汽发生器提供，采取间接加热的方式，蒸汽不直接与物料接触，蒸汽冷凝水回用蒸汽发生器。</w:t>
            </w:r>
          </w:p>
          <w:p>
            <w:pPr>
              <w:bidi w:val="0"/>
              <w:rPr>
                <w:color w:val="auto"/>
                <w:lang w:val="en-US" w:eastAsia="zh-CN"/>
              </w:rPr>
            </w:pPr>
            <w:r>
              <w:rPr>
                <w:color w:val="auto"/>
                <w:lang w:val="en-US" w:eastAsia="zh-CN"/>
              </w:rPr>
              <w:t>此工序主要污染物为：设备冲洗废水W2</w:t>
            </w:r>
            <w:r>
              <w:rPr>
                <w:rFonts w:hint="eastAsia"/>
                <w:color w:val="auto"/>
                <w:lang w:val="en-US" w:eastAsia="zh-CN"/>
              </w:rPr>
              <w:t>。</w:t>
            </w:r>
          </w:p>
          <w:p>
            <w:pPr>
              <w:bidi w:val="0"/>
              <w:rPr>
                <w:rFonts w:hint="eastAsia"/>
                <w:color w:val="auto"/>
                <w:lang w:val="en-US" w:eastAsia="zh-CN"/>
              </w:rPr>
            </w:pPr>
            <w:r>
              <w:rPr>
                <w:rFonts w:hint="eastAsia"/>
                <w:color w:val="auto"/>
                <w:lang w:val="en-US" w:eastAsia="zh-CN"/>
              </w:rPr>
              <w:t>包装：利用激光打码机在瓶身标注生产信息后，采用PE包装膜进行包装作业。缠绕PE包装膜完毕后，对包装膜实施加热处理，使其收缩并紧密包裹瓶身。</w:t>
            </w:r>
          </w:p>
          <w:p>
            <w:pPr>
              <w:bidi w:val="0"/>
              <w:rPr>
                <w:color w:val="auto"/>
                <w:lang w:val="en-US" w:eastAsia="zh-CN"/>
              </w:rPr>
            </w:pPr>
            <w:r>
              <w:rPr>
                <w:rFonts w:hint="eastAsia"/>
                <w:color w:val="auto"/>
                <w:lang w:val="en-US" w:eastAsia="zh-CN"/>
              </w:rPr>
              <w:t>此工序主要污染物为：PE膜加热废气G1</w:t>
            </w:r>
          </w:p>
          <w:p>
            <w:pPr>
              <w:bidi w:val="0"/>
              <w:rPr>
                <w:rFonts w:hint="eastAsia"/>
                <w:color w:val="auto"/>
                <w:lang w:val="en-US" w:eastAsia="zh-CN"/>
              </w:rPr>
            </w:pPr>
            <w:r>
              <w:rPr>
                <w:rFonts w:hint="eastAsia"/>
                <w:color w:val="auto"/>
                <w:lang w:val="en-US" w:eastAsia="zh-CN"/>
              </w:rPr>
              <mc:AlternateContent>
                <mc:Choice Requires="wps">
                  <w:drawing>
                    <wp:anchor distT="0" distB="0" distL="114300" distR="114300" simplePos="0" relativeHeight="588" behindDoc="0" locked="0" layoutInCell="1" hidden="0" allowOverlap="1">
                      <wp:simplePos x="0" y="0"/>
                      <wp:positionH relativeFrom="column">
                        <wp:posOffset>4483735</wp:posOffset>
                      </wp:positionH>
                      <wp:positionV relativeFrom="paragraph">
                        <wp:posOffset>262254</wp:posOffset>
                      </wp:positionV>
                      <wp:extent cx="1029334" cy="231140"/>
                      <wp:effectExtent l="0" t="0" r="18415" b="16510"/>
                      <wp:wrapNone/>
                      <wp:docPr id="134" name="文本框 134"/>
                      <wp:cNvGraphicFramePr>
                        <a:graphicFrameLocks noChangeAspect="0"/>
                      </wp:cNvGraphicFramePr>
                      <a:graphic>
                        <a:graphicData uri="http://schemas.microsoft.com/office/word/2010/wordprocessingShape">
                          <wps:wsp>
                            <wps:cNvSpPr/>
                            <wps:spPr>
                              <a:xfrm rot="0">
                                <a:off x="0" y="0"/>
                                <a:ext cx="1029334" cy="231140"/>
                              </a:xfrm>
                              <a:prstGeom prst="rect"/>
                              <a:solidFill>
                                <a:srgbClr val="FFFFFF"/>
                              </a:solidFill>
                              <a:ln w="6350" cmpd="sng" cap="flat">
                                <a:noFill/>
                                <a:prstDash val="solid"/>
                                <a:round/>
                              </a:ln>
                            </wps:spPr>
                            <wps:txbx id="13">
                              <w:txbxContent>
                                <w:p>
                                  <w:pPr>
                                    <w:spacing w:line="240" w:lineRule="auto"/>
                                    <w:ind w:left="0" w:right="0" w:firstLineChars="0" w:firstLine="0"/>
                                    <w:jc w:val="center"/>
                                    <w:rPr>
                                      <w:rFonts w:eastAsia="宋体"/>
                                      <w:sz w:val="21"/>
                                      <w:szCs w:val="21"/>
                                      <w:lang w:val="en-US" w:eastAsia="zh-CN"/>
                                    </w:rPr>
                                  </w:pPr>
                                  <w:r>
                                    <w:rPr>
                                      <w:rFonts w:hint="eastAsia"/>
                                      <w:sz w:val="21"/>
                                      <w:szCs w:val="21"/>
                                      <w:lang w:val="en-US" w:eastAsia="zh-CN"/>
                                    </w:rPr>
                                    <w:t>W2、W4、S1</w:t>
                                  </w:r>
                                </w:p>
                              </w:txbxContent>
                            </wps:txbx>
                            <wps:bodyPr vert="horz" wrap="square" lIns="91440" tIns="45720" rIns="91440" bIns="45720" anchor="t" anchorCtr="0" upright="0">
                              <a:noAutofit/>
                            </wps:bodyPr>
                          </wps:wsp>
                        </a:graphicData>
                      </a:graphic>
                    </wp:anchor>
                  </w:drawing>
                </mc:Choice>
                <mc:Fallback>
                  <w:pict>
                    <v:rect type="#_x0000_t1" id="文本框 134" o:spid="_x0000_s14" fillcolor="#FFFFFF" stroked="f" strokeweight="0.5pt" style="position:absolute;margin-left:353.05pt;margin-top:20.65pt;width:81.04999pt;height:18.200003pt;z-index:588;mso-position-horizontal:absolute;mso-position-vertical:absolute;mso-wrap-style:square;">
                      <v:stroke/>
                      <v:textbox id="853" inset="2.54mm,1.27mm,2.54mm,1.27mm" o:insetmode="custom" style="layout-flow:horizontal;v-text-anchor:top;">
                        <w:txbxContent>
                          <w:p>
                            <w:pPr>
                              <w:spacing w:line="240" w:lineRule="auto"/>
                              <w:ind w:left="0" w:right="0" w:firstLineChars="0" w:firstLine="0"/>
                              <w:jc w:val="center"/>
                              <w:rPr>
                                <w:rFonts w:eastAsia="宋体"/>
                                <w:sz w:val="21"/>
                                <w:szCs w:val="21"/>
                                <w:lang w:val="en-US" w:eastAsia="zh-CN"/>
                              </w:rPr>
                            </w:pPr>
                            <w:r>
                              <w:rPr>
                                <w:rFonts w:hint="eastAsia"/>
                                <w:sz w:val="21"/>
                                <w:szCs w:val="21"/>
                                <w:lang w:val="en-US" w:eastAsia="zh-CN"/>
                              </w:rPr>
                              <w:t>W2、W4、S1</w:t>
                            </w:r>
                          </w:p>
                        </w:txbxContent>
                      </v:textbox>
                    </v:rect>
                  </w:pict>
                </mc:Fallback>
              </mc:AlternateContent>
            </w:r>
            <w:r>
              <w:rPr>
                <w:rFonts w:hint="eastAsia"/>
                <w:color w:val="auto"/>
                <w:lang w:val="en-US" w:eastAsia="zh-CN"/>
              </w:rPr>
              <w:t>2、浓缩果蔬汁（浆）生产工艺流程（新增）</w:t>
            </w:r>
          </w:p>
          <w:p>
            <w:pPr>
              <w:bidi w:val="0"/>
              <w:spacing w:line="240" w:lineRule="auto"/>
              <w:ind w:left="0" w:right="0" w:firstLineChars="0" w:firstLine="0"/>
              <w:jc w:val="both"/>
              <w:rPr>
                <w:rFonts w:hint="eastAsia"/>
                <w:color w:val="auto"/>
                <w:lang w:val="en-US" w:eastAsia="zh-CN"/>
              </w:rPr>
            </w:pPr>
            <w:r>
              <w:rPr>
                <w:rFonts w:hint="eastAsia"/>
                <w:color w:val="auto"/>
                <w:lang w:val="en-US" w:eastAsia="zh-CN"/>
              </w:rPr>
              <mc:AlternateContent>
                <mc:Choice Requires="wps">
                  <w:drawing>
                    <wp:anchor distT="0" distB="0" distL="114300" distR="114300" simplePos="0" relativeHeight="552" behindDoc="0" locked="0" layoutInCell="1" hidden="0" allowOverlap="1">
                      <wp:simplePos x="0" y="0"/>
                      <wp:positionH relativeFrom="column">
                        <wp:posOffset>302260</wp:posOffset>
                      </wp:positionH>
                      <wp:positionV relativeFrom="paragraph">
                        <wp:posOffset>1295400</wp:posOffset>
                      </wp:positionV>
                      <wp:extent cx="2606040" cy="466090"/>
                      <wp:wrapNone/>
                      <wp:docPr id="98" name="文本框 98"/>
                      <wp:cNvGraphicFramePr>
                        <a:graphicFrameLocks noChangeAspect="0"/>
                      </wp:cNvGraphicFramePr>
                      <a:graphic>
                        <a:graphicData uri="http://schemas.microsoft.com/office/word/2010/wordprocessingShape">
                          <wps:wsp>
                            <wps:cNvSpPr/>
                            <wps:spPr>
                              <a:xfrm rot="0">
                                <a:off x="0" y="0"/>
                                <a:ext cx="2606040" cy="466090"/>
                              </a:xfrm>
                              <a:prstGeom prst="rect"/>
                              <a:noFill/>
                              <a:ln w="6350" cmpd="sng" cap="flat">
                                <a:noFill/>
                                <a:prstDash val="solid"/>
                                <a:round/>
                              </a:ln>
                            </wps:spPr>
                            <wps:txbx id="15">
                              <w:txbxContent>
                                <w:p>
                                  <w:pPr>
                                    <w:spacing w:line="240" w:lineRule="auto"/>
                                    <w:ind w:left="0" w:firstLineChars="0" w:firstLine="0"/>
                                    <w:rPr>
                                      <w:sz w:val="21"/>
                                      <w:szCs w:val="21"/>
                                      <w:lang w:val="en-US" w:eastAsia="zh-CN"/>
                                    </w:rPr>
                                  </w:pPr>
                                  <w:r>
                                    <w:rPr>
                                      <w:rFonts w:hint="eastAsia"/>
                                      <w:sz w:val="21"/>
                                      <w:szCs w:val="21"/>
                                      <w:lang w:val="en-US" w:eastAsia="zh-CN"/>
                                    </w:rPr>
                                    <w:t>G：废气  S：固体废物  W：废水</w:t>
                                  </w:r>
                                </w:p>
                              </w:txbxContent>
                            </wps:txbx>
                            <wps:bodyPr vert="horz" wrap="square" lIns="91440" tIns="45720" rIns="91440" bIns="45720" anchor="t" anchorCtr="0" upright="0">
                              <a:noAutofit/>
                            </wps:bodyPr>
                          </wps:wsp>
                        </a:graphicData>
                      </a:graphic>
                    </wp:anchor>
                  </w:drawing>
                </mc:Choice>
                <mc:Fallback>
                  <w:pict>
                    <v:rect type="#_x0000_t1" id="文本框 98" o:spid="_x0000_s16" filled="f" stroked="f" strokeweight="0.5pt" style="position:absolute;margin-left:23.8pt;margin-top:102.0pt;width:205.2pt;height:36.7pt;z-index:552;mso-position-horizontal:absolute;mso-position-vertical:absolute;mso-wrap-style:square;">
                      <v:stroke/>
                      <v:textbox id="854" inset="2.54mm,1.27mm,2.54mm,1.27mm" o:insetmode="custom" style="layout-flow:horizontal;v-text-anchor:top;">
                        <w:txbxContent>
                          <w:p>
                            <w:pPr>
                              <w:spacing w:line="240" w:lineRule="auto"/>
                              <w:ind w:left="0" w:firstLineChars="0" w:firstLine="0"/>
                              <w:rPr>
                                <w:sz w:val="21"/>
                                <w:szCs w:val="21"/>
                                <w:lang w:val="en-US" w:eastAsia="zh-CN"/>
                              </w:rPr>
                            </w:pPr>
                            <w:r>
                              <w:rPr>
                                <w:rFonts w:hint="eastAsia"/>
                                <w:sz w:val="21"/>
                                <w:szCs w:val="21"/>
                                <w:lang w:val="en-US" w:eastAsia="zh-CN"/>
                              </w:rPr>
                              <w:t>G：废气  S：固体废物  W：废水</w:t>
                            </w:r>
                          </w:p>
                        </w:txbxContent>
                      </v:textbox>
                    </v:rect>
                  </w:pict>
                </mc:Fallback>
              </mc:AlternateContent>
            </w:r>
            <w:r>
              <w:rPr>
                <w:rFonts w:hint="eastAsia"/>
                <w:color w:val="auto"/>
                <w:lang w:val="en-US" w:eastAsia="zh-CN"/>
              </w:rPr>
              <w:drawing>
                <wp:inline distT="0" distB="0" distL="114300" distR="114300">
                  <wp:extent cx="5543550" cy="1841500"/>
                  <wp:effectExtent l="0" t="0" r="0" b="1"/>
                  <wp:docPr id="1033" name="图片 6"/>
                  <wp:cNvGraphicFramePr>
                    <a:graphicFrameLocks noChangeAspect="1"/>
                  </wp:cNvGraphicFramePr>
                  <a:graphic>
                    <a:graphicData uri="http://schemas.openxmlformats.org/drawingml/2006/picture">
                      <pic:pic>
                        <pic:nvPicPr>
                          <pic:cNvPr id="18" name="图片 6 18"/>
                          <pic:cNvPicPr/>
                        </pic:nvPicPr>
                        <pic:blipFill>
                          <a:blip r:embed="rId9"/>
                          <a:stretch>
                            <a:fillRect/>
                          </a:stretch>
                        </pic:blipFill>
                        <pic:spPr>
                          <a:xfrm rot="0">
                            <a:off x="0" y="0"/>
                            <a:ext cx="5543550" cy="1841500"/>
                          </a:xfrm>
                          <a:prstGeom prst="rect"/>
                          <a:noFill/>
                          <a:ln cmpd="sng" cap="flat">
                            <a:noFill/>
                            <a:prstDash val="solid"/>
                            <a:round/>
                          </a:ln>
                        </pic:spPr>
                      </pic:pic>
                    </a:graphicData>
                  </a:graphic>
                </wp:inline>
              </w:drawing>
            </w:r>
          </w:p>
          <w:p>
            <w:pPr>
              <w:pStyle w:val="24"/>
              <w:bidi w:val="0"/>
              <w:rPr>
                <w:color w:val="auto"/>
                <w:lang w:val="en-US" w:eastAsia="zh-CN"/>
                <w:highlight w:val="yellow"/>
              </w:rPr>
            </w:pPr>
            <w:r>
              <w:rPr>
                <w:color w:val="auto"/>
                <w:lang w:val="en-US" w:eastAsia="zh-CN"/>
                <w:highlight w:val="none"/>
              </w:rPr>
              <w:t>图2-</w:t>
            </w:r>
            <w:r>
              <w:rPr>
                <w:rFonts w:hint="eastAsia"/>
                <w:color w:val="auto"/>
                <w:lang w:val="en-US" w:eastAsia="zh-CN"/>
                <w:highlight w:val="none"/>
              </w:rPr>
              <w:t>5</w:t>
            </w:r>
            <w:r>
              <w:rPr>
                <w:color w:val="auto"/>
                <w:lang w:val="en-US" w:eastAsia="zh-CN"/>
                <w:highlight w:val="none"/>
              </w:rPr>
              <w:t xml:space="preserve">  </w:t>
            </w:r>
            <w:r>
              <w:rPr>
                <w:rFonts w:hint="eastAsia"/>
                <w:color w:val="auto"/>
                <w:lang w:val="en-US" w:eastAsia="zh-CN"/>
                <w:highlight w:val="none"/>
              </w:rPr>
              <w:t>浓缩</w:t>
            </w:r>
            <w:r>
              <w:rPr>
                <w:color w:val="auto"/>
                <w:lang w:val="en-US" w:eastAsia="zh-CN"/>
                <w:highlight w:val="none"/>
              </w:rPr>
              <w:t>果蔬汁（浆）生产工艺流程及排污节点图</w:t>
            </w:r>
          </w:p>
          <w:p>
            <w:pPr>
              <w:bidi w:val="0"/>
              <w:rPr>
                <w:rFonts w:hint="eastAsia"/>
                <w:color w:val="auto"/>
                <w:lang w:val="en-US" w:eastAsia="zh-CN"/>
              </w:rPr>
            </w:pPr>
            <w:r>
              <w:rPr>
                <w:rFonts w:hint="eastAsia"/>
                <w:color w:val="auto"/>
                <w:lang w:val="en-US" w:eastAsia="zh-CN"/>
              </w:rPr>
              <w:t>工艺流程简述：</w:t>
            </w:r>
          </w:p>
          <w:p>
            <w:pPr>
              <w:bidi w:val="0"/>
              <w:rPr>
                <w:rFonts w:hint="eastAsia"/>
                <w:color w:val="auto"/>
                <w:lang w:val="en-US" w:eastAsia="zh-CN"/>
              </w:rPr>
            </w:pPr>
            <w:r>
              <w:rPr>
                <w:rFonts w:hint="eastAsia"/>
                <w:color w:val="auto"/>
                <w:lang w:val="en-US" w:eastAsia="zh-CN"/>
              </w:rPr>
              <w:t>原料：原材料分为冷冻品和非冷冻品，入场的原料经人工核验合格后存入冷库暂存。</w:t>
            </w:r>
          </w:p>
          <w:p>
            <w:pPr>
              <w:bidi w:val="0"/>
              <w:rPr>
                <w:rFonts w:hint="eastAsia"/>
                <w:color w:val="auto"/>
                <w:lang w:val="en-US" w:eastAsia="zh-CN"/>
              </w:rPr>
            </w:pPr>
            <w:r>
              <w:rPr>
                <w:rFonts w:hint="eastAsia"/>
                <w:color w:val="auto"/>
                <w:lang w:val="en-US" w:eastAsia="zh-CN"/>
              </w:rPr>
              <w:t>预处理：冷冻的果蔬原材料在榨汁加工前需要用缓化隧道化冻处理，将原材料浸泡在缓化隧道的水池内，水的温度在40℃左右，水池底部铺设换热管，用厂内蒸汽发生器产生的蒸汽间接加热冷水，蒸汽冷凝后回用蒸汽发生器。</w:t>
            </w:r>
          </w:p>
          <w:p>
            <w:pPr>
              <w:bidi w:val="0"/>
              <w:rPr>
                <w:rFonts w:hint="eastAsia"/>
                <w:color w:val="auto"/>
                <w:lang w:val="en-US" w:eastAsia="zh-CN"/>
              </w:rPr>
            </w:pPr>
            <w:r>
              <w:rPr>
                <w:rFonts w:hint="eastAsia"/>
                <w:color w:val="auto"/>
                <w:lang w:val="en-US" w:eastAsia="zh-CN"/>
              </w:rPr>
              <w:t>此工序主要污染物为：果蔬清洗废水W1。</w:t>
            </w:r>
          </w:p>
          <w:p>
            <w:pPr>
              <w:bidi w:val="0"/>
              <w:rPr>
                <w:rFonts w:hint="eastAsia"/>
                <w:color w:val="auto"/>
                <w:lang w:val="en-US" w:eastAsia="zh-CN"/>
              </w:rPr>
            </w:pPr>
            <w:r>
              <w:rPr>
                <w:rFonts w:hint="eastAsia"/>
                <w:color w:val="auto"/>
                <w:lang w:val="en-US" w:eastAsia="zh-CN"/>
              </w:rPr>
              <w:t>清洗：化冻好的原材料或非冷冻的原材料送入清洗隧道浸泡清洗5-10分钟，清洗表面残余的泥土、灰尘等其他杂质。</w:t>
            </w:r>
          </w:p>
          <w:p>
            <w:pPr>
              <w:bidi w:val="0"/>
              <w:rPr>
                <w:rFonts w:hint="eastAsia"/>
                <w:color w:val="auto"/>
                <w:lang w:val="en-US" w:eastAsia="zh-CN"/>
              </w:rPr>
            </w:pPr>
            <w:r>
              <w:rPr>
                <w:rFonts w:hint="eastAsia"/>
                <w:color w:val="auto"/>
                <w:lang w:val="en-US" w:eastAsia="zh-CN"/>
              </w:rPr>
              <w:t>打浆：清洗好的原材料送入打浆机，打浆机内装有高速旋转的刀片，将原材料打成果蔬汁（浆），部分较大的原材料先用多功能切菜机切成小块后再送入打浆机打浆。</w:t>
            </w:r>
          </w:p>
          <w:p>
            <w:pPr>
              <w:bidi w:val="0"/>
              <w:rPr>
                <w:rFonts w:hint="eastAsia"/>
                <w:color w:val="auto"/>
                <w:lang w:val="en-US" w:eastAsia="zh-CN"/>
              </w:rPr>
            </w:pPr>
            <w:r>
              <w:rPr>
                <w:rFonts w:hint="eastAsia"/>
                <w:color w:val="auto"/>
                <w:lang w:val="en-US" w:eastAsia="zh-CN"/>
              </w:rPr>
              <w:t>此工序主要污染物为：设备冲洗废水W2。</w:t>
            </w:r>
          </w:p>
          <w:p>
            <w:pPr>
              <w:bidi w:val="0"/>
              <w:rPr>
                <w:color w:val="auto"/>
                <w:lang w:val="en-US" w:eastAsia="zh-CN"/>
                <w:highlight w:val="yellow"/>
              </w:rPr>
            </w:pPr>
            <w:r>
              <w:rPr>
                <w:rFonts w:hint="eastAsia"/>
                <w:color w:val="auto"/>
                <w:lang w:val="en-US" w:eastAsia="zh-CN"/>
                <w:highlight w:val="none"/>
              </w:rPr>
              <w:t>浓缩过滤：打浆完成后将果蔬浆液通过密闭管道输送至过滤机，用滤网过滤浆料中的果蔬渣，得到果蔬汁（浆），再通入到浓缩机中进行浓缩，浓缩糖度控制在20-70BIX。浓缩过程采用反渗透浓缩，是一种常温高压膜分离工艺，在压力驱动下让水分子透过RO膜，而糖分、有机酸、风味物质、维生素等有效成分被截留，从而在低温下获得高倍浓缩汁。</w:t>
            </w:r>
          </w:p>
          <w:p>
            <w:pPr>
              <w:bidi w:val="0"/>
              <w:rPr>
                <w:color w:val="auto"/>
                <w:lang w:val="en-US" w:eastAsia="zh-CN"/>
              </w:rPr>
            </w:pPr>
            <w:r>
              <w:rPr>
                <w:rFonts w:hint="eastAsia"/>
                <w:color w:val="auto"/>
                <w:lang w:val="en-US" w:eastAsia="zh-CN"/>
              </w:rPr>
              <w:t>此工序主要污染物为：</w:t>
            </w:r>
            <w:r>
              <w:rPr>
                <w:color w:val="auto"/>
                <w:lang w:val="en-US" w:eastAsia="zh-CN"/>
              </w:rPr>
              <w:t>设备冲洗废水W2</w:t>
            </w:r>
            <w:r>
              <w:rPr>
                <w:rFonts w:hint="eastAsia"/>
                <w:color w:val="auto"/>
                <w:lang w:val="en-US" w:eastAsia="zh-CN"/>
              </w:rPr>
              <w:t>、浓缩过滤废水W4、果蔬渣S1</w:t>
            </w:r>
            <w:r>
              <w:rPr>
                <w:color w:val="auto"/>
                <w:lang w:val="en-US" w:eastAsia="zh-CN"/>
              </w:rPr>
              <w:t>。</w:t>
            </w:r>
          </w:p>
          <w:p>
            <w:pPr>
              <w:bidi w:val="0"/>
              <w:rPr>
                <w:color w:val="auto"/>
                <w:lang w:val="en-US" w:eastAsia="zh-CN"/>
              </w:rPr>
            </w:pPr>
            <w:r>
              <w:rPr>
                <w:color w:val="auto"/>
                <w:lang w:val="en-US" w:eastAsia="zh-CN"/>
              </w:rPr>
              <w:t>灌装：</w:t>
            </w:r>
            <w:r>
              <w:rPr>
                <w:rFonts w:hint="eastAsia"/>
                <w:color w:val="auto"/>
                <w:lang w:val="en-US" w:eastAsia="zh-CN"/>
              </w:rPr>
              <w:t>浓缩</w:t>
            </w:r>
            <w:r>
              <w:rPr>
                <w:color w:val="auto"/>
                <w:lang w:val="en-US" w:eastAsia="zh-CN"/>
              </w:rPr>
              <w:t>好的果蔬汁（浆）先经密闭管道输送至套管式杀菌机中杀菌消毒，物料在连续流动的状态下通过</w:t>
            </w:r>
            <w:r>
              <w:rPr>
                <w:color w:val="auto"/>
                <w:lang w:val="en-US" w:eastAsia="zh-CN"/>
              </w:rPr>
              <w:fldChar w:fldCharType="begin"/>
            </w:r>
            <w:r>
              <w:instrText>HYPERLINK "https://baike.baidu.com/item/%E5%A5%97%E7%AE%A1%E5%BC%8F%E7%83%AD%E4%BA%A4%E6%8D%A2%E5%99%A8/22734962?fromModule=lemma_inlink"</w:instrText>
            </w:r>
            <w:r>
              <w:rPr>
                <w:color w:val="auto"/>
                <w:lang w:val="en-US" w:eastAsia="zh-CN"/>
              </w:rPr>
              <w:fldChar w:fldCharType="separate"/>
            </w:r>
            <w:r>
              <w:rPr>
                <w:color w:val="auto"/>
                <w:lang w:val="en-US" w:eastAsia="zh-CN"/>
              </w:rPr>
              <w:t>套管式热交换器</w:t>
            </w:r>
            <w:r>
              <w:rPr>
                <w:color w:val="auto"/>
                <w:lang w:val="en-US" w:eastAsia="zh-CN"/>
              </w:rPr>
              <w:fldChar w:fldCharType="end"/>
            </w:r>
            <w:r>
              <w:rPr>
                <w:color w:val="auto"/>
                <w:lang w:val="en-US" w:eastAsia="zh-CN"/>
              </w:rPr>
              <w:t>加热至138～150℃，并在这一温度下保持一定的时间(2～4秒)以达到无菌水平，然后再用密闭管道输送到单头BIB无菌灌装机将物料灌装于</w:t>
            </w:r>
            <w:r>
              <w:rPr>
                <w:color w:val="auto"/>
                <w:lang w:val="en-US" w:eastAsia="zh-CN"/>
              </w:rPr>
              <w:fldChar w:fldCharType="begin"/>
            </w:r>
            <w:r>
              <w:instrText>HYPERLINK "https://baike.baidu.com/item/%E6%97%A0%E8%8F%8C%E5%8C%85%E8%A3%85/9515291?fromModule=lemma_inlink"</w:instrText>
            </w:r>
            <w:r>
              <w:rPr>
                <w:color w:val="auto"/>
                <w:lang w:val="en-US" w:eastAsia="zh-CN"/>
              </w:rPr>
              <w:fldChar w:fldCharType="separate"/>
            </w:r>
            <w:r>
              <w:rPr>
                <w:color w:val="auto"/>
                <w:lang w:val="en-US" w:eastAsia="zh-CN"/>
              </w:rPr>
              <w:t>包装</w:t>
            </w:r>
            <w:r>
              <w:rPr>
                <w:color w:val="auto"/>
                <w:lang w:val="en-US" w:eastAsia="zh-CN"/>
              </w:rPr>
              <w:fldChar w:fldCharType="end"/>
            </w:r>
            <w:r>
              <w:rPr>
                <w:color w:val="auto"/>
                <w:lang w:val="en-US" w:eastAsia="zh-CN"/>
              </w:rPr>
              <w:t>容器中。整个灭菌过程在高温状态下瞬时内完成，极大的保存了食品原有的风味和营养成分，大大延长了产品的保质期，杀菌所用的蒸汽由厂内</w:t>
            </w:r>
            <w:r>
              <w:rPr>
                <w:rFonts w:hint="eastAsia"/>
                <w:color w:val="auto"/>
                <w:lang w:val="en-US" w:eastAsia="zh-CN"/>
              </w:rPr>
              <w:t>蒸汽发生器</w:t>
            </w:r>
            <w:r>
              <w:rPr>
                <w:color w:val="auto"/>
                <w:lang w:val="en-US" w:eastAsia="zh-CN"/>
              </w:rPr>
              <w:t>提供，采取间接加热的方式，蒸汽不直接与物料接触，蒸汽冷凝水回用</w:t>
            </w:r>
            <w:r>
              <w:rPr>
                <w:rFonts w:hint="eastAsia"/>
                <w:color w:val="auto"/>
                <w:lang w:val="en-US" w:eastAsia="zh-CN"/>
              </w:rPr>
              <w:t>蒸汽发生器</w:t>
            </w:r>
            <w:r>
              <w:rPr>
                <w:color w:val="auto"/>
                <w:lang w:val="en-US" w:eastAsia="zh-CN"/>
              </w:rPr>
              <w:t>。</w:t>
            </w:r>
          </w:p>
          <w:p>
            <w:pPr>
              <w:bidi w:val="0"/>
              <w:rPr>
                <w:color w:val="auto"/>
                <w:lang w:val="en-US" w:eastAsia="zh-CN"/>
              </w:rPr>
            </w:pPr>
            <w:r>
              <w:rPr>
                <w:rFonts w:hint="eastAsia"/>
                <w:color w:val="auto"/>
                <w:lang w:val="en-US" w:eastAsia="zh-CN"/>
              </w:rPr>
              <w:t>此工序主要污染物为：</w:t>
            </w:r>
            <w:r>
              <w:rPr>
                <w:color w:val="auto"/>
                <w:lang w:val="en-US" w:eastAsia="zh-CN"/>
              </w:rPr>
              <w:t>设备冲洗废水W2。</w:t>
            </w:r>
          </w:p>
          <w:p>
            <w:pPr>
              <w:bidi w:val="0"/>
              <w:rPr>
                <w:color w:val="auto"/>
                <w:lang w:val="en-US" w:eastAsia="zh-CN"/>
              </w:rPr>
            </w:pPr>
            <w:r>
              <w:rPr>
                <w:color w:val="auto"/>
                <w:lang w:val="en-US" w:eastAsia="zh-CN"/>
              </w:rPr>
              <w:t>包装：利用激光打码机在瓶身标注生产信息后，采用PE包装膜进行包装作业。缠绕PE包装膜完毕后，对包装膜实施加热处理，使其收缩并紧密包裹瓶身。</w:t>
            </w:r>
          </w:p>
          <w:p>
            <w:pPr>
              <w:bidi w:val="0"/>
              <w:rPr>
                <w:color w:val="auto"/>
                <w:lang w:val="en-US" w:eastAsia="zh-CN"/>
              </w:rPr>
            </w:pPr>
            <w:r>
              <w:rPr>
                <w:rFonts w:hint="eastAsia"/>
                <w:color w:val="auto"/>
                <w:lang w:val="en-US" w:eastAsia="zh-CN"/>
              </w:rPr>
              <w:t>此工序主要污染物为：</w:t>
            </w:r>
            <w:r>
              <w:rPr>
                <w:color w:val="auto"/>
                <w:lang w:val="en-US" w:eastAsia="zh-CN"/>
              </w:rPr>
              <w:t>PE膜加热废气G1</w:t>
            </w: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rFonts w:hint="eastAsia"/>
                <w:color w:val="auto"/>
                <w:lang w:val="en-US" w:eastAsia="zh-CN"/>
              </w:rPr>
            </w:pPr>
            <w:r>
              <w:rPr>
                <w:rFonts w:hint="eastAsia"/>
                <w:color w:val="auto"/>
                <w:lang w:val="en-US" w:eastAsia="zh-CN"/>
              </w:rPr>
              <w:t>3、液体食品添加剂生产工艺流程（技改）</w:t>
            </w:r>
          </w:p>
          <w:p>
            <w:pPr>
              <w:bidi w:val="0"/>
              <w:spacing w:line="240" w:lineRule="auto"/>
              <w:ind w:left="0" w:right="0" w:firstLineChars="0" w:firstLine="0"/>
              <w:jc w:val="center"/>
              <w:rPr>
                <w:color w:val="auto"/>
                <w:lang w:val="en-US" w:eastAsia="zh-CN"/>
              </w:rPr>
            </w:pPr>
            <w:r>
              <w:rPr>
                <w:color w:val="auto"/>
                <w:lang w:val="en-US" w:eastAsia="zh-CN"/>
              </w:rPr>
              <mc:AlternateContent>
                <mc:Choice Requires="wps">
                  <w:drawing>
                    <wp:anchor distT="0" distB="0" distL="114300" distR="114300" simplePos="0" relativeHeight="582" behindDoc="0" locked="0" layoutInCell="1" hidden="0" allowOverlap="1">
                      <wp:simplePos x="0" y="0"/>
                      <wp:positionH relativeFrom="column">
                        <wp:posOffset>1898014</wp:posOffset>
                      </wp:positionH>
                      <wp:positionV relativeFrom="paragraph">
                        <wp:posOffset>4389754</wp:posOffset>
                      </wp:positionV>
                      <wp:extent cx="1054100" cy="314325"/>
                      <wp:effectExtent l="0" t="0" r="12700" b="9525"/>
                      <wp:wrapNone/>
                      <wp:docPr id="136" name="文本框 136"/>
                      <wp:cNvGraphicFramePr>
                        <a:graphicFrameLocks noChangeAspect="0"/>
                      </wp:cNvGraphicFramePr>
                      <a:graphic>
                        <a:graphicData uri="http://schemas.microsoft.com/office/word/2010/wordprocessingShape">
                          <wps:wsp>
                            <wps:cNvSpPr/>
                            <wps:spPr>
                              <a:xfrm rot="0">
                                <a:off x="0" y="0"/>
                                <a:ext cx="1054100" cy="314325"/>
                              </a:xfrm>
                              <a:prstGeom prst="rect"/>
                              <a:solidFill>
                                <a:srgbClr val="FFFFFF"/>
                              </a:solidFill>
                              <a:ln w="6350" cmpd="sng" cap="flat">
                                <a:noFill/>
                                <a:prstDash val="solid"/>
                                <a:round/>
                              </a:ln>
                            </wps:spPr>
                            <wps:txbx id="19">
                              <w:txbxContent>
                                <w:p>
                                  <w:pPr>
                                    <w:spacing w:line="240" w:lineRule="auto"/>
                                    <w:ind w:left="0" w:right="0" w:firstLineChars="0" w:firstLine="0"/>
                                    <w:jc w:val="center"/>
                                    <w:rPr>
                                      <w:rFonts w:eastAsia="宋体"/>
                                      <w:lang w:val="en-US" w:eastAsia="zh-CN"/>
                                    </w:rPr>
                                  </w:pPr>
                                </w:p>
                              </w:txbxContent>
                            </wps:txbx>
                            <wps:bodyPr vert="horz" wrap="square" lIns="91440" tIns="45720" rIns="91440" bIns="45720" anchor="t" anchorCtr="0" upright="0">
                              <a:noAutofit/>
                            </wps:bodyPr>
                          </wps:wsp>
                        </a:graphicData>
                      </a:graphic>
                    </wp:anchor>
                  </w:drawing>
                </mc:Choice>
                <mc:Fallback>
                  <w:pict>
                    <v:rect type="#_x0000_t1" id="文本框 136" o:spid="_x0000_s20" fillcolor="#FFFFFF" stroked="f" strokeweight="0.5pt" style="position:absolute;margin-left:149.45pt;margin-top:345.65pt;width:83.000015pt;height:24.75pt;z-index:582;mso-position-horizontal:absolute;mso-position-vertical:absolute;mso-wrap-style:square;">
                      <v:stroke/>
                      <v:textbox id="856" inset="2.54mm,1.27mm,2.54mm,1.27mm" o:insetmode="custom" style="layout-flow:horizontal;v-text-anchor:top;">
                        <w:txbxContent>
                          <w:p>
                            <w:pPr>
                              <w:spacing w:line="240" w:lineRule="auto"/>
                              <w:ind w:left="0" w:right="0" w:firstLineChars="0" w:firstLine="0"/>
                              <w:jc w:val="center"/>
                              <w:rPr>
                                <w:rFonts w:eastAsia="宋体"/>
                                <w:lang w:val="en-US" w:eastAsia="zh-CN"/>
                              </w:rPr>
                            </w:pPr>
                          </w:p>
                        </w:txbxContent>
                      </v:textbox>
                    </v:rect>
                  </w:pict>
                </mc:Fallback>
              </mc:AlternateContent>
            </w:r>
            <w:r>
              <w:rPr>
                <w:color w:val="auto"/>
                <w:lang w:val="en-US" w:eastAsia="zh-CN"/>
              </w:rPr>
              <mc:AlternateContent>
                <mc:Choice Requires="wps">
                  <w:drawing>
                    <wp:anchor distT="0" distB="0" distL="114300" distR="114300" simplePos="0" relativeHeight="580" behindDoc="0" locked="0" layoutInCell="1" hidden="0" allowOverlap="1">
                      <wp:simplePos x="0" y="0"/>
                      <wp:positionH relativeFrom="column">
                        <wp:posOffset>2152014</wp:posOffset>
                      </wp:positionH>
                      <wp:positionV relativeFrom="paragraph">
                        <wp:posOffset>3532504</wp:posOffset>
                      </wp:positionV>
                      <wp:extent cx="685800" cy="314325"/>
                      <wp:effectExtent l="0" t="0" r="0" b="9525"/>
                      <wp:wrapNone/>
                      <wp:docPr id="135" name="文本框 135"/>
                      <wp:cNvGraphicFramePr>
                        <a:graphicFrameLocks noChangeAspect="0"/>
                      </wp:cNvGraphicFramePr>
                      <a:graphic>
                        <a:graphicData uri="http://schemas.microsoft.com/office/word/2010/wordprocessingShape">
                          <wps:wsp>
                            <wps:cNvSpPr/>
                            <wps:spPr>
                              <a:xfrm rot="0">
                                <a:off x="0" y="0"/>
                                <a:ext cx="685800" cy="314325"/>
                              </a:xfrm>
                              <a:prstGeom prst="rect"/>
                              <a:solidFill>
                                <a:srgbClr val="FFFFFF"/>
                              </a:solidFill>
                              <a:ln w="6350" cmpd="sng" cap="flat">
                                <a:noFill/>
                                <a:prstDash val="solid"/>
                                <a:round/>
                              </a:ln>
                            </wps:spPr>
                            <wps:txbx id="21">
                              <w:txbxContent>
                                <w:p>
                                  <w:pPr>
                                    <w:spacing w:line="240" w:lineRule="auto"/>
                                    <w:ind w:left="0" w:right="0" w:firstLineChars="0" w:firstLine="0"/>
                                    <w:jc w:val="center"/>
                                    <w:rPr>
                                      <w:rFonts w:eastAsia="宋体"/>
                                      <w:lang w:val="en-US" w:eastAsia="zh-CN"/>
                                    </w:rPr>
                                  </w:pPr>
                                  <w:r>
                                    <w:rPr>
                                      <w:rFonts w:hint="eastAsia"/>
                                      <w:lang w:val="en-US" w:eastAsia="zh-CN"/>
                                    </w:rPr>
                                    <w:t>G4</w:t>
                                  </w:r>
                                </w:p>
                              </w:txbxContent>
                            </wps:txbx>
                            <wps:bodyPr vert="horz" wrap="square" lIns="91440" tIns="45720" rIns="91440" bIns="45720" anchor="t" anchorCtr="0" upright="0">
                              <a:noAutofit/>
                            </wps:bodyPr>
                          </wps:wsp>
                        </a:graphicData>
                      </a:graphic>
                    </wp:anchor>
                  </w:drawing>
                </mc:Choice>
                <mc:Fallback>
                  <w:pict>
                    <v:rect type="#_x0000_t1" id="文本框 135" o:spid="_x0000_s22" fillcolor="#FFFFFF" stroked="f" strokeweight="0.5pt" style="position:absolute;margin-left:169.45pt;margin-top:278.15pt;width:54.00001pt;height:24.75pt;z-index:580;mso-position-horizontal:absolute;mso-position-vertical:absolute;mso-wrap-style:square;">
                      <v:stroke/>
                      <v:textbox id="857" inset="2.54mm,1.27mm,2.54mm,1.27mm" o:insetmode="custom" style="layout-flow:horizontal;v-text-anchor:top;">
                        <w:txbxContent>
                          <w:p>
                            <w:pPr>
                              <w:spacing w:line="240" w:lineRule="auto"/>
                              <w:ind w:left="0" w:right="0" w:firstLineChars="0" w:firstLine="0"/>
                              <w:jc w:val="center"/>
                              <w:rPr>
                                <w:rFonts w:eastAsia="宋体"/>
                                <w:lang w:val="en-US" w:eastAsia="zh-CN"/>
                              </w:rPr>
                            </w:pPr>
                            <w:r>
                              <w:rPr>
                                <w:rFonts w:hint="eastAsia"/>
                                <w:lang w:val="en-US" w:eastAsia="zh-CN"/>
                              </w:rPr>
                              <w:t>G4</w:t>
                            </w:r>
                          </w:p>
                        </w:txbxContent>
                      </v:textbox>
                    </v:rect>
                  </w:pict>
                </mc:Fallback>
              </mc:AlternateContent>
            </w:r>
            <w:r>
              <w:rPr>
                <w:color w:val="auto"/>
                <w:lang w:val="en-US" w:eastAsia="zh-CN"/>
              </w:rPr>
              <mc:AlternateContent>
                <mc:Choice Requires="wps">
                  <w:drawing>
                    <wp:anchor distT="0" distB="0" distL="114300" distR="114300" simplePos="0" relativeHeight="576" behindDoc="0" locked="0" layoutInCell="1" hidden="0" allowOverlap="1">
                      <wp:simplePos x="0" y="0"/>
                      <wp:positionH relativeFrom="column">
                        <wp:posOffset>2647315</wp:posOffset>
                      </wp:positionH>
                      <wp:positionV relativeFrom="paragraph">
                        <wp:posOffset>2360930</wp:posOffset>
                      </wp:positionV>
                      <wp:extent cx="685800" cy="314325"/>
                      <wp:effectExtent l="0" t="0" r="0" b="9525"/>
                      <wp:wrapNone/>
                      <wp:docPr id="57" name="文本框 57"/>
                      <wp:cNvGraphicFramePr>
                        <a:graphicFrameLocks noChangeAspect="0"/>
                      </wp:cNvGraphicFramePr>
                      <a:graphic>
                        <a:graphicData uri="http://schemas.microsoft.com/office/word/2010/wordprocessingShape">
                          <wps:wsp>
                            <wps:cNvSpPr/>
                            <wps:spPr>
                              <a:xfrm rot="0">
                                <a:off x="0" y="0"/>
                                <a:ext cx="685800" cy="314325"/>
                              </a:xfrm>
                              <a:prstGeom prst="rect"/>
                              <a:solidFill>
                                <a:srgbClr val="FFFFFF"/>
                              </a:solidFill>
                              <a:ln w="6350" cmpd="sng" cap="flat">
                                <a:noFill/>
                                <a:prstDash val="solid"/>
                                <a:round/>
                              </a:ln>
                            </wps:spPr>
                            <wps:txbx id="23">
                              <w:txbxContent>
                                <w:p>
                                  <w:pPr>
                                    <w:spacing w:line="240" w:lineRule="auto"/>
                                    <w:ind w:left="0" w:right="0" w:firstLineChars="0" w:firstLine="0"/>
                                    <w:jc w:val="center"/>
                                    <w:rPr>
                                      <w:rFonts w:eastAsia="宋体"/>
                                      <w:lang w:val="en-US" w:eastAsia="zh-CN"/>
                                    </w:rPr>
                                  </w:pPr>
                                  <w:r>
                                    <w:rPr>
                                      <w:rFonts w:hint="eastAsia"/>
                                      <w:lang w:val="en-US" w:eastAsia="zh-CN"/>
                                    </w:rPr>
                                    <w:t>G2、W2</w:t>
                                  </w:r>
                                </w:p>
                              </w:txbxContent>
                            </wps:txbx>
                            <wps:bodyPr vert="horz" wrap="square" lIns="91440" tIns="45720" rIns="91440" bIns="45720" anchor="t" anchorCtr="0" upright="0">
                              <a:noAutofit/>
                            </wps:bodyPr>
                          </wps:wsp>
                        </a:graphicData>
                      </a:graphic>
                    </wp:anchor>
                  </w:drawing>
                </mc:Choice>
                <mc:Fallback>
                  <w:pict>
                    <v:rect type="#_x0000_t1" id="文本框 57" o:spid="_x0000_s24" fillcolor="#FFFFFF" stroked="f" strokeweight="0.5pt" style="position:absolute;margin-left:208.45001pt;margin-top:185.9pt;width:54.0pt;height:24.75pt;z-index:576;mso-position-horizontal:absolute;mso-position-vertical:absolute;mso-wrap-style:square;">
                      <v:stroke/>
                      <v:textbox id="858" inset="2.54mm,1.27mm,2.54mm,1.27mm" o:insetmode="custom" style="layout-flow:horizontal;v-text-anchor:top;">
                        <w:txbxContent>
                          <w:p>
                            <w:pPr>
                              <w:spacing w:line="240" w:lineRule="auto"/>
                              <w:ind w:left="0" w:right="0" w:firstLineChars="0" w:firstLine="0"/>
                              <w:jc w:val="center"/>
                              <w:rPr>
                                <w:rFonts w:eastAsia="宋体"/>
                                <w:lang w:val="en-US" w:eastAsia="zh-CN"/>
                              </w:rPr>
                            </w:pPr>
                            <w:r>
                              <w:rPr>
                                <w:rFonts w:hint="eastAsia"/>
                                <w:lang w:val="en-US" w:eastAsia="zh-CN"/>
                              </w:rPr>
                              <w:t>G2、W2</w:t>
                            </w:r>
                          </w:p>
                        </w:txbxContent>
                      </v:textbox>
                    </v:rect>
                  </w:pict>
                </mc:Fallback>
              </mc:AlternateContent>
            </w:r>
            <w:r>
              <w:rPr>
                <w:color w:val="auto"/>
                <w:lang w:val="en-US" w:eastAsia="zh-CN"/>
              </w:rPr>
              <mc:AlternateContent>
                <mc:Choice Requires="wps">
                  <w:drawing>
                    <wp:anchor distT="0" distB="0" distL="114300" distR="114300" simplePos="0" relativeHeight="578" behindDoc="0" locked="0" layoutInCell="1" hidden="0" allowOverlap="1">
                      <wp:simplePos x="0" y="0"/>
                      <wp:positionH relativeFrom="column">
                        <wp:posOffset>3409315</wp:posOffset>
                      </wp:positionH>
                      <wp:positionV relativeFrom="paragraph">
                        <wp:posOffset>2370455</wp:posOffset>
                      </wp:positionV>
                      <wp:extent cx="685800" cy="314325"/>
                      <wp:effectExtent l="0" t="0" r="0" b="9525"/>
                      <wp:wrapNone/>
                      <wp:docPr id="133" name="文本框 133"/>
                      <wp:cNvGraphicFramePr>
                        <a:graphicFrameLocks noChangeAspect="0"/>
                      </wp:cNvGraphicFramePr>
                      <a:graphic>
                        <a:graphicData uri="http://schemas.microsoft.com/office/word/2010/wordprocessingShape">
                          <wps:wsp>
                            <wps:cNvSpPr/>
                            <wps:spPr>
                              <a:xfrm rot="0">
                                <a:off x="0" y="0"/>
                                <a:ext cx="685800" cy="314325"/>
                              </a:xfrm>
                              <a:prstGeom prst="rect"/>
                              <a:solidFill>
                                <a:srgbClr val="FFFFFF"/>
                              </a:solidFill>
                              <a:ln w="6350" cmpd="sng" cap="flat">
                                <a:noFill/>
                                <a:prstDash val="solid"/>
                                <a:round/>
                              </a:ln>
                            </wps:spPr>
                            <wps:txbx id="25">
                              <w:txbxContent>
                                <w:p>
                                  <w:pPr>
                                    <w:spacing w:line="240" w:lineRule="auto"/>
                                    <w:ind w:left="0" w:right="0" w:firstLineChars="0" w:firstLine="0"/>
                                    <w:jc w:val="center"/>
                                    <w:rPr>
                                      <w:rFonts w:eastAsia="宋体"/>
                                      <w:lang w:val="en-US" w:eastAsia="zh-CN"/>
                                    </w:rPr>
                                  </w:pPr>
                                  <w:r>
                                    <w:rPr>
                                      <w:rFonts w:hint="eastAsia"/>
                                      <w:lang w:val="en-US" w:eastAsia="zh-CN"/>
                                    </w:rPr>
                                    <w:t>G3、W2</w:t>
                                  </w:r>
                                </w:p>
                              </w:txbxContent>
                            </wps:txbx>
                            <wps:bodyPr vert="horz" wrap="square" lIns="91440" tIns="45720" rIns="91440" bIns="45720" anchor="t" anchorCtr="0" upright="0">
                              <a:noAutofit/>
                            </wps:bodyPr>
                          </wps:wsp>
                        </a:graphicData>
                      </a:graphic>
                    </wp:anchor>
                  </w:drawing>
                </mc:Choice>
                <mc:Fallback>
                  <w:pict>
                    <v:rect type="#_x0000_t1" id="文本框 133" o:spid="_x0000_s26" fillcolor="#FFFFFF" stroked="f" strokeweight="0.5pt" style="position:absolute;margin-left:268.45pt;margin-top:186.65pt;width:54.0pt;height:24.75pt;z-index:578;mso-position-horizontal:absolute;mso-position-vertical:absolute;mso-wrap-style:square;">
                      <v:stroke/>
                      <v:textbox id="859" inset="2.54mm,1.27mm,2.54mm,1.27mm" o:insetmode="custom" style="layout-flow:horizontal;v-text-anchor:top;">
                        <w:txbxContent>
                          <w:p>
                            <w:pPr>
                              <w:spacing w:line="240" w:lineRule="auto"/>
                              <w:ind w:left="0" w:right="0" w:firstLineChars="0" w:firstLine="0"/>
                              <w:jc w:val="center"/>
                              <w:rPr>
                                <w:rFonts w:eastAsia="宋体"/>
                                <w:lang w:val="en-US" w:eastAsia="zh-CN"/>
                              </w:rPr>
                            </w:pPr>
                            <w:r>
                              <w:rPr>
                                <w:rFonts w:hint="eastAsia"/>
                                <w:lang w:val="en-US" w:eastAsia="zh-CN"/>
                              </w:rPr>
                              <w:t>G3、W2</w:t>
                            </w:r>
                          </w:p>
                        </w:txbxContent>
                      </v:textbox>
                    </v:rect>
                  </w:pict>
                </mc:Fallback>
              </mc:AlternateContent>
            </w:r>
            <w:r>
              <w:rPr>
                <w:color w:val="auto"/>
                <w:lang w:val="en-US" w:eastAsia="zh-CN"/>
              </w:rPr>
              <mc:AlternateContent>
                <mc:Choice Requires="wps">
                  <w:drawing>
                    <wp:anchor distT="0" distB="0" distL="114300" distR="114300" simplePos="0" relativeHeight="572" behindDoc="0" locked="0" layoutInCell="1" hidden="0" allowOverlap="1">
                      <wp:simplePos x="0" y="0"/>
                      <wp:positionH relativeFrom="column">
                        <wp:posOffset>1904364</wp:posOffset>
                      </wp:positionH>
                      <wp:positionV relativeFrom="paragraph">
                        <wp:posOffset>1256030</wp:posOffset>
                      </wp:positionV>
                      <wp:extent cx="685800" cy="314325"/>
                      <wp:effectExtent l="0" t="0" r="0" b="9525"/>
                      <wp:wrapNone/>
                      <wp:docPr id="41" name="文本框 41"/>
                      <wp:cNvGraphicFramePr>
                        <a:graphicFrameLocks noChangeAspect="0"/>
                      </wp:cNvGraphicFramePr>
                      <a:graphic>
                        <a:graphicData uri="http://schemas.microsoft.com/office/word/2010/wordprocessingShape">
                          <wps:wsp>
                            <wps:cNvSpPr/>
                            <wps:spPr>
                              <a:xfrm rot="0">
                                <a:off x="0" y="0"/>
                                <a:ext cx="685800" cy="314325"/>
                              </a:xfrm>
                              <a:prstGeom prst="rect"/>
                              <a:solidFill>
                                <a:srgbClr val="FFFFFF"/>
                              </a:solidFill>
                              <a:ln w="6350" cmpd="sng" cap="flat">
                                <a:noFill/>
                                <a:prstDash val="solid"/>
                                <a:round/>
                              </a:ln>
                            </wps:spPr>
                            <wps:txbx id="27">
                              <w:txbxContent>
                                <w:p>
                                  <w:pPr>
                                    <w:spacing w:line="240" w:lineRule="auto"/>
                                    <w:ind w:left="0" w:right="0" w:firstLineChars="0" w:firstLine="0"/>
                                    <w:jc w:val="center"/>
                                    <w:rPr>
                                      <w:rFonts w:eastAsia="宋体"/>
                                      <w:lang w:val="en-US" w:eastAsia="zh-CN"/>
                                    </w:rPr>
                                  </w:pPr>
                                  <w:r>
                                    <w:rPr>
                                      <w:rFonts w:hint="eastAsia"/>
                                      <w:lang w:val="en-US" w:eastAsia="zh-CN"/>
                                    </w:rPr>
                                    <w:t>W2</w:t>
                                  </w:r>
                                </w:p>
                              </w:txbxContent>
                            </wps:txbx>
                            <wps:bodyPr vert="horz" wrap="square" lIns="91440" tIns="45720" rIns="91440" bIns="45720" anchor="t" anchorCtr="0" upright="0">
                              <a:noAutofit/>
                            </wps:bodyPr>
                          </wps:wsp>
                        </a:graphicData>
                      </a:graphic>
                    </wp:anchor>
                  </w:drawing>
                </mc:Choice>
                <mc:Fallback>
                  <w:pict>
                    <v:rect type="#_x0000_t1" id="文本框 41" o:spid="_x0000_s28" fillcolor="#FFFFFF" stroked="f" strokeweight="0.5pt" style="position:absolute;margin-left:149.95pt;margin-top:98.9pt;width:54.00001pt;height:24.75pt;z-index:572;mso-position-horizontal:absolute;mso-position-vertical:absolute;mso-wrap-style:square;">
                      <v:stroke/>
                      <v:textbox id="860" inset="2.54mm,1.27mm,2.54mm,1.27mm" o:insetmode="custom" style="layout-flow:horizontal;v-text-anchor:top;">
                        <w:txbxContent>
                          <w:p>
                            <w:pPr>
                              <w:spacing w:line="240" w:lineRule="auto"/>
                              <w:ind w:left="0" w:right="0" w:firstLineChars="0" w:firstLine="0"/>
                              <w:jc w:val="center"/>
                              <w:rPr>
                                <w:rFonts w:eastAsia="宋体"/>
                                <w:lang w:val="en-US" w:eastAsia="zh-CN"/>
                              </w:rPr>
                            </w:pPr>
                            <w:r>
                              <w:rPr>
                                <w:rFonts w:hint="eastAsia"/>
                                <w:lang w:val="en-US" w:eastAsia="zh-CN"/>
                              </w:rPr>
                              <w:t>W2</w:t>
                            </w:r>
                          </w:p>
                        </w:txbxContent>
                      </v:textbox>
                    </v:rect>
                  </w:pict>
                </mc:Fallback>
              </mc:AlternateContent>
            </w:r>
            <w:r>
              <w:rPr>
                <w:color w:val="auto"/>
                <w:lang w:val="en-US" w:eastAsia="zh-CN"/>
              </w:rPr>
              <mc:AlternateContent>
                <mc:Choice Requires="wps">
                  <w:drawing>
                    <wp:anchor distT="0" distB="0" distL="114300" distR="114300" simplePos="0" relativeHeight="574" behindDoc="0" locked="0" layoutInCell="1" hidden="0" allowOverlap="1">
                      <wp:simplePos x="0" y="0"/>
                      <wp:positionH relativeFrom="column">
                        <wp:posOffset>1828164</wp:posOffset>
                      </wp:positionH>
                      <wp:positionV relativeFrom="paragraph">
                        <wp:posOffset>2141855</wp:posOffset>
                      </wp:positionV>
                      <wp:extent cx="857250" cy="275590"/>
                      <wp:effectExtent l="0" t="0" r="0" b="10160"/>
                      <wp:wrapNone/>
                      <wp:docPr id="42" name="文本框 42"/>
                      <wp:cNvGraphicFramePr>
                        <a:graphicFrameLocks noChangeAspect="0"/>
                      </wp:cNvGraphicFramePr>
                      <a:graphic>
                        <a:graphicData uri="http://schemas.microsoft.com/office/word/2010/wordprocessingShape">
                          <wps:wsp>
                            <wps:cNvSpPr/>
                            <wps:spPr>
                              <a:xfrm rot="0">
                                <a:off x="0" y="0"/>
                                <a:ext cx="857250" cy="275590"/>
                              </a:xfrm>
                              <a:prstGeom prst="rect"/>
                              <a:solidFill>
                                <a:srgbClr val="FFFFFF"/>
                              </a:solidFill>
                              <a:ln w="6350" cmpd="sng" cap="flat">
                                <a:noFill/>
                                <a:prstDash val="solid"/>
                                <a:round/>
                              </a:ln>
                            </wps:spPr>
                            <wps:txbx id="29">
                              <w:txbxContent>
                                <w:p>
                                  <w:pPr>
                                    <w:spacing w:line="240" w:lineRule="auto"/>
                                    <w:ind w:left="0" w:right="0" w:firstLineChars="0" w:firstLine="0"/>
                                    <w:jc w:val="center"/>
                                    <w:rPr>
                                      <w:rFonts w:eastAsia="宋体"/>
                                      <w:lang w:val="en-US" w:eastAsia="zh-CN"/>
                                    </w:rPr>
                                  </w:pPr>
                                  <w:r>
                                    <w:rPr>
                                      <w:rFonts w:hint="eastAsia"/>
                                      <w:lang w:val="en-US" w:eastAsia="zh-CN"/>
                                    </w:rPr>
                                    <w:t>W2</w:t>
                                  </w:r>
                                </w:p>
                              </w:txbxContent>
                            </wps:txbx>
                            <wps:bodyPr vert="horz" wrap="square" lIns="91440" tIns="45720" rIns="91440" bIns="45720" anchor="t" anchorCtr="0" upright="0">
                              <a:noAutofit/>
                            </wps:bodyPr>
                          </wps:wsp>
                        </a:graphicData>
                      </a:graphic>
                    </wp:anchor>
                  </w:drawing>
                </mc:Choice>
                <mc:Fallback>
                  <w:pict>
                    <v:rect type="#_x0000_t1" id="文本框 42" o:spid="_x0000_s30" fillcolor="#FFFFFF" stroked="f" strokeweight="0.5pt" style="position:absolute;margin-left:143.95pt;margin-top:168.65pt;width:67.50001pt;height:21.7pt;z-index:574;mso-position-horizontal:absolute;mso-position-vertical:absolute;mso-wrap-style:square;">
                      <v:stroke/>
                      <v:textbox id="861" inset="2.54mm,1.27mm,2.54mm,1.27mm" o:insetmode="custom" style="layout-flow:horizontal;v-text-anchor:top;">
                        <w:txbxContent>
                          <w:p>
                            <w:pPr>
                              <w:spacing w:line="240" w:lineRule="auto"/>
                              <w:ind w:left="0" w:right="0" w:firstLineChars="0" w:firstLine="0"/>
                              <w:jc w:val="center"/>
                              <w:rPr>
                                <w:rFonts w:eastAsia="宋体"/>
                                <w:lang w:val="en-US" w:eastAsia="zh-CN"/>
                              </w:rPr>
                            </w:pPr>
                            <w:r>
                              <w:rPr>
                                <w:rFonts w:hint="eastAsia"/>
                                <w:lang w:val="en-US" w:eastAsia="zh-CN"/>
                              </w:rPr>
                              <w:t>W2</w:t>
                            </w:r>
                          </w:p>
                        </w:txbxContent>
                      </v:textbox>
                    </v:rect>
                  </w:pict>
                </mc:Fallback>
              </mc:AlternateContent>
            </w:r>
            <w:r>
              <w:rPr>
                <w:color w:val="auto"/>
                <w:lang w:val="en-US" w:eastAsia="zh-CN"/>
              </w:rPr>
              <mc:AlternateContent>
                <mc:Choice Requires="wps">
                  <w:drawing>
                    <wp:anchor distT="0" distB="0" distL="114300" distR="114300" simplePos="0" relativeHeight="546" behindDoc="0" locked="0" layoutInCell="1" hidden="0" allowOverlap="1">
                      <wp:simplePos x="0" y="0"/>
                      <wp:positionH relativeFrom="column">
                        <wp:posOffset>1898650</wp:posOffset>
                      </wp:positionH>
                      <wp:positionV relativeFrom="paragraph">
                        <wp:posOffset>5593080</wp:posOffset>
                      </wp:positionV>
                      <wp:extent cx="2606040" cy="466090"/>
                      <wp:wrapNone/>
                      <wp:docPr id="103" name="文本框 103"/>
                      <wp:cNvGraphicFramePr>
                        <a:graphicFrameLocks noChangeAspect="0"/>
                      </wp:cNvGraphicFramePr>
                      <a:graphic>
                        <a:graphicData uri="http://schemas.microsoft.com/office/word/2010/wordprocessingShape">
                          <wps:wsp>
                            <wps:cNvSpPr/>
                            <wps:spPr>
                              <a:xfrm rot="0">
                                <a:off x="0" y="0"/>
                                <a:ext cx="2606040" cy="466090"/>
                              </a:xfrm>
                              <a:prstGeom prst="rect"/>
                              <a:noFill/>
                              <a:ln w="6350" cmpd="sng" cap="flat">
                                <a:noFill/>
                                <a:prstDash val="solid"/>
                                <a:round/>
                              </a:ln>
                            </wps:spPr>
                            <wps:txbx id="31">
                              <w:txbxContent>
                                <w:p>
                                  <w:pPr>
                                    <w:spacing w:line="240" w:lineRule="auto"/>
                                    <w:ind w:left="0" w:firstLineChars="0" w:firstLine="0"/>
                                    <w:rPr>
                                      <w:sz w:val="21"/>
                                      <w:szCs w:val="21"/>
                                      <w:lang w:val="en-US" w:eastAsia="zh-CN"/>
                                    </w:rPr>
                                  </w:pPr>
                                  <w:r>
                                    <w:rPr>
                                      <w:rFonts w:hint="eastAsia"/>
                                      <w:sz w:val="21"/>
                                      <w:szCs w:val="21"/>
                                      <w:lang w:val="en-US" w:eastAsia="zh-CN"/>
                                    </w:rPr>
                                    <w:t xml:space="preserve">G：废气  S：固体废物  </w:t>
                                  </w:r>
                                  <w:r>
                                    <w:rPr>
                                      <w:rFonts w:hint="eastAsia"/>
                                      <w:color w:val="FF0000"/>
                                      <w:sz w:val="21"/>
                                      <w:szCs w:val="21"/>
                                      <w:lang w:val="en-US" w:eastAsia="zh-CN"/>
                                    </w:rPr>
                                    <w:t xml:space="preserve"> □：</w:t>
                                  </w:r>
                                  <w:r>
                                    <w:rPr>
                                      <w:rFonts w:hint="eastAsia"/>
                                      <w:sz w:val="21"/>
                                      <w:szCs w:val="21"/>
                                      <w:lang w:val="en-US" w:eastAsia="zh-CN"/>
                                    </w:rPr>
                                    <w:t>技改内容</w:t>
                                  </w:r>
                                </w:p>
                                <w:p>
                                  <w:pPr>
                                    <w:spacing w:line="240" w:lineRule="auto"/>
                                    <w:ind w:left="0" w:firstLineChars="0" w:firstLine="0"/>
                                    <w:rPr>
                                      <w:sz w:val="21"/>
                                      <w:szCs w:val="21"/>
                                      <w:lang w:val="en-US" w:eastAsia="zh-CN"/>
                                    </w:rPr>
                                  </w:pPr>
                                  <w:r>
                                    <w:rPr>
                                      <w:rFonts w:hint="eastAsia"/>
                                      <w:sz w:val="21"/>
                                      <w:szCs w:val="21"/>
                                      <w:lang w:val="en-US" w:eastAsia="zh-CN"/>
                                    </w:rPr>
                                    <w:t>W：废水</w:t>
                                  </w:r>
                                </w:p>
                              </w:txbxContent>
                            </wps:txbx>
                            <wps:bodyPr vert="horz" wrap="square" lIns="91440" tIns="45720" rIns="91440" bIns="45720" anchor="t" anchorCtr="0" upright="0">
                              <a:noAutofit/>
                            </wps:bodyPr>
                          </wps:wsp>
                        </a:graphicData>
                      </a:graphic>
                    </wp:anchor>
                  </w:drawing>
                </mc:Choice>
                <mc:Fallback>
                  <w:pict>
                    <v:rect type="#_x0000_t1" id="文本框 103" o:spid="_x0000_s32" filled="f" stroked="f" strokeweight="0.5pt" style="position:absolute;margin-left:149.5pt;margin-top:440.4pt;width:205.2pt;height:36.700012pt;z-index:546;mso-position-horizontal:absolute;mso-position-vertical:absolute;mso-wrap-style:square;">
                      <v:stroke/>
                      <v:textbox id="862" inset="2.54mm,1.27mm,2.54mm,1.27mm" o:insetmode="custom" style="layout-flow:horizontal;v-text-anchor:top;">
                        <w:txbxContent>
                          <w:p>
                            <w:pPr>
                              <w:spacing w:line="240" w:lineRule="auto"/>
                              <w:ind w:left="0" w:firstLineChars="0" w:firstLine="0"/>
                              <w:rPr>
                                <w:sz w:val="21"/>
                                <w:szCs w:val="21"/>
                                <w:lang w:val="en-US" w:eastAsia="zh-CN"/>
                              </w:rPr>
                            </w:pPr>
                            <w:r>
                              <w:rPr>
                                <w:rFonts w:hint="eastAsia"/>
                                <w:sz w:val="21"/>
                                <w:szCs w:val="21"/>
                                <w:lang w:val="en-US" w:eastAsia="zh-CN"/>
                              </w:rPr>
                              <w:t xml:space="preserve">G：废气  S：固体废物  </w:t>
                            </w:r>
                            <w:r>
                              <w:rPr>
                                <w:rFonts w:hint="eastAsia"/>
                                <w:color w:val="FF0000"/>
                                <w:sz w:val="21"/>
                                <w:szCs w:val="21"/>
                                <w:lang w:val="en-US" w:eastAsia="zh-CN"/>
                              </w:rPr>
                              <w:t xml:space="preserve"> □：</w:t>
                            </w:r>
                            <w:r>
                              <w:rPr>
                                <w:rFonts w:hint="eastAsia"/>
                                <w:sz w:val="21"/>
                                <w:szCs w:val="21"/>
                                <w:lang w:val="en-US" w:eastAsia="zh-CN"/>
                              </w:rPr>
                              <w:t>技改内容</w:t>
                            </w:r>
                          </w:p>
                          <w:p>
                            <w:pPr>
                              <w:spacing w:line="240" w:lineRule="auto"/>
                              <w:ind w:left="0" w:firstLineChars="0" w:firstLine="0"/>
                              <w:rPr>
                                <w:sz w:val="21"/>
                                <w:szCs w:val="21"/>
                                <w:lang w:val="en-US" w:eastAsia="zh-CN"/>
                              </w:rPr>
                            </w:pPr>
                            <w:r>
                              <w:rPr>
                                <w:rFonts w:hint="eastAsia"/>
                                <w:sz w:val="21"/>
                                <w:szCs w:val="21"/>
                                <w:lang w:val="en-US" w:eastAsia="zh-CN"/>
                              </w:rPr>
                              <w:t>W：废水</w:t>
                            </w:r>
                          </w:p>
                        </w:txbxContent>
                      </v:textbox>
                    </v:rect>
                  </w:pict>
                </mc:Fallback>
              </mc:AlternateContent>
            </w:r>
            <w:r>
              <w:rPr>
                <w:color w:val="auto"/>
                <w:lang w:val="en-US" w:eastAsia="zh-CN"/>
              </w:rPr>
              <w:drawing>
                <wp:inline distT="0" distB="0" distL="114300" distR="114300">
                  <wp:extent cx="3766185" cy="6480175"/>
                  <wp:effectExtent l="0" t="0" r="1" b="0"/>
                  <wp:docPr id="1034" name="图片 1034"/>
                  <wp:cNvGraphicFramePr>
                    <a:graphicFrameLocks noChangeAspect="1"/>
                  </wp:cNvGraphicFramePr>
                  <a:graphic>
                    <a:graphicData uri="http://schemas.openxmlformats.org/drawingml/2006/picture">
                      <pic:pic>
                        <pic:nvPicPr>
                          <pic:cNvPr id="34" name="图片 34"/>
                          <pic:cNvPicPr/>
                        </pic:nvPicPr>
                        <pic:blipFill>
                          <a:blip r:embed="rId10"/>
                          <a:stretch>
                            <a:fillRect/>
                          </a:stretch>
                        </pic:blipFill>
                        <pic:spPr>
                          <a:xfrm rot="0">
                            <a:off x="0" y="0"/>
                            <a:ext cx="3766185" cy="6480175"/>
                          </a:xfrm>
                          <a:prstGeom prst="rect"/>
                          <a:noFill/>
                          <a:ln cmpd="sng" cap="flat">
                            <a:noFill/>
                            <a:prstDash val="solid"/>
                            <a:round/>
                          </a:ln>
                        </pic:spPr>
                      </pic:pic>
                    </a:graphicData>
                  </a:graphic>
                </wp:inline>
              </w:drawing>
            </w:r>
          </w:p>
          <w:p>
            <w:pPr>
              <w:pStyle w:val="24"/>
              <w:bidi w:val="0"/>
              <w:rPr>
                <w:color w:val="auto"/>
                <w:lang w:val="en-US" w:eastAsia="zh-CN"/>
              </w:rPr>
            </w:pPr>
            <w:r>
              <w:rPr>
                <w:color w:val="auto"/>
                <w:lang w:val="en-US" w:eastAsia="zh-CN"/>
              </w:rPr>
              <w:t>图2-</w:t>
            </w:r>
            <w:r>
              <w:rPr>
                <w:rFonts w:hint="eastAsia"/>
                <w:color w:val="auto"/>
                <w:lang w:val="en-US" w:eastAsia="zh-CN"/>
              </w:rPr>
              <w:t>6</w:t>
            </w:r>
            <w:r>
              <w:rPr>
                <w:color w:val="auto"/>
                <w:lang w:val="en-US" w:eastAsia="zh-CN"/>
              </w:rPr>
              <w:t xml:space="preserve">  </w:t>
            </w:r>
            <w:r>
              <w:rPr>
                <w:rFonts w:hint="eastAsia"/>
                <w:color w:val="auto"/>
                <w:lang w:val="en-US" w:eastAsia="zh-CN"/>
              </w:rPr>
              <w:t>液体食品添加剂</w:t>
            </w:r>
            <w:r>
              <w:rPr>
                <w:color w:val="auto"/>
                <w:lang w:val="en-US" w:eastAsia="zh-CN"/>
              </w:rPr>
              <w:t>生产工艺流程及排污节点图</w:t>
            </w:r>
          </w:p>
          <w:p>
            <w:pPr>
              <w:bidi w:val="0"/>
              <w:rPr>
                <w:color w:val="auto"/>
                <w:lang w:val="en-US" w:eastAsia="zh-CN"/>
              </w:rPr>
            </w:pPr>
            <w:r>
              <w:rPr>
                <w:color w:val="auto"/>
                <w:lang w:val="en-US" w:eastAsia="zh-CN"/>
              </w:rPr>
              <w:t>工艺流程简述：</w:t>
            </w:r>
          </w:p>
          <w:p>
            <w:pPr>
              <w:bidi w:val="0"/>
              <w:rPr>
                <w:color w:val="auto"/>
                <w:lang w:val="en-US" w:eastAsia="zh-CN"/>
              </w:rPr>
            </w:pPr>
            <w:r>
              <w:rPr>
                <w:color w:val="auto"/>
                <w:lang w:val="en-US" w:eastAsia="zh-CN"/>
              </w:rPr>
              <w:t>配料</w:t>
            </w:r>
            <w:r>
              <w:rPr>
                <w:rFonts w:hint="eastAsia"/>
                <w:color w:val="auto"/>
                <w:lang w:val="en-US" w:eastAsia="zh-CN"/>
              </w:rPr>
              <w:t>（现有）</w:t>
            </w:r>
            <w:r>
              <w:rPr>
                <w:color w:val="auto"/>
                <w:lang w:val="en-US" w:eastAsia="zh-CN"/>
              </w:rPr>
              <w:t>：根据不同的配方表挑选出所用到的原材料，保证原材料种类准确。</w:t>
            </w:r>
          </w:p>
          <w:p>
            <w:pPr>
              <w:bidi w:val="0"/>
              <w:rPr>
                <w:color w:val="auto"/>
                <w:lang w:val="en-US" w:eastAsia="zh-CN"/>
              </w:rPr>
            </w:pPr>
            <w:r>
              <w:rPr>
                <w:color w:val="auto"/>
                <w:lang w:val="en-US" w:eastAsia="zh-CN"/>
              </w:rPr>
              <w:t>混料（现有）：将挑选好的液体原材料用上料机输送到搅拌缸中进行混合搅拌，搅拌时间约15分钟以保证产品的均匀度，混料过程密闭进行。</w:t>
            </w:r>
          </w:p>
          <w:p>
            <w:pPr>
              <w:bidi w:val="0"/>
              <w:rPr>
                <w:color w:val="auto"/>
                <w:lang w:val="en-US" w:eastAsia="zh-CN"/>
              </w:rPr>
            </w:pPr>
            <w:r>
              <w:rPr>
                <w:color w:val="auto"/>
                <w:lang w:val="en-US" w:eastAsia="zh-CN"/>
              </w:rPr>
              <w:t>均质（现有）：混料完成后用密闭管道将混合物输送到均质缸中进行均质，由于转子高速旋转所产生的高切线速度和高频机械效应带来的强劲动能，从而瞬间使各组分均匀精细地分散，经过高频的循环往复，最终得到稳定的产品。</w:t>
            </w:r>
          </w:p>
          <w:p>
            <w:pPr>
              <w:bidi w:val="0"/>
              <w:rPr>
                <w:color w:val="auto"/>
                <w:lang w:val="en-US" w:eastAsia="zh-CN"/>
              </w:rPr>
            </w:pPr>
            <w:r>
              <w:rPr>
                <w:color w:val="auto"/>
                <w:lang w:val="en-US" w:eastAsia="zh-CN"/>
              </w:rPr>
              <w:t>人工灌装（现有）：将均质后的成品用管道</w:t>
            </w:r>
            <w:r>
              <w:rPr>
                <w:rFonts w:hint="eastAsia"/>
                <w:color w:val="auto"/>
                <w:lang w:val="en-US" w:eastAsia="zh-CN"/>
              </w:rPr>
              <w:t>输送</w:t>
            </w:r>
            <w:r>
              <w:rPr>
                <w:color w:val="auto"/>
                <w:lang w:val="en-US" w:eastAsia="zh-CN"/>
              </w:rPr>
              <w:t>到不锈钢桶中，人工用瓢将液体成品灌装到塑料瓶中，灌装前需用紫外线灯对塑料瓶消毒30分钟，灌装完成后人工封上瓶盖。</w:t>
            </w:r>
          </w:p>
          <w:p>
            <w:pPr>
              <w:bidi w:val="0"/>
              <w:rPr>
                <w:color w:val="auto"/>
                <w:lang w:val="en-US" w:eastAsia="zh-CN"/>
              </w:rPr>
            </w:pPr>
            <w:r>
              <w:rPr>
                <w:rFonts w:hint="eastAsia"/>
                <w:color w:val="auto"/>
                <w:lang w:val="en-US" w:eastAsia="zh-CN"/>
              </w:rPr>
              <w:t>此工序主要污染物为：食品添加剂生产</w:t>
            </w:r>
            <w:r>
              <w:rPr>
                <w:color w:val="auto"/>
                <w:lang w:val="en-US" w:eastAsia="zh-CN"/>
              </w:rPr>
              <w:t>废气G</w:t>
            </w:r>
            <w:r>
              <w:rPr>
                <w:rFonts w:hint="eastAsia"/>
                <w:color w:val="auto"/>
                <w:lang w:val="en-US" w:eastAsia="zh-CN"/>
              </w:rPr>
              <w:t>4</w:t>
            </w:r>
            <w:r>
              <w:rPr>
                <w:color w:val="auto"/>
                <w:lang w:val="en-US" w:eastAsia="zh-CN"/>
              </w:rPr>
              <w:t>。</w:t>
            </w:r>
          </w:p>
          <w:p>
            <w:pPr>
              <w:bidi w:val="0"/>
              <w:rPr>
                <w:color w:val="auto"/>
                <w:lang w:val="en-US" w:eastAsia="zh-CN"/>
              </w:rPr>
            </w:pPr>
            <w:r>
              <w:rPr>
                <w:color w:val="auto"/>
                <w:lang w:val="en-US" w:eastAsia="zh-CN"/>
              </w:rPr>
              <w:t>打码（现有）：内包装完成后将产品用激光打码，在包装表面刻上产品信息。</w:t>
            </w:r>
          </w:p>
          <w:p>
            <w:pPr>
              <w:bidi w:val="0"/>
              <w:rPr>
                <w:color w:val="auto"/>
                <w:lang w:val="en-US" w:eastAsia="zh-CN"/>
              </w:rPr>
            </w:pPr>
            <w:r>
              <w:rPr>
                <w:color w:val="auto"/>
                <w:lang w:val="en-US" w:eastAsia="zh-CN"/>
              </w:rPr>
              <w:t>外包装（现有）：将内包装好的成品装箱打包，检验合格后入库储存。</w:t>
            </w:r>
          </w:p>
          <w:p>
            <w:pPr>
              <w:bidi w:val="0"/>
              <w:rPr>
                <w:rFonts w:eastAsia="宋体" w:hint="eastAsia"/>
                <w:color w:val="auto"/>
                <w:lang w:eastAsia="zh-CN"/>
              </w:rPr>
            </w:pPr>
            <w:r>
              <w:rPr>
                <w:rFonts w:hint="eastAsia"/>
                <w:color w:val="auto"/>
                <w:lang w:val="en-US" w:eastAsia="zh-CN"/>
              </w:rPr>
              <w:t>喷雾干燥（技改）：将成品液态食品添加剂置于喷雾干燥机中进行干燥处理，以去除食品添加剂中的水分，进而将其制成粉状固态食品添加剂产品。</w:t>
            </w:r>
          </w:p>
          <w:p>
            <w:pPr>
              <w:bidi w:val="0"/>
              <w:rPr>
                <w:color w:val="auto"/>
                <w:lang w:val="en-US" w:eastAsia="zh-CN"/>
              </w:rPr>
            </w:pPr>
            <w:r>
              <w:rPr>
                <w:rFonts w:hint="eastAsia"/>
                <w:color w:val="auto"/>
                <w:lang w:val="en-US" w:eastAsia="zh-CN"/>
              </w:rPr>
              <w:t xml:space="preserve">物料通过密闭管道被泵入喷雾干燥机，该喷雾干燥机主要借助旋转喷嘴将液态物料喷射成微小液滴。在离心力的作用下，液滴受到向外的惯性力而被甩出，并迅速分散于热空气中。在气流环境里，液滴表面的水分开始蒸发，当液滴中的水分完全蒸发后，便得到干燥的产品。加热热源采用蒸汽发生器蒸汽，蒸汽通入换热器，将进入喷雾干燥机的空气加热至180℃，此热空气作为蒸发过程所需的热源。 </w:t>
            </w:r>
          </w:p>
          <w:p>
            <w:pPr>
              <w:bidi w:val="0"/>
              <w:rPr>
                <w:rFonts w:hint="eastAsia"/>
                <w:color w:val="auto"/>
                <w:lang w:val="en-US" w:eastAsia="zh-CN"/>
              </w:rPr>
            </w:pPr>
            <w:r>
              <w:rPr>
                <w:rFonts w:hint="eastAsia"/>
                <w:color w:val="auto"/>
                <w:lang w:val="en-US" w:eastAsia="zh-CN"/>
              </w:rPr>
              <w:t>此工序主要污染物为：喷雾干燥废气G2、设备清洗废水W2。</w:t>
            </w:r>
          </w:p>
          <w:p>
            <w:pPr>
              <w:bidi w:val="0"/>
              <w:rPr>
                <w:rFonts w:hint="eastAsia"/>
                <w:color w:val="auto"/>
                <w:lang w:val="en-US" w:eastAsia="zh-CN"/>
              </w:rPr>
            </w:pPr>
            <w:r>
              <w:rPr>
                <w:rFonts w:hint="eastAsia"/>
                <w:color w:val="auto"/>
                <w:lang w:val="en-US" w:eastAsia="zh-CN"/>
              </w:rPr>
              <w:t xml:space="preserve">粉料灌装（技改）：干燥后的产品随气流进入旋风灌装机实施分离操作，所收集的产品汇聚至卸料口以待出料。尾气经布袋除尘器处理后向外排放。进行灌装作业时，开启卸料口阀门，产品下落并灌装至牛皮纸袋内，随后使用缝包机进行封口处理，最终入库保存。 </w:t>
            </w:r>
          </w:p>
          <w:p>
            <w:pPr>
              <w:bidi w:val="0"/>
              <w:rPr>
                <w:color w:val="auto"/>
                <w:lang w:val="en-US" w:eastAsia="zh-CN"/>
              </w:rPr>
            </w:pPr>
            <w:r>
              <w:rPr>
                <w:rFonts w:hint="eastAsia"/>
                <w:color w:val="auto"/>
                <w:lang w:val="en-US" w:eastAsia="zh-CN"/>
              </w:rPr>
              <w:t>此工序主要污染物为：粉料灌装废气G3、设备清洗废水W2。</w:t>
            </w: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rPr>
                <w:color w:val="auto"/>
                <w:lang w:val="en-US" w:eastAsia="zh-CN"/>
              </w:rPr>
            </w:pPr>
          </w:p>
          <w:p>
            <w:pPr>
              <w:bidi w:val="0"/>
              <w:spacing w:line="240" w:lineRule="auto"/>
              <w:rPr>
                <w:color w:val="auto"/>
                <w:lang w:val="en-US" w:eastAsia="zh-CN"/>
              </w:rPr>
            </w:pPr>
          </w:p>
          <w:p>
            <w:pPr>
              <w:bidi w:val="0"/>
              <w:rPr>
                <w:rFonts w:hint="eastAsia"/>
                <w:color w:val="auto"/>
                <w:lang w:val="en-US" w:eastAsia="zh-CN"/>
              </w:rPr>
            </w:pPr>
            <w:r>
              <w:rPr>
                <w:rFonts w:hint="eastAsia"/>
                <w:color w:val="auto"/>
                <w:lang w:val="en-US" w:eastAsia="zh-CN"/>
              </w:rPr>
              <w:t>4、研发实验室工艺流程（新建）</w:t>
            </w:r>
          </w:p>
          <w:p>
            <w:pPr>
              <w:bidi w:val="0"/>
              <w:spacing w:line="240" w:lineRule="auto"/>
              <w:ind w:left="0" w:right="0" w:firstLineChars="0" w:firstLine="0"/>
              <w:jc w:val="center"/>
              <w:rPr>
                <w:rFonts w:hint="eastAsia"/>
                <w:color w:val="auto"/>
                <w:lang w:val="en-US" w:eastAsia="zh-CN"/>
              </w:rPr>
            </w:pPr>
            <w:r>
              <w:rPr>
                <w:color w:val="auto"/>
                <w:sz w:val="24"/>
              </w:rPr>
              <mc:AlternateContent>
                <mc:Choice Requires="wps">
                  <w:drawing>
                    <wp:anchor distT="0" distB="0" distL="114300" distR="114300" simplePos="0" relativeHeight="568" behindDoc="0" locked="0" layoutInCell="1" hidden="0" allowOverlap="1">
                      <wp:simplePos x="0" y="0"/>
                      <wp:positionH relativeFrom="column">
                        <wp:posOffset>2780665</wp:posOffset>
                      </wp:positionH>
                      <wp:positionV relativeFrom="paragraph">
                        <wp:posOffset>46355</wp:posOffset>
                      </wp:positionV>
                      <wp:extent cx="990600" cy="314325"/>
                      <wp:effectExtent l="0" t="0" r="0" b="9525"/>
                      <wp:wrapNone/>
                      <wp:docPr id="4" name="文本框 4"/>
                      <wp:cNvGraphicFramePr>
                        <a:graphicFrameLocks noChangeAspect="0"/>
                      </wp:cNvGraphicFramePr>
                      <a:graphic>
                        <a:graphicData uri="http://schemas.microsoft.com/office/word/2010/wordprocessingShape">
                          <wps:wsp>
                            <wps:cNvSpPr/>
                            <wps:spPr>
                              <a:xfrm rot="0">
                                <a:off x="0" y="0"/>
                                <a:ext cx="990600" cy="314325"/>
                              </a:xfrm>
                              <a:prstGeom prst="rect"/>
                              <a:solidFill>
                                <a:srgbClr val="FFFFFF"/>
                              </a:solidFill>
                              <a:ln w="6350" cmpd="sng" cap="flat">
                                <a:noFill/>
                                <a:prstDash val="solid"/>
                                <a:round/>
                              </a:ln>
                            </wps:spPr>
                            <wps:txbx id="35">
                              <w:txbxContent>
                                <w:p>
                                  <w:pPr>
                                    <w:spacing w:line="240" w:lineRule="auto"/>
                                    <w:ind w:left="0" w:right="0" w:firstLineChars="0" w:firstLine="0"/>
                                    <w:jc w:val="center"/>
                                    <w:rPr>
                                      <w:rFonts w:eastAsia="宋体"/>
                                      <w:lang w:val="en-US" w:eastAsia="zh-CN"/>
                                    </w:rPr>
                                  </w:pPr>
                                  <w:r>
                                    <w:rPr>
                                      <w:rFonts w:hint="eastAsia"/>
                                      <w:lang w:val="en-US" w:eastAsia="zh-CN"/>
                                    </w:rPr>
                                    <w:t>G5、W3、S2</w:t>
                                  </w:r>
                                </w:p>
                              </w:txbxContent>
                            </wps:txbx>
                            <wps:bodyPr vert="horz" wrap="square" lIns="91440" tIns="45720" rIns="91440" bIns="45720" anchor="t" anchorCtr="0" upright="0">
                              <a:noAutofit/>
                            </wps:bodyPr>
                          </wps:wsp>
                        </a:graphicData>
                      </a:graphic>
                    </wp:anchor>
                  </w:drawing>
                </mc:Choice>
                <mc:Fallback>
                  <w:pict>
                    <v:rect type="#_x0000_t1" id="文本框 4" o:spid="_x0000_s36" fillcolor="#FFFFFF" stroked="f" strokeweight="0.5pt" style="position:absolute;margin-left:218.95001pt;margin-top:3.65pt;width:78.0pt;height:24.75pt;z-index:568;mso-position-horizontal:absolute;mso-position-vertical:absolute;mso-wrap-style:square;">
                      <v:stroke/>
                      <v:textbox id="864" inset="2.54mm,1.27mm,2.54mm,1.27mm" o:insetmode="custom" style="layout-flow:horizontal;v-text-anchor:top;">
                        <w:txbxContent>
                          <w:p>
                            <w:pPr>
                              <w:spacing w:line="240" w:lineRule="auto"/>
                              <w:ind w:left="0" w:right="0" w:firstLineChars="0" w:firstLine="0"/>
                              <w:jc w:val="center"/>
                              <w:rPr>
                                <w:rFonts w:eastAsia="宋体"/>
                                <w:lang w:val="en-US" w:eastAsia="zh-CN"/>
                              </w:rPr>
                            </w:pPr>
                            <w:r>
                              <w:rPr>
                                <w:rFonts w:hint="eastAsia"/>
                                <w:lang w:val="en-US" w:eastAsia="zh-CN"/>
                              </w:rPr>
                              <w:t>G5、W3、S2</w:t>
                            </w:r>
                          </w:p>
                        </w:txbxContent>
                      </v:textbox>
                    </v:rect>
                  </w:pict>
                </mc:Fallback>
              </mc:AlternateContent>
            </w:r>
            <w:r>
              <w:rPr>
                <w:rFonts w:hint="eastAsia"/>
                <w:color w:val="auto"/>
                <w:lang w:val="en-US" w:eastAsia="zh-CN"/>
              </w:rPr>
              <w:drawing>
                <wp:inline distT="0" distB="0" distL="114300" distR="114300">
                  <wp:extent cx="4371975" cy="1438275"/>
                  <wp:effectExtent l="0" t="0" r="0" b="0"/>
                  <wp:docPr id="1035" name="图片 5"/>
                  <wp:cNvGraphicFramePr>
                    <a:graphicFrameLocks noChangeAspect="1"/>
                  </wp:cNvGraphicFramePr>
                  <a:graphic>
                    <a:graphicData uri="http://schemas.openxmlformats.org/drawingml/2006/picture">
                      <pic:pic>
                        <pic:nvPicPr>
                          <pic:cNvPr id="38" name="图片 5 38"/>
                          <pic:cNvPicPr/>
                        </pic:nvPicPr>
                        <pic:blipFill>
                          <a:blip r:embed="rId11"/>
                          <a:stretch>
                            <a:fillRect/>
                          </a:stretch>
                        </pic:blipFill>
                        <pic:spPr>
                          <a:xfrm rot="0">
                            <a:off x="0" y="0"/>
                            <a:ext cx="4371975" cy="1438275"/>
                          </a:xfrm>
                          <a:prstGeom prst="rect"/>
                          <a:noFill/>
                          <a:ln cmpd="sng" cap="flat">
                            <a:noFill/>
                            <a:prstDash val="solid"/>
                            <a:round/>
                          </a:ln>
                        </pic:spPr>
                      </pic:pic>
                    </a:graphicData>
                  </a:graphic>
                </wp:inline>
              </w:drawing>
            </w:r>
          </w:p>
          <w:p>
            <w:pPr>
              <w:pStyle w:val="24"/>
              <w:bidi w:val="0"/>
              <w:rPr>
                <w:rFonts w:hint="eastAsia"/>
                <w:color w:val="auto"/>
                <w:lang w:val="en-US" w:eastAsia="zh-CN"/>
              </w:rPr>
            </w:pPr>
            <w:r>
              <w:rPr>
                <w:rFonts w:hint="eastAsia"/>
                <w:color w:val="auto"/>
                <w:lang w:val="en-US" w:eastAsia="zh-CN"/>
              </w:rPr>
              <w:t>图2-7  研发实验室工艺流程</w:t>
            </w:r>
          </w:p>
          <w:p>
            <w:pPr>
              <w:bidi w:val="0"/>
              <w:rPr>
                <w:color w:val="auto"/>
                <w:lang w:val="en-US" w:eastAsia="zh-CN"/>
              </w:rPr>
            </w:pPr>
            <w:r>
              <w:rPr>
                <w:rFonts w:hint="eastAsia"/>
                <w:color w:val="auto"/>
                <w:lang w:val="en-US" w:eastAsia="zh-CN"/>
              </w:rPr>
              <w:t>研发实验室主要运行内容为用各种食品添加剂加水调配，进行配方开发、风味调配、工艺小试及稳定性验证，或用现有的配方调配出样品发给客户品尝。主要流程为：原料-称量-调配-杀菌-灌装。研发实验室产生的污染源主要是调配过程中所用的各种香精产生的异味及器具清洗产生的废水。</w:t>
            </w:r>
          </w:p>
          <w:p>
            <w:pPr>
              <w:bidi w:val="0"/>
              <w:rPr>
                <w:color w:val="auto"/>
                <w:lang w:val="en-US" w:eastAsia="zh-CN"/>
                <w:highlight w:val="none"/>
              </w:rPr>
            </w:pPr>
            <w:r>
              <w:rPr>
                <w:rFonts w:hint="eastAsia"/>
                <w:color w:val="auto"/>
                <w:lang w:val="en-US" w:eastAsia="zh-CN"/>
              </w:rPr>
              <w:t>此工序主要污染物为：研发调配废气G5、研发实验室器具清洗废水W3</w:t>
            </w:r>
            <w:r>
              <w:rPr>
                <w:rFonts w:hint="eastAsia"/>
                <w:color w:val="auto"/>
                <w:lang w:val="en-US" w:eastAsia="zh-CN"/>
                <w:highlight w:val="none"/>
              </w:rPr>
              <w:t>、废研发样品S2。</w:t>
            </w:r>
          </w:p>
          <w:p>
            <w:pPr>
              <w:bidi w:val="0"/>
              <w:rPr>
                <w:color w:val="auto"/>
                <w:lang w:val="en-US" w:eastAsia="zh-CN"/>
              </w:rPr>
            </w:pPr>
            <w:r>
              <w:rPr>
                <w:rFonts w:hint="eastAsia"/>
                <w:color w:val="auto"/>
                <w:lang w:val="en-US" w:eastAsia="zh-CN"/>
              </w:rPr>
              <w:t>5、检测实验室工艺流程（新建）</w:t>
            </w:r>
          </w:p>
          <w:p>
            <w:pPr>
              <w:bidi w:val="0"/>
              <w:spacing w:line="240" w:lineRule="auto"/>
              <w:ind w:left="0" w:right="0" w:firstLineChars="0" w:firstLine="0"/>
              <w:jc w:val="center"/>
              <w:rPr>
                <w:color w:val="auto"/>
                <w:lang w:val="en-US" w:eastAsia="zh-CN"/>
              </w:rPr>
            </w:pPr>
            <w:r>
              <w:rPr>
                <w:color w:val="auto"/>
                <w:sz w:val="24"/>
              </w:rPr>
              <mc:AlternateContent>
                <mc:Choice Requires="wps">
                  <w:drawing>
                    <wp:anchor distT="0" distB="0" distL="114300" distR="114300" simplePos="0" relativeHeight="570" behindDoc="0" locked="0" layoutInCell="1" hidden="0" allowOverlap="1">
                      <wp:simplePos x="0" y="0"/>
                      <wp:positionH relativeFrom="column">
                        <wp:posOffset>2492375</wp:posOffset>
                      </wp:positionH>
                      <wp:positionV relativeFrom="paragraph">
                        <wp:posOffset>17779</wp:posOffset>
                      </wp:positionV>
                      <wp:extent cx="1564005" cy="314325"/>
                      <wp:effectExtent l="0" t="0" r="17145" b="9525"/>
                      <wp:wrapNone/>
                      <wp:docPr id="14" name="文本框 14"/>
                      <wp:cNvGraphicFramePr>
                        <a:graphicFrameLocks noChangeAspect="0"/>
                      </wp:cNvGraphicFramePr>
                      <a:graphic>
                        <a:graphicData uri="http://schemas.microsoft.com/office/word/2010/wordprocessingShape">
                          <wps:wsp>
                            <wps:cNvSpPr/>
                            <wps:spPr>
                              <a:xfrm rot="0">
                                <a:off x="0" y="0"/>
                                <a:ext cx="1564005" cy="314325"/>
                              </a:xfrm>
                              <a:prstGeom prst="rect"/>
                              <a:solidFill>
                                <a:srgbClr val="FFFFFF"/>
                              </a:solidFill>
                              <a:ln w="6350" cmpd="sng" cap="flat">
                                <a:noFill/>
                                <a:prstDash val="solid"/>
                                <a:round/>
                              </a:ln>
                            </wps:spPr>
                            <wps:txbx id="39">
                              <w:txbxContent>
                                <w:p>
                                  <w:pPr>
                                    <w:spacing w:line="240" w:lineRule="auto"/>
                                    <w:ind w:left="0" w:right="0" w:firstLineChars="0" w:firstLine="0"/>
                                    <w:jc w:val="center"/>
                                    <w:rPr>
                                      <w:rFonts w:eastAsia="宋体"/>
                                      <w:lang w:val="en-US" w:eastAsia="zh-CN"/>
                                    </w:rPr>
                                  </w:pPr>
                                  <w:r>
                                    <w:rPr>
                                      <w:rFonts w:hint="eastAsia"/>
                                      <w:lang w:val="en-US" w:eastAsia="zh-CN"/>
                                    </w:rPr>
                                    <w:t>G6、S3、S4、S5</w:t>
                                  </w:r>
                                </w:p>
                              </w:txbxContent>
                            </wps:txbx>
                            <wps:bodyPr vert="horz" wrap="square" lIns="91440" tIns="45720" rIns="91440" bIns="45720" anchor="t" anchorCtr="0" upright="0">
                              <a:noAutofit/>
                            </wps:bodyPr>
                          </wps:wsp>
                        </a:graphicData>
                      </a:graphic>
                    </wp:anchor>
                  </w:drawing>
                </mc:Choice>
                <mc:Fallback>
                  <w:pict>
                    <v:rect type="#_x0000_t1" id="文本框 14" o:spid="_x0000_s40" fillcolor="#FFFFFF" stroked="f" strokeweight="0.5pt" style="position:absolute;margin-left:196.25002pt;margin-top:1.4pt;width:123.15001pt;height:24.75pt;z-index:570;mso-position-horizontal:absolute;mso-position-vertical:absolute;mso-wrap-style:square;">
                      <v:stroke/>
                      <v:textbox id="866" inset="2.54mm,1.27mm,2.54mm,1.27mm" o:insetmode="custom" style="layout-flow:horizontal;v-text-anchor:top;">
                        <w:txbxContent>
                          <w:p>
                            <w:pPr>
                              <w:spacing w:line="240" w:lineRule="auto"/>
                              <w:ind w:left="0" w:right="0" w:firstLineChars="0" w:firstLine="0"/>
                              <w:jc w:val="center"/>
                              <w:rPr>
                                <w:rFonts w:eastAsia="宋体"/>
                                <w:lang w:val="en-US" w:eastAsia="zh-CN"/>
                              </w:rPr>
                            </w:pPr>
                            <w:r>
                              <w:rPr>
                                <w:rFonts w:hint="eastAsia"/>
                                <w:lang w:val="en-US" w:eastAsia="zh-CN"/>
                              </w:rPr>
                              <w:t>G6、S3、S4、S5</w:t>
                            </w:r>
                          </w:p>
                        </w:txbxContent>
                      </v:textbox>
                    </v:rect>
                  </w:pict>
                </mc:Fallback>
              </mc:AlternateContent>
            </w:r>
            <w:r>
              <w:rPr>
                <w:color w:val="auto"/>
                <w:lang w:val="en-US" w:eastAsia="zh-CN"/>
              </w:rPr>
              <w:drawing>
                <wp:inline distT="0" distB="0" distL="114300" distR="114300">
                  <wp:extent cx="4057650" cy="1285875"/>
                  <wp:effectExtent l="0" t="0" r="0" b="0"/>
                  <wp:docPr id="1036" name="图片 6"/>
                  <wp:cNvGraphicFramePr>
                    <a:graphicFrameLocks noChangeAspect="1"/>
                  </wp:cNvGraphicFramePr>
                  <a:graphic>
                    <a:graphicData uri="http://schemas.openxmlformats.org/drawingml/2006/picture">
                      <pic:pic>
                        <pic:nvPicPr>
                          <pic:cNvPr id="42" name="图片 6 42"/>
                          <pic:cNvPicPr/>
                        </pic:nvPicPr>
                        <pic:blipFill>
                          <a:blip r:embed="rId12"/>
                          <a:stretch>
                            <a:fillRect/>
                          </a:stretch>
                        </pic:blipFill>
                        <pic:spPr>
                          <a:xfrm rot="0">
                            <a:off x="0" y="0"/>
                            <a:ext cx="4057650" cy="1285875"/>
                          </a:xfrm>
                          <a:prstGeom prst="rect"/>
                          <a:noFill/>
                          <a:ln cmpd="sng" cap="flat">
                            <a:noFill/>
                            <a:prstDash val="solid"/>
                            <a:round/>
                          </a:ln>
                        </pic:spPr>
                      </pic:pic>
                    </a:graphicData>
                  </a:graphic>
                </wp:inline>
              </w:drawing>
            </w:r>
          </w:p>
          <w:p>
            <w:pPr>
              <w:pStyle w:val="24"/>
              <w:bidi w:val="0"/>
              <w:rPr>
                <w:color w:val="auto"/>
                <w:lang w:val="en-US" w:eastAsia="zh-CN"/>
              </w:rPr>
            </w:pPr>
            <w:r>
              <w:rPr>
                <w:color w:val="auto"/>
                <w:lang w:val="en-US" w:eastAsia="zh-CN"/>
              </w:rPr>
              <w:t>图2-</w:t>
            </w:r>
            <w:r>
              <w:rPr>
                <w:rFonts w:hint="eastAsia"/>
                <w:color w:val="auto"/>
                <w:lang w:val="en-US" w:eastAsia="zh-CN"/>
              </w:rPr>
              <w:t>8</w:t>
            </w:r>
            <w:r>
              <w:rPr>
                <w:color w:val="auto"/>
                <w:lang w:val="en-US" w:eastAsia="zh-CN"/>
              </w:rPr>
              <w:t xml:space="preserve">  </w:t>
            </w:r>
            <w:r>
              <w:rPr>
                <w:rFonts w:hint="eastAsia"/>
                <w:color w:val="auto"/>
                <w:lang w:val="en-US" w:eastAsia="zh-CN"/>
              </w:rPr>
              <w:t>检测实验室</w:t>
            </w:r>
            <w:r>
              <w:rPr>
                <w:color w:val="auto"/>
                <w:lang w:val="en-US" w:eastAsia="zh-CN"/>
              </w:rPr>
              <w:t>工艺流程</w:t>
            </w:r>
          </w:p>
          <w:p>
            <w:pPr>
              <w:bidi w:val="0"/>
              <w:rPr>
                <w:rFonts w:hint="eastAsia"/>
                <w:color w:val="auto"/>
                <w:lang w:val="en-US" w:eastAsia="zh-CN"/>
              </w:rPr>
            </w:pPr>
            <w:r>
              <w:rPr>
                <w:color w:val="auto"/>
                <w:lang w:val="en-US" w:eastAsia="zh-CN"/>
              </w:rPr>
              <w:t>检测实验室</w:t>
            </w:r>
            <w:r>
              <w:rPr>
                <w:rFonts w:hint="eastAsia"/>
                <w:color w:val="auto"/>
                <w:lang w:val="en-US" w:eastAsia="zh-CN"/>
              </w:rPr>
              <w:t>主要用于对本企业制造的产品进行检测，包括感官要求（色泽、气味、状态等）、理化性质、重金属含量、微生物含量等检测内容。</w:t>
            </w:r>
          </w:p>
          <w:p>
            <w:pPr>
              <w:bidi w:val="0"/>
              <w:rPr>
                <w:rFonts w:hint="eastAsia"/>
                <w:color w:val="auto"/>
                <w:lang w:val="en-US" w:eastAsia="zh-CN"/>
              </w:rPr>
            </w:pPr>
            <w:r>
              <w:rPr>
                <w:rFonts w:hint="eastAsia"/>
                <w:color w:val="auto"/>
                <w:lang w:val="en-US" w:eastAsia="zh-CN"/>
              </w:rPr>
              <w:t>理化分析检测：对液态样品进行过滤稀释等预处理后，进行氧化还原、显色反应、定容等处理后通过滴定反应或分光光度计来测定常规化学指标。金属分析检测：对样品进行消解处理，然后利用原子吸收分光光度计等设备检测分析金属指标；微生物分析检测：将样品充分混匀后根据样品情况确定接种量，将样品分别接种到培养基中恒温培养，然后进行微生物计数测定 。</w:t>
            </w:r>
          </w:p>
          <w:p>
            <w:pPr>
              <w:bidi w:val="0"/>
              <w:rPr>
                <w:rFonts w:hint="eastAsia"/>
                <w:color w:val="auto"/>
                <w:lang w:val="en-US" w:eastAsia="zh-CN"/>
              </w:rPr>
            </w:pPr>
            <w:r>
              <w:rPr>
                <w:rFonts w:hint="eastAsia"/>
                <w:color w:val="auto"/>
                <w:lang w:val="en-US" w:eastAsia="zh-CN"/>
              </w:rPr>
              <w:t>检测实验室产生的污染源主要是：有机试剂挥发产生的废气G6，废试剂瓶S3、实验室废液S4，超净工作台定期更换的废UV灯管S5。</w:t>
            </w:r>
          </w:p>
          <w:p>
            <w:pPr>
              <w:bidi w:val="0"/>
              <w:rPr>
                <w:rFonts w:hint="eastAsia"/>
                <w:color w:val="auto"/>
                <w:lang w:val="en-US" w:eastAsia="zh-CN"/>
              </w:rPr>
            </w:pPr>
          </w:p>
          <w:p>
            <w:pPr>
              <w:bidi w:val="0"/>
              <w:rPr>
                <w:rFonts w:hint="eastAsia"/>
                <w:color w:val="auto"/>
                <w:lang w:val="en-US" w:eastAsia="zh-CN"/>
              </w:rPr>
            </w:pPr>
          </w:p>
          <w:p>
            <w:pPr>
              <w:pStyle w:val="24"/>
              <w:bidi w:val="0"/>
              <w:rPr>
                <w:color w:val="auto"/>
                <w:lang w:val="en-US" w:eastAsia="zh-CN"/>
              </w:rPr>
            </w:pPr>
            <w:r>
              <w:rPr>
                <w:color w:val="auto"/>
                <w:lang w:val="en-US" w:eastAsia="zh-CN"/>
              </w:rPr>
              <w:t>表2-</w:t>
            </w:r>
            <w:r>
              <w:rPr>
                <w:rFonts w:hint="eastAsia"/>
                <w:color w:val="auto"/>
                <w:lang w:val="en-US" w:eastAsia="zh-CN"/>
              </w:rPr>
              <w:t>8</w:t>
            </w:r>
            <w:r>
              <w:rPr>
                <w:color w:val="auto"/>
                <w:lang w:val="en-US" w:eastAsia="zh-CN"/>
              </w:rPr>
              <w:t xml:space="preserve"> </w:t>
            </w:r>
            <w:r>
              <w:rPr>
                <w:rFonts w:hint="eastAsia"/>
                <w:color w:val="auto"/>
                <w:lang w:val="en-US" w:eastAsia="zh-CN"/>
              </w:rPr>
              <w:t xml:space="preserve"> 排污</w:t>
            </w:r>
            <w:r>
              <w:rPr>
                <w:color w:val="auto"/>
                <w:lang w:val="en-US" w:eastAsia="zh-CN"/>
              </w:rPr>
              <w:t>节点及处理方式一览表</w:t>
            </w:r>
          </w:p>
          <w:tbl>
            <w:tblPr>
              <w:jc w:val="left"/>
              <w:tblInd w:w="0" w:type="dxa"/>
              <w:tblW w:w="499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656"/>
              <w:gridCol w:w="678"/>
              <w:gridCol w:w="1246"/>
              <w:gridCol w:w="2023"/>
              <w:gridCol w:w="749"/>
              <w:gridCol w:w="3045"/>
            </w:tblGrid>
            <w:tr>
              <w:trPr>
                <w:trHeight w:val="23"/>
              </w:trPr>
              <w:tc>
                <w:tcPr>
                  <w:tcW w:w="142" w:type="dxa"/>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项目</w:t>
                  </w:r>
                </w:p>
              </w:tc>
              <w:tc>
                <w:tcPr>
                  <w:tcW w:w="149" w:type="dxa"/>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序号</w:t>
                  </w:r>
                </w:p>
              </w:tc>
              <w:tc>
                <w:tcPr>
                  <w:tcW w:w="303" w:type="dxa"/>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污染源</w:t>
                  </w:r>
                </w:p>
              </w:tc>
              <w:tc>
                <w:tcPr>
                  <w:tcW w:w="492" w:type="dxa"/>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污染物</w:t>
                  </w:r>
                </w:p>
              </w:tc>
              <w:tc>
                <w:tcPr>
                  <w:tcW w:w="172" w:type="dxa"/>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排放规律</w:t>
                  </w:r>
                </w:p>
              </w:tc>
              <w:tc>
                <w:tcPr>
                  <w:tcW w:w="741" w:type="dxa"/>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治理措施</w:t>
                  </w:r>
                </w:p>
              </w:tc>
            </w:tr>
            <w:tr>
              <w:trPr>
                <w:trHeight w:val="23"/>
              </w:trPr>
              <w:tc>
                <w:tcPr>
                  <w:tcW w:w="142" w:type="dxa"/>
                  <w:vMerge w:val="restart"/>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废气</w:t>
                  </w:r>
                </w:p>
              </w:tc>
              <w:tc>
                <w:tcPr>
                  <w:tcW w:w="149" w:type="dxa"/>
                  <w:tcBorders>
                    <w:left w:val="single" w:sz="6" w:space="0" w:color="000000"/>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G1</w:t>
                  </w:r>
                </w:p>
              </w:tc>
              <w:tc>
                <w:tcPr>
                  <w:tcW w:w="303" w:type="dxa"/>
                  <w:tcBorders>
                    <w:bottom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PE包装膜加热（新增）</w:t>
                  </w:r>
                </w:p>
              </w:tc>
              <w:tc>
                <w:tcPr>
                  <w:tcW w:w="492" w:type="dxa"/>
                  <w:tcBorders>
                    <w:left w:val="single" w:sz="6" w:space="0" w:color="000000"/>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非甲烷总烃</w:t>
                  </w:r>
                </w:p>
              </w:tc>
              <w:tc>
                <w:tcPr>
                  <w:tcW w:w="172" w:type="dxa"/>
                  <w:tcBorders>
                    <w:bottom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连续</w:t>
                  </w:r>
                </w:p>
              </w:tc>
              <w:tc>
                <w:tcPr>
                  <w:tcW w:w="741" w:type="dxa"/>
                  <w:vMerge w:val="restart"/>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干式过滤+两级活性炭吸附装置1#+15m排气筒DA001</w:t>
                  </w:r>
                </w:p>
              </w:tc>
            </w:tr>
            <w:tr>
              <w:trPr>
                <w:trHeight w:val="23"/>
              </w:trPr>
              <w:tc>
                <w:tcPr>
                  <w:tcW w:w="142" w:type="dxa"/>
                  <w:vMerge/>
                  <w:vAlign w:val="center"/>
                </w:tcPr>
                <w:p/>
              </w:tc>
              <w:tc>
                <w:tcPr>
                  <w:tcW w:w="149" w:type="dxa"/>
                  <w:tcBorders>
                    <w:left w:val="single" w:sz="6" w:space="0" w:color="000000"/>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G6</w:t>
                  </w:r>
                </w:p>
              </w:tc>
              <w:tc>
                <w:tcPr>
                  <w:tcW w:w="303" w:type="dxa"/>
                  <w:tcBorders>
                    <w:bottom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检测实验室（新增）</w:t>
                  </w:r>
                </w:p>
              </w:tc>
              <w:tc>
                <w:tcPr>
                  <w:tcW w:w="492" w:type="dxa"/>
                  <w:tcBorders>
                    <w:left w:val="single" w:sz="6" w:space="0" w:color="000000"/>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W w:w="172" w:type="dxa"/>
                  <w:tcBorders>
                    <w:bottom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w:t>
                  </w:r>
                </w:p>
              </w:tc>
              <w:tc>
                <w:tcPr>
                  <w:tcW w:w="303" w:type="dxa"/>
                  <w:tcBorders>
                    <w:bottom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饮料灌装（现有）</w:t>
                  </w:r>
                </w:p>
              </w:tc>
              <w:tc>
                <w:tcPr>
                  <w:tcW w:w="492" w:type="dxa"/>
                  <w:tcBorders>
                    <w:left w:val="single" w:sz="6" w:space="0" w:color="000000"/>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非甲烷总烃、臭气浓度</w:t>
                  </w:r>
                </w:p>
              </w:tc>
              <w:tc>
                <w:tcPr>
                  <w:tcW w:w="172" w:type="dxa"/>
                  <w:tcBorders>
                    <w:bottom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贴管（现有）</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非甲烷总烃</w:t>
                  </w:r>
                </w:p>
              </w:tc>
              <w:tc>
                <w:tcPr>
                  <w:tcW w:w="172" w:type="dxa"/>
                  <w:tcBorders>
                    <w:bottom w:val="single" w:sz="4" w:space="0" w:color="auto"/>
                  </w:tcBorders>
                  <w:vAlign w:val="center"/>
                </w:tcPr>
                <w:p>
                  <w:pPr>
                    <w:pStyle w:val="23"/>
                    <w:bidi w:val="0"/>
                    <w:rPr>
                      <w:rFonts w:hint="eastAsia"/>
                      <w:color w:val="auto"/>
                      <w:lang w:val="en-US" w:eastAsia="zh-CN"/>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喷码（现有）</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hint="eastAsia"/>
                      <w:color w:val="auto"/>
                      <w:lang w:val="en-US" w:eastAsia="zh-CN"/>
                    </w:rPr>
                  </w:pPr>
                  <w:r>
                    <w:rPr>
                      <w:rFonts w:hint="eastAsia"/>
                      <w:color w:val="auto"/>
                      <w:lang w:val="en-US" w:eastAsia="zh-CN"/>
                    </w:rPr>
                    <w:t>非甲烷总烃</w:t>
                  </w:r>
                </w:p>
              </w:tc>
              <w:tc>
                <w:tcPr>
                  <w:tcW w:w="172" w:type="dxa"/>
                  <w:tcBorders>
                    <w:bottom w:val="single" w:sz="4" w:space="0" w:color="auto"/>
                  </w:tcBorders>
                  <w:vAlign w:val="center"/>
                </w:tcPr>
                <w:p>
                  <w:pPr>
                    <w:pStyle w:val="23"/>
                    <w:bidi w:val="0"/>
                    <w:rPr>
                      <w:rFonts w:hint="eastAsia"/>
                      <w:color w:val="auto"/>
                      <w:lang w:val="en-US" w:eastAsia="zh-CN"/>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热合封口（现有）</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hint="eastAsia"/>
                      <w:color w:val="auto"/>
                      <w:lang w:val="en-US" w:eastAsia="zh-CN"/>
                    </w:rPr>
                  </w:pPr>
                  <w:r>
                    <w:rPr>
                      <w:rFonts w:hint="eastAsia"/>
                      <w:color w:val="auto"/>
                      <w:lang w:val="en-US" w:eastAsia="zh-CN"/>
                    </w:rPr>
                    <w:t>非甲烷总烃</w:t>
                  </w:r>
                </w:p>
              </w:tc>
              <w:tc>
                <w:tcPr>
                  <w:tcW w:w="172" w:type="dxa"/>
                  <w:tcBorders>
                    <w:bottom w:val="single" w:sz="4" w:space="0" w:color="auto"/>
                  </w:tcBorders>
                  <w:vAlign w:val="center"/>
                </w:tcPr>
                <w:p>
                  <w:pPr>
                    <w:pStyle w:val="23"/>
                    <w:bidi w:val="0"/>
                    <w:rPr>
                      <w:rFonts w:hint="eastAsia"/>
                      <w:color w:val="auto"/>
                      <w:lang w:val="en-US" w:eastAsia="zh-CN"/>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G4</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食品添加剂生产（现有）</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非甲烷总烃、臭气浓度</w:t>
                  </w:r>
                </w:p>
              </w:tc>
              <w:tc>
                <w:tcPr>
                  <w:tcW w:w="172" w:type="dxa"/>
                  <w:tcBorders>
                    <w:bottom w:val="single" w:sz="4" w:space="0" w:color="auto"/>
                  </w:tcBorders>
                  <w:vAlign w:val="center"/>
                </w:tcPr>
                <w:p>
                  <w:pPr>
                    <w:pStyle w:val="23"/>
                    <w:bidi w:val="0"/>
                    <w:rPr>
                      <w:rFonts w:hint="eastAsia"/>
                      <w:color w:val="auto"/>
                      <w:lang w:val="en-US" w:eastAsia="zh-CN"/>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G2</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喷雾干燥（新增）</w:t>
                  </w:r>
                </w:p>
              </w:tc>
              <w:tc>
                <w:tcPr>
                  <w:tcW w:w="492" w:type="dxa"/>
                  <w:vMerge w:val="restart"/>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颗粒物</w:t>
                  </w:r>
                </w:p>
              </w:tc>
              <w:tc>
                <w:tcPr>
                  <w:tcW w:w="172" w:type="dxa"/>
                  <w:tcBorders>
                    <w:bottom w:val="single" w:sz="4" w:space="0" w:color="auto"/>
                  </w:tcBorders>
                  <w:vAlign w:val="center"/>
                </w:tcPr>
                <w:p>
                  <w:pPr>
                    <w:pStyle w:val="23"/>
                    <w:bidi w:val="0"/>
                    <w:rPr>
                      <w:rFonts w:hint="eastAsia"/>
                      <w:color w:val="auto"/>
                      <w:lang w:val="en-US" w:eastAsia="zh-CN"/>
                    </w:rPr>
                  </w:pPr>
                  <w:r>
                    <w:rPr>
                      <w:rFonts w:hint="eastAsia"/>
                      <w:color w:val="auto"/>
                      <w:lang w:val="en-US" w:eastAsia="zh-CN"/>
                    </w:rPr>
                    <w:t>连续</w:t>
                  </w:r>
                </w:p>
              </w:tc>
              <w:tc>
                <w:tcPr>
                  <w:tcW w:w="741" w:type="dxa"/>
                  <w:vMerge w:val="restart"/>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布袋除尘器+15m排气筒DA002</w:t>
                  </w: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G3</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color w:val="auto"/>
                      <w:lang w:val="en-US" w:eastAsia="zh-CN"/>
                    </w:rPr>
                    <w:t>粉料灌装</w:t>
                  </w:r>
                </w:p>
              </w:tc>
              <w:tc>
                <w:tcPr>
                  <w:tcW w:w="492" w:type="dxa"/>
                  <w:vMerge/>
                  <w:tcBorders>
                    <w:left w:val="single" w:sz="6" w:space="0" w:color="000000"/>
                  </w:tcBorders>
                  <w:vAlign w:val="center"/>
                </w:tcPr>
                <w:p/>
              </w:tc>
              <w:tc>
                <w:tcPr>
                  <w:tcW w:w="172" w:type="dxa"/>
                  <w:tcBorders>
                    <w:bottom w:val="single" w:sz="4" w:space="0" w:color="auto"/>
                  </w:tcBorders>
                  <w:vAlign w:val="center"/>
                </w:tcPr>
                <w:p>
                  <w:pPr>
                    <w:pStyle w:val="23"/>
                    <w:bidi w:val="0"/>
                    <w:rPr>
                      <w:rFonts w:hint="eastAsia"/>
                      <w:color w:val="auto"/>
                      <w:lang w:val="en-US" w:eastAsia="zh-CN"/>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color w:val="auto"/>
                      <w:lang w:val="en-US" w:eastAsia="zh-CN"/>
                    </w:rPr>
                    <w:t>真空上料（现有）</w:t>
                  </w:r>
                </w:p>
              </w:tc>
              <w:tc>
                <w:tcPr>
                  <w:tcW w:w="492" w:type="dxa"/>
                  <w:vMerge/>
                  <w:tcBorders>
                    <w:left w:val="single" w:sz="6" w:space="0" w:color="000000"/>
                  </w:tcBorders>
                  <w:vAlign w:val="center"/>
                </w:tcPr>
                <w:p/>
              </w:tc>
              <w:tc>
                <w:tcPr>
                  <w:tcW w:w="172" w:type="dxa"/>
                  <w:tcBorders>
                    <w:bottom w:val="single" w:sz="4" w:space="0" w:color="auto"/>
                  </w:tcBorders>
                  <w:vAlign w:val="center"/>
                </w:tcPr>
                <w:p>
                  <w:pPr>
                    <w:pStyle w:val="23"/>
                    <w:bidi w:val="0"/>
                    <w:rPr>
                      <w:rFonts w:hint="eastAsia"/>
                      <w:color w:val="auto"/>
                      <w:lang w:val="en-US" w:eastAsia="zh-CN"/>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w:t>
                  </w:r>
                </w:p>
              </w:tc>
              <w:tc>
                <w:tcPr>
                  <w:tcW w:w="303" w:type="dxa"/>
                  <w:tcBorders>
                    <w:bottom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污水处理站</w:t>
                  </w:r>
                </w:p>
              </w:tc>
              <w:tc>
                <w:tcPr>
                  <w:tcW w:w="492" w:type="dxa"/>
                  <w:tcBorders>
                    <w:left w:val="single" w:sz="6" w:space="0" w:color="000000"/>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NH</w:t>
                  </w:r>
                  <w:r>
                    <w:rPr>
                      <w:rFonts w:hint="eastAsia"/>
                      <w:color w:val="auto"/>
                      <w:vertAlign w:val="subscript"/>
                      <w:lang w:val="en-US" w:eastAsia="zh-CN"/>
                    </w:rPr>
                    <w:t>3</w:t>
                  </w:r>
                  <w:r>
                    <w:rPr>
                      <w:rFonts w:hint="eastAsia"/>
                      <w:color w:val="auto"/>
                      <w:lang w:val="en-US" w:eastAsia="zh-CN"/>
                    </w:rPr>
                    <w:t>、H</w:t>
                  </w:r>
                  <w:r>
                    <w:rPr>
                      <w:rFonts w:hint="eastAsia"/>
                      <w:color w:val="auto"/>
                      <w:vertAlign w:val="subscript"/>
                      <w:lang w:val="en-US" w:eastAsia="zh-CN"/>
                    </w:rPr>
                    <w:t>2</w:t>
                  </w:r>
                  <w:r>
                    <w:rPr>
                      <w:rFonts w:hint="eastAsia"/>
                      <w:color w:val="auto"/>
                      <w:lang w:val="en-US" w:eastAsia="zh-CN"/>
                    </w:rPr>
                    <w:t>S、臭气浓度</w:t>
                  </w:r>
                </w:p>
              </w:tc>
              <w:tc>
                <w:tcPr>
                  <w:tcW w:w="172" w:type="dxa"/>
                  <w:tcBorders>
                    <w:bottom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连续</w:t>
                  </w:r>
                </w:p>
              </w:tc>
              <w:tc>
                <w:tcPr>
                  <w:tcW w:w="741" w:type="dxa"/>
                  <w:tcBorders>
                    <w:left w:val="single" w:sz="6" w:space="0" w:color="000000"/>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highlight w:val="none"/>
                    </w:rPr>
                    <w:t>碱喷淋+15m排气筒DA003</w:t>
                  </w: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hint="eastAsia"/>
                      <w:color w:val="auto"/>
                      <w:lang w:val="en-US" w:eastAsia="zh-CN"/>
                    </w:rPr>
                  </w:pPr>
                  <w:r>
                    <w:rPr>
                      <w:rFonts w:hint="eastAsia"/>
                      <w:color w:val="auto"/>
                      <w:lang w:val="en-US" w:eastAsia="zh-CN"/>
                    </w:rPr>
                    <w:t>蒸汽发生器（新增）</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NOx、SO</w:t>
                  </w:r>
                  <w:r>
                    <w:rPr>
                      <w:rFonts w:hint="eastAsia"/>
                      <w:color w:val="auto"/>
                      <w:vertAlign w:val="subscript"/>
                      <w:lang w:val="en-US" w:eastAsia="zh-CN"/>
                    </w:rPr>
                    <w:t>2</w:t>
                  </w:r>
                  <w:r>
                    <w:rPr>
                      <w:rFonts w:hint="eastAsia"/>
                      <w:color w:val="auto"/>
                      <w:lang w:val="en-US" w:eastAsia="zh-CN"/>
                    </w:rPr>
                    <w:t>、颗粒物、林格曼黑度</w:t>
                  </w:r>
                </w:p>
              </w:tc>
              <w:tc>
                <w:tcPr>
                  <w:tcW w:w="172"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连续</w:t>
                  </w:r>
                </w:p>
              </w:tc>
              <w:tc>
                <w:tcPr>
                  <w:tcW w:w="741"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低氮燃烧技术+15m排气筒DA005</w:t>
                  </w: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G5</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研发实验室（新增）</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臭气浓度</w:t>
                  </w:r>
                </w:p>
              </w:tc>
              <w:tc>
                <w:tcPr>
                  <w:tcW w:w="172"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连续</w:t>
                  </w:r>
                </w:p>
              </w:tc>
              <w:tc>
                <w:tcPr>
                  <w:tcW w:w="741"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活性炭吸附装置2#+25m排气筒DA006</w:t>
                  </w:r>
                </w:p>
              </w:tc>
            </w:tr>
            <w:tr>
              <w:trPr>
                <w:trHeight w:val="23"/>
              </w:trPr>
              <w:tc>
                <w:tcPr>
                  <w:tcW w:w="142" w:type="dxa"/>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噪声</w:t>
                  </w: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N</w:t>
                  </w:r>
                </w:p>
              </w:tc>
              <w:tc>
                <w:tcPr>
                  <w:tcW w:w="303"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生产设备</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等效A声级</w:t>
                  </w:r>
                </w:p>
              </w:tc>
              <w:tc>
                <w:tcPr>
                  <w:tcW w:w="17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间歇</w:t>
                  </w:r>
                </w:p>
              </w:tc>
              <w:tc>
                <w:tcPr>
                  <w:tcW w:w="741"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项目生产设备置于生产车间内，采用低噪声设备，同时采取基础减振、厂房隔声、设备定期维护和保养等措施</w:t>
                  </w:r>
                </w:p>
              </w:tc>
            </w:tr>
            <w:tr>
              <w:trPr>
                <w:trHeight w:val="23"/>
              </w:trPr>
              <w:tc>
                <w:tcPr>
                  <w:tcW w:w="142" w:type="dxa"/>
                  <w:vMerge w:val="restart"/>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ascii="Times New Roman" w:eastAsia="宋体" w:cs="Times New Roman" w:hAnsi="Times New Roman"/>
                      <w:color w:val="auto"/>
                      <w:kern w:val="2"/>
                      <w:sz w:val="21"/>
                      <w:szCs w:val="21"/>
                      <w:lang w:val="en-US" w:eastAsia="zh-CN"/>
                    </w:rPr>
                  </w:pPr>
                  <w:r>
                    <w:rPr>
                      <w:rFonts w:cs="Times New Roman" w:hint="eastAsia"/>
                      <w:color w:val="auto"/>
                      <w:kern w:val="2"/>
                      <w:sz w:val="21"/>
                      <w:szCs w:val="21"/>
                      <w:lang w:val="en-US" w:eastAsia="zh-CN"/>
                    </w:rPr>
                    <w:t>固体废物</w:t>
                  </w: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ascii="Times New Roman" w:eastAsia="宋体" w:cs="Times New Roman" w:hAnsi="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原材料</w:t>
                  </w:r>
                </w:p>
              </w:tc>
              <w:tc>
                <w:tcPr>
                  <w:tcW w:w="49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废包装</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ascii="Times New Roman" w:eastAsia="宋体" w:cs="Times New Roman" w:hAnsi="Times New Roman" w:hint="eastAsia"/>
                      <w:color w:val="auto"/>
                      <w:kern w:val="2"/>
                      <w:szCs w:val="21"/>
                      <w:lang w:val="en-US" w:eastAsia="zh-CN"/>
                    </w:rPr>
                    <w:t>间歇</w:t>
                  </w:r>
                </w:p>
              </w:tc>
              <w:tc>
                <w:tcPr>
                  <w:tcW w:w="741" w:type="dxa"/>
                  <w:vMerge w:val="restart"/>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收集后暂存一般固废间，定期外售综合利用</w:t>
                  </w: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tcBorders>
                    <w:top w:val="single" w:sz="4" w:space="0" w:color="auto"/>
                  </w:tcBorders>
                  <w:shd w:val="clear" w:color="auto" w:fill="auto"/>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bidi="ar-SA"/>
                    </w:rPr>
                  </w:pPr>
                  <w:r>
                    <w:rPr>
                      <w:rFonts w:cs="Times New Roman" w:hint="eastAsia"/>
                      <w:color w:val="auto"/>
                      <w:kern w:val="2"/>
                      <w:sz w:val="21"/>
                      <w:szCs w:val="21"/>
                      <w:lang w:val="en-US" w:eastAsia="zh-CN" w:bidi="ar-SA"/>
                    </w:rPr>
                    <w:t>布袋除尘器</w:t>
                  </w: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废布袋</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90"/>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S1</w:t>
                  </w:r>
                </w:p>
              </w:tc>
              <w:tc>
                <w:tcPr>
                  <w:tcW w:w="303" w:type="dxa"/>
                  <w:tcBorders>
                    <w:top w:val="single" w:sz="4" w:space="0" w:color="auto"/>
                  </w:tcBorders>
                  <w:shd w:val="clear" w:color="auto" w:fill="auto"/>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ascii="Times New Roman" w:eastAsia="宋体" w:cs="Times New Roman" w:hAnsi="Times New Roman" w:hint="eastAsia"/>
                      <w:color w:val="auto"/>
                      <w:kern w:val="2"/>
                      <w:sz w:val="21"/>
                      <w:szCs w:val="21"/>
                      <w:lang w:val="en-US" w:eastAsia="zh-CN" w:bidi="ar-SA"/>
                    </w:rPr>
                  </w:pPr>
                  <w:r>
                    <w:rPr>
                      <w:rFonts w:cs="Times New Roman" w:hint="eastAsia"/>
                      <w:color w:val="auto"/>
                      <w:kern w:val="2"/>
                      <w:sz w:val="21"/>
                      <w:szCs w:val="21"/>
                      <w:lang w:val="en-US" w:eastAsia="zh-CN"/>
                    </w:rPr>
                    <w:t>浓缩过滤（新增）</w:t>
                  </w: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果蔬渣</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间歇</w:t>
                  </w:r>
                </w:p>
              </w:tc>
              <w:tc>
                <w:tcPr>
                  <w:tcW w:w="741" w:type="dxa"/>
                  <w:vMerge w:val="restart"/>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color w:val="auto"/>
                      <w:kern w:val="2"/>
                      <w:sz w:val="21"/>
                      <w:szCs w:val="21"/>
                      <w:lang w:val="en-US" w:eastAsia="zh-CN" w:bidi="ar-SA"/>
                    </w:rPr>
                    <w:t>收集后交由环卫部门处置</w:t>
                  </w: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S2</w:t>
                  </w:r>
                </w:p>
              </w:tc>
              <w:tc>
                <w:tcPr>
                  <w:tcW w:w="303" w:type="dxa"/>
                  <w:tcBorders>
                    <w:top w:val="single" w:sz="4" w:space="0" w:color="auto"/>
                  </w:tcBorders>
                  <w:shd w:val="clear" w:color="auto" w:fill="auto"/>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研发实验室（新增）</w:t>
                  </w: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color w:val="auto"/>
                      <w:lang w:val="en-US" w:eastAsia="zh-CN"/>
                    </w:rPr>
                  </w:pPr>
                  <w:r>
                    <w:rPr>
                      <w:rFonts w:hint="eastAsia"/>
                      <w:color w:val="auto"/>
                      <w:lang w:val="en-US" w:eastAsia="zh-CN"/>
                    </w:rPr>
                    <w:t>废研发样品</w:t>
                  </w:r>
                </w:p>
              </w:tc>
              <w:tc>
                <w:tcPr>
                  <w:tcW w:w="17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90"/>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vMerge w:val="restart"/>
                  <w:tcBorders>
                    <w:top w:val="single" w:sz="4" w:space="0" w:color="auto"/>
                  </w:tcBorders>
                  <w:shd w:val="clear" w:color="auto" w:fill="auto"/>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污水处理站</w:t>
                  </w: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hint="eastAsia"/>
                      <w:color w:val="auto"/>
                      <w:lang w:val="en-US" w:eastAsia="zh-CN"/>
                    </w:rPr>
                  </w:pPr>
                  <w:r>
                    <w:rPr>
                      <w:rFonts w:hint="eastAsia"/>
                      <w:color w:val="auto"/>
                      <w:lang w:val="en-US" w:eastAsia="zh-CN"/>
                    </w:rPr>
                    <w:t>浮油</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90"/>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vMerge/>
                  <w:tcBorders>
                    <w:left w:val="single" w:sz="6" w:space="0" w:color="000000"/>
                  </w:tcBorders>
                  <w:shd w:val="clear" w:color="auto" w:fill="auto"/>
                  <w:vAlign w:val="center"/>
                </w:tcP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color w:val="auto"/>
                      <w:lang w:val="en-US" w:eastAsia="zh-CN"/>
                    </w:rPr>
                  </w:pPr>
                  <w:r>
                    <w:rPr>
                      <w:rFonts w:hint="eastAsia"/>
                      <w:color w:val="auto"/>
                      <w:lang w:val="en-US" w:eastAsia="zh-CN"/>
                    </w:rPr>
                    <w:t>污泥</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tcBorders>
                    <w:top w:val="single" w:sz="4" w:space="0" w:color="auto"/>
                  </w:tcBorders>
                  <w:shd w:val="clear" w:color="auto" w:fill="auto"/>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布袋除尘器</w:t>
                  </w: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hint="eastAsia"/>
                      <w:color w:val="auto"/>
                      <w:lang w:val="en-US" w:eastAsia="zh-CN"/>
                    </w:rPr>
                  </w:pPr>
                  <w:r>
                    <w:rPr>
                      <w:rFonts w:hint="eastAsia"/>
                      <w:color w:val="auto"/>
                      <w:lang w:val="en-US" w:eastAsia="zh-CN"/>
                    </w:rPr>
                    <w:t>除尘灰</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S3</w:t>
                  </w:r>
                </w:p>
              </w:tc>
              <w:tc>
                <w:tcPr>
                  <w:tcW w:w="303" w:type="dxa"/>
                  <w:vMerge w:val="restart"/>
                  <w:tcBorders>
                    <w:top w:val="single" w:sz="4" w:space="0" w:color="auto"/>
                  </w:tcBorders>
                  <w:shd w:val="clear" w:color="auto" w:fill="auto"/>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检测实验室（新增）</w:t>
                  </w: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color w:val="auto"/>
                      <w:lang w:val="en-US" w:eastAsia="zh-CN"/>
                    </w:rPr>
                  </w:pPr>
                  <w:r>
                    <w:rPr>
                      <w:rFonts w:hint="eastAsia"/>
                      <w:color w:val="auto"/>
                      <w:lang w:val="en-US" w:eastAsia="zh-CN"/>
                    </w:rPr>
                    <w:t>废试剂瓶</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cs="Times New Roman"/>
                      <w:color w:val="auto"/>
                      <w:kern w:val="2"/>
                      <w:sz w:val="21"/>
                      <w:szCs w:val="21"/>
                      <w:lang w:val="en-US" w:eastAsia="zh-CN" w:bidi="ar-SA"/>
                    </w:rPr>
                  </w:pPr>
                  <w:r>
                    <w:rPr>
                      <w:rFonts w:cs="Times New Roman" w:hint="eastAsia"/>
                      <w:color w:val="auto"/>
                      <w:kern w:val="2"/>
                      <w:sz w:val="21"/>
                      <w:szCs w:val="21"/>
                      <w:lang w:val="en-US" w:eastAsia="zh-CN" w:bidi="ar-SA"/>
                    </w:rPr>
                    <w:t>间歇</w:t>
                  </w:r>
                </w:p>
              </w:tc>
              <w:tc>
                <w:tcPr>
                  <w:tcW w:w="741" w:type="dxa"/>
                  <w:vMerge w:val="restart"/>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收集后暂存危废间，定期交由有资质单位处置</w:t>
                  </w: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S4</w:t>
                  </w:r>
                </w:p>
              </w:tc>
              <w:tc>
                <w:tcPr>
                  <w:tcW w:w="303" w:type="dxa"/>
                  <w:vMerge/>
                  <w:tcBorders>
                    <w:left w:val="single" w:sz="6" w:space="0" w:color="000000"/>
                  </w:tcBorders>
                  <w:shd w:val="clear" w:color="auto" w:fill="auto"/>
                  <w:vAlign w:val="center"/>
                </w:tcP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color w:val="auto"/>
                      <w:lang w:val="en-US" w:eastAsia="zh-CN"/>
                    </w:rPr>
                  </w:pPr>
                  <w:r>
                    <w:rPr>
                      <w:rFonts w:hint="eastAsia"/>
                      <w:color w:val="auto"/>
                      <w:lang w:val="en-US" w:eastAsia="zh-CN"/>
                    </w:rPr>
                    <w:t>实验室废液</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cs="Times New Roman" w:hint="eastAsia"/>
                      <w:color w:val="auto"/>
                      <w:kern w:val="2"/>
                      <w:sz w:val="21"/>
                      <w:szCs w:val="21"/>
                      <w:lang w:val="en-US" w:eastAsia="zh-CN" w:bidi="ar-SA"/>
                    </w:rPr>
                  </w:pPr>
                  <w:r>
                    <w:rPr>
                      <w:rFonts w:cs="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S5</w:t>
                  </w:r>
                </w:p>
              </w:tc>
              <w:tc>
                <w:tcPr>
                  <w:tcW w:w="303" w:type="dxa"/>
                  <w:vMerge/>
                  <w:tcBorders>
                    <w:left w:val="single" w:sz="6" w:space="0" w:color="000000"/>
                  </w:tcBorders>
                  <w:shd w:val="clear" w:color="auto" w:fill="auto"/>
                  <w:vAlign w:val="center"/>
                </w:tcP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color w:val="auto"/>
                      <w:lang w:val="en-US" w:eastAsia="zh-CN"/>
                    </w:rPr>
                  </w:pPr>
                  <w:r>
                    <w:rPr>
                      <w:rFonts w:hint="eastAsia"/>
                      <w:color w:val="auto"/>
                      <w:lang w:val="en-US" w:eastAsia="zh-CN"/>
                    </w:rPr>
                    <w:t>废UV灯管</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cs="Times New Roman"/>
                      <w:color w:val="auto"/>
                      <w:kern w:val="2"/>
                      <w:sz w:val="21"/>
                      <w:szCs w:val="21"/>
                      <w:lang w:val="en-US" w:eastAsia="zh-CN" w:bidi="ar-SA"/>
                    </w:rPr>
                  </w:pPr>
                  <w:r>
                    <w:rPr>
                      <w:rFonts w:cs="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vMerge w:val="restart"/>
                  <w:tcBorders>
                    <w:left w:val="single" w:sz="6" w:space="0" w:color="000000"/>
                  </w:tcBorders>
                  <w:shd w:val="clear" w:color="auto" w:fill="auto"/>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废气治理设施</w:t>
                  </w: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hint="eastAsia"/>
                      <w:color w:val="auto"/>
                      <w:lang w:val="en-US" w:eastAsia="zh-CN"/>
                    </w:rPr>
                  </w:pPr>
                  <w:r>
                    <w:rPr>
                      <w:rFonts w:hint="eastAsia"/>
                      <w:color w:val="auto"/>
                      <w:lang w:val="en-US" w:eastAsia="zh-CN"/>
                    </w:rPr>
                    <w:t>废过滤棉</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cs="Times New Roman" w:hint="eastAsia"/>
                      <w:color w:val="auto"/>
                      <w:kern w:val="2"/>
                      <w:sz w:val="21"/>
                      <w:szCs w:val="21"/>
                      <w:lang w:val="en-US" w:eastAsia="zh-CN" w:bidi="ar-SA"/>
                    </w:rPr>
                  </w:pPr>
                  <w:r>
                    <w:rPr>
                      <w:rFonts w:cs="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vMerge/>
                  <w:tcBorders>
                    <w:left w:val="single" w:sz="6" w:space="0" w:color="000000"/>
                  </w:tcBorders>
                  <w:shd w:val="clear" w:color="auto" w:fill="auto"/>
                  <w:vAlign w:val="center"/>
                </w:tcP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hint="eastAsia"/>
                      <w:color w:val="auto"/>
                      <w:lang w:val="en-US" w:eastAsia="zh-CN"/>
                    </w:rPr>
                  </w:pPr>
                  <w:r>
                    <w:rPr>
                      <w:rFonts w:hint="eastAsia"/>
                      <w:color w:val="auto"/>
                      <w:lang w:val="en-US" w:eastAsia="zh-CN"/>
                    </w:rPr>
                    <w:t>废活性炭</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cs="Times New Roman" w:hint="eastAsia"/>
                      <w:color w:val="auto"/>
                      <w:kern w:val="2"/>
                      <w:sz w:val="21"/>
                      <w:szCs w:val="21"/>
                      <w:lang w:val="en-US" w:eastAsia="zh-CN" w:bidi="ar-SA"/>
                    </w:rPr>
                  </w:pPr>
                  <w:r>
                    <w:rPr>
                      <w:rFonts w:cs="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vMerge w:val="restart"/>
                  <w:tcBorders>
                    <w:left w:val="single" w:sz="6" w:space="0" w:color="000000"/>
                  </w:tcBorders>
                  <w:shd w:val="clear" w:color="auto" w:fill="auto"/>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设备维护</w:t>
                  </w: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hint="eastAsia"/>
                      <w:color w:val="auto"/>
                      <w:lang w:val="en-US" w:eastAsia="zh-CN"/>
                    </w:rPr>
                  </w:pPr>
                  <w:r>
                    <w:rPr>
                      <w:rFonts w:hint="eastAsia"/>
                      <w:color w:val="auto"/>
                      <w:lang w:val="en-US" w:eastAsia="zh-CN"/>
                    </w:rPr>
                    <w:t>废润滑油</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cs="Times New Roman" w:hint="eastAsia"/>
                      <w:color w:val="auto"/>
                      <w:kern w:val="2"/>
                      <w:sz w:val="21"/>
                      <w:szCs w:val="21"/>
                      <w:lang w:val="en-US" w:eastAsia="zh-CN" w:bidi="ar-SA"/>
                    </w:rPr>
                  </w:pPr>
                  <w:r>
                    <w:rPr>
                      <w:rFonts w:cs="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cs="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vMerge/>
                  <w:tcBorders>
                    <w:left w:val="single" w:sz="6" w:space="0" w:color="000000"/>
                  </w:tcBorders>
                  <w:shd w:val="clear" w:color="auto" w:fill="auto"/>
                  <w:vAlign w:val="center"/>
                </w:tcPr>
                <w:p/>
              </w:tc>
              <w:tc>
                <w:tcPr>
                  <w:tcW w:w="492" w:type="dxa"/>
                  <w:tcBorders>
                    <w:top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hint="eastAsia"/>
                      <w:color w:val="auto"/>
                      <w:lang w:val="en-US" w:eastAsia="zh-CN"/>
                    </w:rPr>
                  </w:pPr>
                  <w:r>
                    <w:rPr>
                      <w:rFonts w:hint="eastAsia"/>
                      <w:color w:val="auto"/>
                      <w:lang w:val="en-US" w:eastAsia="zh-CN"/>
                    </w:rPr>
                    <w:t>废润滑油桶</w:t>
                  </w:r>
                </w:p>
              </w:tc>
              <w:tc>
                <w:tcPr>
                  <w:tcW w:w="172" w:type="dxa"/>
                  <w:tcBorders>
                    <w:top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cs="Times New Roman" w:hint="eastAsia"/>
                      <w:color w:val="auto"/>
                      <w:kern w:val="2"/>
                      <w:sz w:val="21"/>
                      <w:szCs w:val="21"/>
                      <w:lang w:val="en-US" w:eastAsia="zh-CN" w:bidi="ar-SA"/>
                    </w:rPr>
                  </w:pPr>
                  <w:r>
                    <w:rPr>
                      <w:rFonts w:cs="Times New Roman" w:hint="eastAsia"/>
                      <w:color w:val="auto"/>
                      <w:kern w:val="2"/>
                      <w:sz w:val="21"/>
                      <w:szCs w:val="21"/>
                      <w:lang w:val="en-US" w:eastAsia="zh-CN" w:bidi="ar-SA"/>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keepNext w:val="0"/>
                    <w:keepLines w:val="0"/>
                    <w:pageBreakBefore w:val="0"/>
                    <w:widowControl w:val="0"/>
                    <w:kinsoku/>
                    <w:wordWrap/>
                    <w:topLinePunct w:val="0"/>
                    <w:autoSpaceDE/>
                    <w:autoSpaceDN/>
                    <w:bidi w:val="0"/>
                    <w:spacing w:after="0" w:line="240" w:lineRule="auto"/>
                    <w:ind w:left="0" w:firstLineChars="0" w:firstLine="0"/>
                    <w:jc w:val="center"/>
                    <w:rPr>
                      <w:rFonts w:ascii="Times New Roman" w:eastAsia="宋体" w:cs="Times New Roman" w:hAnsi="Times New Roman"/>
                      <w:color w:val="auto"/>
                      <w:kern w:val="2"/>
                      <w:sz w:val="21"/>
                      <w:szCs w:val="21"/>
                      <w:lang w:val="en-US" w:eastAsia="zh-CN"/>
                    </w:rPr>
                  </w:pPr>
                  <w:r>
                    <w:rPr>
                      <w:rFonts w:cs="Times New Roman" w:hint="eastAsia"/>
                      <w:color w:val="auto"/>
                      <w:kern w:val="2"/>
                      <w:sz w:val="21"/>
                      <w:szCs w:val="21"/>
                      <w:lang w:val="en-US" w:eastAsia="zh-CN"/>
                    </w:rPr>
                    <w:t>/</w:t>
                  </w:r>
                </w:p>
              </w:tc>
              <w:tc>
                <w:tcPr>
                  <w:tcW w:w="303"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纯水机</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废反渗透膜</w:t>
                  </w:r>
                </w:p>
              </w:tc>
              <w:tc>
                <w:tcPr>
                  <w:tcW w:w="17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间歇</w:t>
                  </w:r>
                </w:p>
              </w:tc>
              <w:tc>
                <w:tcPr>
                  <w:tcW w:w="741"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厂家回收</w:t>
                  </w:r>
                </w:p>
              </w:tc>
            </w:tr>
            <w:tr>
              <w:trPr>
                <w:trHeight w:val="23"/>
              </w:trPr>
              <w:tc>
                <w:tcPr>
                  <w:tcW w:w="142" w:type="dxa"/>
                  <w:vMerge w:val="restart"/>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废水</w:t>
                  </w: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w:t>
                  </w:r>
                </w:p>
              </w:tc>
              <w:tc>
                <w:tcPr>
                  <w:tcW w:w="303"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hint="eastAsia"/>
                      <w:color w:val="auto"/>
                      <w:lang w:val="en-US" w:eastAsia="zh-CN"/>
                    </w:rPr>
                    <w:t>纯水机废水</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pH、COD、NH</w:t>
                  </w:r>
                  <w:r>
                    <w:rPr>
                      <w:rFonts w:cs="Times New Roman" w:hint="eastAsia"/>
                      <w:color w:val="auto"/>
                      <w:kern w:val="2"/>
                      <w:szCs w:val="21"/>
                      <w:vertAlign w:val="subscript"/>
                      <w:lang w:val="en-US" w:eastAsia="zh-CN"/>
                    </w:rPr>
                    <w:t>3</w:t>
                  </w:r>
                  <w:r>
                    <w:rPr>
                      <w:rFonts w:cs="Times New Roman" w:hint="eastAsia"/>
                      <w:color w:val="auto"/>
                      <w:kern w:val="2"/>
                      <w:szCs w:val="21"/>
                      <w:lang w:val="en-US" w:eastAsia="zh-CN"/>
                    </w:rPr>
                    <w:t>-N、SS</w:t>
                  </w:r>
                </w:p>
              </w:tc>
              <w:tc>
                <w:tcPr>
                  <w:tcW w:w="17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hint="eastAsia"/>
                      <w:color w:val="auto"/>
                      <w:lang w:val="en-US" w:eastAsia="zh-CN"/>
                    </w:rPr>
                    <w:t>间歇</w:t>
                  </w:r>
                </w:p>
              </w:tc>
              <w:tc>
                <w:tcPr>
                  <w:tcW w:w="741" w:type="dxa"/>
                  <w:vMerge w:val="restart"/>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hint="eastAsia"/>
                      <w:color w:val="auto"/>
                      <w:kern w:val="2"/>
                      <w:szCs w:val="21"/>
                      <w:lang w:val="en-US" w:eastAsia="zh-CN"/>
                    </w:rPr>
                  </w:pPr>
                  <w:r>
                    <w:rPr>
                      <w:rFonts w:cs="Times New Roman" w:hint="eastAsia"/>
                      <w:color w:val="auto"/>
                      <w:kern w:val="2"/>
                      <w:szCs w:val="21"/>
                      <w:lang w:val="en-US" w:eastAsia="zh-CN"/>
                    </w:rPr>
                    <w:t>全厂废水排入厂区污水处理站</w:t>
                  </w:r>
                  <w:r>
                    <w:rPr>
                      <w:rFonts w:ascii="Times New Roman" w:eastAsia="宋体" w:cs="Times New Roman" w:hAnsi="Times New Roman" w:hint="eastAsia"/>
                      <w:color w:val="auto"/>
                      <w:kern w:val="2"/>
                      <w:szCs w:val="21"/>
                      <w:lang w:val="en-US" w:eastAsia="zh-CN"/>
                    </w:rPr>
                    <w:t>处理后经市政污水管网排入德威华泰石家庄市栾城水务有限公司</w:t>
                  </w: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w:t>
                  </w:r>
                </w:p>
              </w:tc>
              <w:tc>
                <w:tcPr>
                  <w:tcW w:w="303"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蒸汽发生器排水</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cs="Times New Roman" w:hint="eastAsia"/>
                      <w:color w:val="auto"/>
                      <w:kern w:val="2"/>
                      <w:szCs w:val="21"/>
                      <w:lang w:val="en-US" w:eastAsia="zh-CN"/>
                    </w:rPr>
                  </w:pPr>
                  <w:r>
                    <w:rPr>
                      <w:rFonts w:cs="Times New Roman" w:hint="eastAsia"/>
                      <w:color w:val="auto"/>
                      <w:kern w:val="2"/>
                      <w:szCs w:val="21"/>
                      <w:lang w:val="en-US" w:eastAsia="zh-CN"/>
                    </w:rPr>
                    <w:t>pH、COD、NH</w:t>
                  </w:r>
                  <w:r>
                    <w:rPr>
                      <w:rFonts w:cs="Times New Roman" w:hint="eastAsia"/>
                      <w:color w:val="auto"/>
                      <w:kern w:val="2"/>
                      <w:szCs w:val="21"/>
                      <w:vertAlign w:val="subscript"/>
                      <w:lang w:val="en-US" w:eastAsia="zh-CN"/>
                    </w:rPr>
                    <w:t>3</w:t>
                  </w:r>
                  <w:r>
                    <w:rPr>
                      <w:rFonts w:cs="Times New Roman" w:hint="eastAsia"/>
                      <w:color w:val="auto"/>
                      <w:kern w:val="2"/>
                      <w:szCs w:val="21"/>
                      <w:lang w:val="en-US" w:eastAsia="zh-CN"/>
                    </w:rPr>
                    <w:t>-N、SS</w:t>
                  </w:r>
                </w:p>
              </w:tc>
              <w:tc>
                <w:tcPr>
                  <w:tcW w:w="17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hint="eastAsia"/>
                      <w:color w:val="auto"/>
                      <w:lang w:val="en-US" w:eastAsia="zh-CN"/>
                    </w:rPr>
                  </w:pPr>
                  <w:r>
                    <w:rPr>
                      <w:rFonts w:hint="eastAsia"/>
                      <w:color w:val="auto"/>
                      <w:lang w:val="en-US" w:eastAsia="zh-CN"/>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W1</w:t>
                  </w:r>
                </w:p>
              </w:tc>
              <w:tc>
                <w:tcPr>
                  <w:tcW w:w="303"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果蔬清洗废水</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cs="Times New Roman"/>
                      <w:color w:val="auto"/>
                      <w:kern w:val="2"/>
                      <w:szCs w:val="21"/>
                      <w:lang w:val="en-US" w:eastAsia="zh-CN"/>
                    </w:rPr>
                  </w:pPr>
                  <w:r>
                    <w:rPr>
                      <w:rFonts w:cs="Times New Roman" w:hint="eastAsia"/>
                      <w:color w:val="auto"/>
                      <w:kern w:val="2"/>
                      <w:szCs w:val="21"/>
                      <w:lang w:val="en-US" w:eastAsia="zh-CN"/>
                    </w:rPr>
                    <w:t>pH、COD、BOD</w:t>
                  </w:r>
                  <w:r>
                    <w:rPr>
                      <w:rFonts w:cs="Times New Roman" w:hint="eastAsia"/>
                      <w:color w:val="auto"/>
                      <w:kern w:val="2"/>
                      <w:szCs w:val="21"/>
                      <w:vertAlign w:val="subscript"/>
                      <w:lang w:val="en-US" w:eastAsia="zh-CN"/>
                    </w:rPr>
                    <w:t>5</w:t>
                  </w:r>
                  <w:r>
                    <w:rPr>
                      <w:rFonts w:cs="Times New Roman" w:hint="eastAsia"/>
                      <w:color w:val="auto"/>
                      <w:kern w:val="2"/>
                      <w:szCs w:val="21"/>
                      <w:lang w:val="en-US" w:eastAsia="zh-CN"/>
                    </w:rPr>
                    <w:t>、NH</w:t>
                  </w:r>
                  <w:r>
                    <w:rPr>
                      <w:rFonts w:cs="Times New Roman" w:hint="eastAsia"/>
                      <w:color w:val="auto"/>
                      <w:kern w:val="2"/>
                      <w:szCs w:val="21"/>
                      <w:vertAlign w:val="subscript"/>
                      <w:lang w:val="en-US" w:eastAsia="zh-CN"/>
                    </w:rPr>
                    <w:t>3</w:t>
                  </w:r>
                  <w:r>
                    <w:rPr>
                      <w:rFonts w:cs="Times New Roman" w:hint="eastAsia"/>
                      <w:color w:val="auto"/>
                      <w:kern w:val="2"/>
                      <w:szCs w:val="21"/>
                      <w:lang w:val="en-US" w:eastAsia="zh-CN"/>
                    </w:rPr>
                    <w:t>-N、SS、TP、TN</w:t>
                  </w:r>
                </w:p>
              </w:tc>
              <w:tc>
                <w:tcPr>
                  <w:tcW w:w="17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连续</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ascii="Times New Roman" w:eastAsia="宋体" w:cs="Times New Roman" w:hAnsi="Times New Roman"/>
                      <w:color w:val="auto"/>
                      <w:kern w:val="2"/>
                      <w:szCs w:val="21"/>
                      <w:lang w:val="en-US" w:eastAsia="zh-CN"/>
                    </w:rPr>
                  </w:pPr>
                  <w:r>
                    <w:rPr>
                      <w:rFonts w:cs="Times New Roman" w:hint="eastAsia"/>
                      <w:color w:val="auto"/>
                      <w:kern w:val="2"/>
                      <w:szCs w:val="21"/>
                      <w:lang w:val="en-US" w:eastAsia="zh-CN"/>
                    </w:rPr>
                    <w:t>W2</w:t>
                  </w:r>
                </w:p>
              </w:tc>
              <w:tc>
                <w:tcPr>
                  <w:tcW w:w="303"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设备冲洗废水</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cs="Times New Roman"/>
                      <w:color w:val="auto"/>
                      <w:kern w:val="2"/>
                      <w:szCs w:val="21"/>
                      <w:lang w:val="en-US" w:eastAsia="zh-CN"/>
                    </w:rPr>
                  </w:pPr>
                  <w:r>
                    <w:rPr>
                      <w:rFonts w:cs="Times New Roman" w:hint="eastAsia"/>
                      <w:color w:val="auto"/>
                      <w:kern w:val="2"/>
                      <w:szCs w:val="21"/>
                      <w:lang w:val="en-US" w:eastAsia="zh-CN"/>
                    </w:rPr>
                    <w:t>pH、COD、BOD</w:t>
                  </w:r>
                  <w:r>
                    <w:rPr>
                      <w:rFonts w:cs="Times New Roman" w:hint="eastAsia"/>
                      <w:color w:val="auto"/>
                      <w:kern w:val="2"/>
                      <w:szCs w:val="21"/>
                      <w:vertAlign w:val="subscript"/>
                      <w:lang w:val="en-US" w:eastAsia="zh-CN"/>
                    </w:rPr>
                    <w:t>5</w:t>
                  </w:r>
                  <w:r>
                    <w:rPr>
                      <w:rFonts w:cs="Times New Roman" w:hint="eastAsia"/>
                      <w:color w:val="auto"/>
                      <w:kern w:val="2"/>
                      <w:szCs w:val="21"/>
                      <w:lang w:val="en-US" w:eastAsia="zh-CN"/>
                    </w:rPr>
                    <w:t>、NH</w:t>
                  </w:r>
                  <w:r>
                    <w:rPr>
                      <w:rFonts w:cs="Times New Roman" w:hint="eastAsia"/>
                      <w:color w:val="auto"/>
                      <w:kern w:val="2"/>
                      <w:szCs w:val="21"/>
                      <w:vertAlign w:val="subscript"/>
                      <w:lang w:val="en-US" w:eastAsia="zh-CN"/>
                    </w:rPr>
                    <w:t>3</w:t>
                  </w:r>
                  <w:r>
                    <w:rPr>
                      <w:rFonts w:cs="Times New Roman" w:hint="eastAsia"/>
                      <w:color w:val="auto"/>
                      <w:kern w:val="2"/>
                      <w:szCs w:val="21"/>
                      <w:lang w:val="en-US" w:eastAsia="zh-CN"/>
                    </w:rPr>
                    <w:t>-N、SS、色度、TP、TN</w:t>
                  </w:r>
                </w:p>
              </w:tc>
              <w:tc>
                <w:tcPr>
                  <w:tcW w:w="17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hint="eastAsia"/>
                      <w:color w:val="auto"/>
                      <w:lang w:val="en-US" w:eastAsia="zh-CN"/>
                    </w:rPr>
                  </w:pPr>
                  <w:r>
                    <w:rPr>
                      <w:rFonts w:hint="eastAsia"/>
                      <w:color w:val="auto"/>
                      <w:lang w:val="en-US" w:eastAsia="zh-CN"/>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cs="Times New Roman"/>
                      <w:color w:val="auto"/>
                      <w:kern w:val="2"/>
                      <w:szCs w:val="21"/>
                      <w:lang w:val="en-US" w:eastAsia="zh-CN"/>
                    </w:rPr>
                  </w:pPr>
                  <w:r>
                    <w:rPr>
                      <w:rFonts w:cs="Times New Roman" w:hint="eastAsia"/>
                      <w:color w:val="auto"/>
                      <w:kern w:val="2"/>
                      <w:szCs w:val="21"/>
                      <w:lang w:val="en-US" w:eastAsia="zh-CN"/>
                    </w:rPr>
                    <w:t>W3</w:t>
                  </w:r>
                </w:p>
              </w:tc>
              <w:tc>
                <w:tcPr>
                  <w:tcW w:w="303"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研发实验室器具清洗废水</w:t>
                  </w:r>
                </w:p>
              </w:tc>
              <w:tc>
                <w:tcPr>
                  <w:tcW w:w="49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cs="Times New Roman" w:hint="eastAsia"/>
                      <w:color w:val="auto"/>
                      <w:kern w:val="2"/>
                      <w:szCs w:val="21"/>
                      <w:lang w:val="en-US" w:eastAsia="zh-CN"/>
                    </w:rPr>
                  </w:pPr>
                  <w:r>
                    <w:rPr>
                      <w:rFonts w:cs="Times New Roman" w:hint="eastAsia"/>
                      <w:color w:val="auto"/>
                      <w:kern w:val="2"/>
                      <w:szCs w:val="21"/>
                      <w:lang w:val="en-US" w:eastAsia="zh-CN"/>
                    </w:rPr>
                    <w:t>pH、COD、BOD</w:t>
                  </w:r>
                  <w:r>
                    <w:rPr>
                      <w:rFonts w:cs="Times New Roman" w:hint="eastAsia"/>
                      <w:color w:val="auto"/>
                      <w:kern w:val="2"/>
                      <w:szCs w:val="21"/>
                      <w:vertAlign w:val="subscript"/>
                      <w:lang w:val="en-US" w:eastAsia="zh-CN"/>
                    </w:rPr>
                    <w:t>5</w:t>
                  </w:r>
                  <w:r>
                    <w:rPr>
                      <w:rFonts w:cs="Times New Roman" w:hint="eastAsia"/>
                      <w:color w:val="auto"/>
                      <w:kern w:val="2"/>
                      <w:szCs w:val="21"/>
                      <w:lang w:val="en-US" w:eastAsia="zh-CN"/>
                    </w:rPr>
                    <w:t>、NH</w:t>
                  </w:r>
                  <w:r>
                    <w:rPr>
                      <w:rFonts w:cs="Times New Roman" w:hint="eastAsia"/>
                      <w:color w:val="auto"/>
                      <w:kern w:val="2"/>
                      <w:szCs w:val="21"/>
                      <w:vertAlign w:val="subscript"/>
                      <w:lang w:val="en-US" w:eastAsia="zh-CN"/>
                    </w:rPr>
                    <w:t>3</w:t>
                  </w:r>
                  <w:r>
                    <w:rPr>
                      <w:rFonts w:cs="Times New Roman" w:hint="eastAsia"/>
                      <w:color w:val="auto"/>
                      <w:kern w:val="2"/>
                      <w:szCs w:val="21"/>
                      <w:lang w:val="en-US" w:eastAsia="zh-CN"/>
                    </w:rPr>
                    <w:t>-N、SS、色度、TP、TN</w:t>
                  </w:r>
                </w:p>
              </w:tc>
              <w:tc>
                <w:tcPr>
                  <w:tcW w:w="172"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hint="eastAsia"/>
                      <w:color w:val="auto"/>
                      <w:lang w:val="en-US" w:eastAsia="zh-CN"/>
                    </w:rPr>
                  </w:pPr>
                  <w:r>
                    <w:rPr>
                      <w:rFonts w:hint="eastAsia"/>
                      <w:color w:val="auto"/>
                      <w:lang w:val="en-US" w:eastAsia="zh-CN"/>
                    </w:rPr>
                    <w:t>间歇</w:t>
                  </w:r>
                </w:p>
              </w:tc>
              <w:tc>
                <w:tcPr>
                  <w:tcW w:w="741" w:type="dxa"/>
                  <w:vMerge/>
                  <w:tcBorders>
                    <w:left w:val="single" w:sz="6" w:space="0" w:color="000000"/>
                  </w:tcBorders>
                  <w:vAlign w:val="center"/>
                </w:tcPr>
                <w:p/>
              </w:tc>
            </w:tr>
            <w:tr>
              <w:trPr>
                <w:trHeight w:val="23"/>
              </w:trPr>
              <w:tc>
                <w:tcPr>
                  <w:tcW w:w="142" w:type="dxa"/>
                  <w:vMerge/>
                  <w:vAlign w:val="center"/>
                </w:tcPr>
                <w:p/>
              </w:tc>
              <w:tc>
                <w:tcPr>
                  <w:tcW w:w="149" w:type="dxa"/>
                  <w:tcBorders>
                    <w:left w:val="single" w:sz="6" w:space="0" w:color="000000"/>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cs="Times New Roman"/>
                      <w:color w:val="auto"/>
                      <w:kern w:val="2"/>
                      <w:szCs w:val="21"/>
                      <w:lang w:val="en-US" w:eastAsia="zh-CN"/>
                    </w:rPr>
                  </w:pPr>
                  <w:r>
                    <w:rPr>
                      <w:rFonts w:cs="Times New Roman" w:hint="eastAsia"/>
                      <w:color w:val="auto"/>
                      <w:kern w:val="2"/>
                      <w:szCs w:val="21"/>
                      <w:lang w:val="en-US" w:eastAsia="zh-CN"/>
                    </w:rPr>
                    <w:t>W4</w:t>
                  </w:r>
                </w:p>
              </w:tc>
              <w:tc>
                <w:tcPr>
                  <w:tcW w:w="303"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color w:val="auto"/>
                      <w:lang w:val="en-US" w:eastAsia="zh-CN"/>
                    </w:rPr>
                  </w:pPr>
                  <w:r>
                    <w:rPr>
                      <w:rFonts w:hint="eastAsia"/>
                      <w:color w:val="auto"/>
                      <w:lang w:val="en-US" w:eastAsia="zh-CN"/>
                    </w:rPr>
                    <w:t>浓缩过滤废水</w:t>
                  </w:r>
                </w:p>
              </w:tc>
              <w:tc>
                <w:tcPr>
                  <w:tcW w:w="492" w:type="dxa"/>
                  <w:tcBorders>
                    <w:bottom w:val="single" w:sz="4" w:space="0" w:color="auto"/>
                  </w:tcBorders>
                  <w:vAlign w:val="center"/>
                </w:tcPr>
                <w:p>
                  <w:pPr>
                    <w:pStyle w:val="23"/>
                    <w:keepNext w:val="0"/>
                    <w:keepLines w:val="0"/>
                    <w:pageBreakBefore w:val="0"/>
                    <w:widowControl w:val="0"/>
                    <w:kinsoku/>
                    <w:wordWrap/>
                    <w:overflowPunct w:val="0"/>
                    <w:topLinePunct w:val="0"/>
                    <w:autoSpaceDE/>
                    <w:autoSpaceDN/>
                    <w:bidi w:val="0"/>
                    <w:spacing w:line="240" w:lineRule="auto"/>
                    <w:rPr>
                      <w:rFonts w:cs="Times New Roman" w:hint="eastAsia"/>
                      <w:color w:val="auto"/>
                      <w:kern w:val="2"/>
                      <w:szCs w:val="21"/>
                      <w:lang w:val="en-US" w:eastAsia="zh-CN"/>
                    </w:rPr>
                  </w:pPr>
                  <w:r>
                    <w:rPr>
                      <w:rFonts w:cs="Times New Roman" w:hint="eastAsia"/>
                      <w:color w:val="auto"/>
                      <w:kern w:val="2"/>
                      <w:szCs w:val="21"/>
                      <w:lang w:val="en-US" w:eastAsia="zh-CN"/>
                    </w:rPr>
                    <w:t>pH、COD、BOD5、NH3-N、SS、色度、TP、TN</w:t>
                  </w:r>
                </w:p>
              </w:tc>
              <w:tc>
                <w:tcPr>
                  <w:tcW w:w="172" w:type="dxa"/>
                  <w:tcBorders>
                    <w:bottom w:val="single" w:sz="4" w:space="0" w:color="auto"/>
                  </w:tcBorders>
                  <w:shd w:val="clear" w:color="auto" w:fill="auto"/>
                  <w:vAlign w:val="center"/>
                </w:tcPr>
                <w:p>
                  <w:pPr>
                    <w:pStyle w:val="23"/>
                    <w:keepNext w:val="0"/>
                    <w:keepLines w:val="0"/>
                    <w:pageBreakBefore w:val="0"/>
                    <w:widowControl w:val="0"/>
                    <w:kinsoku/>
                    <w:wordWrap/>
                    <w:overflowPunct w:val="0"/>
                    <w:topLinePunct w:val="0"/>
                    <w:autoSpaceDE/>
                    <w:autoSpaceDN/>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间歇</w:t>
                  </w:r>
                </w:p>
              </w:tc>
              <w:tc>
                <w:tcPr>
                  <w:tcW w:w="741" w:type="dxa"/>
                  <w:vMerge/>
                  <w:tcBorders>
                    <w:left w:val="single" w:sz="6" w:space="0" w:color="000000"/>
                  </w:tcBorders>
                  <w:vAlign w:val="center"/>
                </w:tcPr>
                <w:p/>
              </w:tc>
            </w:tr>
          </w:tbl>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p>
            <w:pPr>
              <w:ind w:left="0" w:firstLineChars="0" w:firstLine="0"/>
              <w:rPr>
                <w:color w:val="auto"/>
                <w:lang w:val="en-US" w:eastAsia="zh-CN"/>
              </w:rPr>
            </w:pPr>
          </w:p>
        </w:tc>
      </w:tr>
      <w:tr>
        <w:trPr>
          <w:trHeight w:val="13764"/>
        </w:trPr>
        <w:tc>
          <w:tcPr>
            <w:tcW w:w="648" w:type="dxa"/>
            <w:vAlign w:val="center"/>
          </w:tcPr>
          <w:p>
            <w:pPr>
              <w:adjustRightInd w:val="0"/>
              <w:snapToGrid w:val="0"/>
              <w:spacing w:before="0" w:beforeAutospacing="0" w:after="0" w:afterAutospacing="0" w:line="240" w:lineRule="auto"/>
              <w:ind w:left="0" w:firstLineChars="0" w:firstLine="0"/>
              <w:jc w:val="center"/>
              <w:rPr>
                <w:rFonts w:ascii="Times New Roman" w:hAnsi="Times New Roman"/>
                <w:color w:val="auto"/>
                <w:sz w:val="21"/>
                <w:szCs w:val="21"/>
              </w:rPr>
            </w:pPr>
            <w:r>
              <w:rPr>
                <w:rFonts w:ascii="Times New Roman" w:hAnsi="Times New Roman"/>
                <w:bCs/>
                <w:color w:val="auto"/>
                <w:kern w:val="2"/>
                <w:szCs w:val="24"/>
              </w:rPr>
              <w:t>与项目有关的原有环境污染问题</w:t>
            </w:r>
          </w:p>
        </w:tc>
        <w:tc>
          <w:tcPr>
            <w:tcW w:w="8640" w:type="dxa"/>
            <w:tcBorders>
              <w:left w:val="single" w:sz="4" w:space="0" w:color="auto"/>
            </w:tcBorders>
          </w:tcPr>
          <w:p>
            <w:pPr>
              <w:spacing w:line="360" w:lineRule="auto"/>
              <w:rPr>
                <w:rFonts w:eastAsia="宋体"/>
                <w:bCs/>
                <w:color w:val="auto"/>
                <w:szCs w:val="21"/>
                <w:lang w:val="en-US" w:eastAsia="zh-CN"/>
              </w:rPr>
            </w:pPr>
            <w:r>
              <w:rPr>
                <w:rFonts w:eastAsia="宋体"/>
                <w:bCs/>
                <w:color w:val="auto"/>
                <w:szCs w:val="21"/>
                <w:lang w:val="en-US" w:eastAsia="zh-CN"/>
              </w:rPr>
              <w:t xml:space="preserve">一、现有工程环保手续情况 </w:t>
            </w:r>
          </w:p>
          <w:p>
            <w:pPr>
              <w:spacing w:line="360" w:lineRule="auto"/>
              <w:rPr>
                <w:rFonts w:eastAsia="宋体"/>
                <w:bCs/>
                <w:color w:val="auto"/>
                <w:szCs w:val="21"/>
                <w:lang w:val="en-US" w:eastAsia="zh-CN"/>
              </w:rPr>
            </w:pPr>
            <w:r>
              <w:rPr>
                <w:rFonts w:eastAsia="宋体"/>
                <w:bCs/>
                <w:color w:val="auto"/>
                <w:szCs w:val="21"/>
                <w:lang w:val="en-US" w:eastAsia="zh-CN"/>
              </w:rPr>
              <w:t>（1）环评手续</w:t>
            </w:r>
          </w:p>
          <w:p>
            <w:pPr>
              <w:spacing w:line="360" w:lineRule="auto"/>
              <w:rPr>
                <w:rFonts w:eastAsia="宋体"/>
                <w:bCs/>
                <w:color w:val="auto"/>
                <w:szCs w:val="21"/>
                <w:lang w:val="en-US" w:eastAsia="zh-CN"/>
              </w:rPr>
            </w:pPr>
            <w:r>
              <w:rPr>
                <w:rFonts w:eastAsia="宋体"/>
                <w:bCs/>
                <w:color w:val="auto"/>
                <w:szCs w:val="21"/>
                <w:lang w:val="en-US" w:eastAsia="zh-CN"/>
              </w:rPr>
              <w:t>20</w:t>
            </w:r>
            <w:r>
              <w:rPr>
                <w:rFonts w:hint="eastAsia"/>
                <w:bCs/>
                <w:color w:val="auto"/>
                <w:szCs w:val="21"/>
                <w:lang w:val="en-US" w:eastAsia="zh-CN"/>
              </w:rPr>
              <w:t>24</w:t>
            </w:r>
            <w:r>
              <w:rPr>
                <w:rFonts w:eastAsia="宋体"/>
                <w:bCs/>
                <w:color w:val="auto"/>
                <w:szCs w:val="21"/>
                <w:lang w:val="en-US" w:eastAsia="zh-CN"/>
              </w:rPr>
              <w:t>年</w:t>
            </w:r>
            <w:r>
              <w:rPr>
                <w:rFonts w:hint="eastAsia"/>
                <w:bCs/>
                <w:color w:val="auto"/>
                <w:szCs w:val="21"/>
                <w:lang w:val="en-US" w:eastAsia="zh-CN"/>
              </w:rPr>
              <w:t>1</w:t>
            </w:r>
            <w:r>
              <w:rPr>
                <w:rFonts w:eastAsia="宋体"/>
                <w:bCs/>
                <w:color w:val="auto"/>
                <w:szCs w:val="21"/>
                <w:lang w:val="en-US" w:eastAsia="zh-CN"/>
              </w:rPr>
              <w:t>月委托晨喆(河北)环保科技有限公司编制了《华百仕食品饮料经济综合生产基地项目环境影响报告</w:t>
            </w:r>
            <w:r>
              <w:rPr>
                <w:rFonts w:hint="eastAsia"/>
                <w:bCs/>
                <w:color w:val="auto"/>
                <w:szCs w:val="21"/>
                <w:lang w:val="en-US" w:eastAsia="zh-CN"/>
              </w:rPr>
              <w:t>表</w:t>
            </w:r>
            <w:r>
              <w:rPr>
                <w:rFonts w:eastAsia="宋体"/>
                <w:bCs/>
                <w:color w:val="auto"/>
                <w:szCs w:val="21"/>
                <w:lang w:val="en-US" w:eastAsia="zh-CN"/>
              </w:rPr>
              <w:t>》，于2024年2月5日取得了石家庄市栾城区行政审批局审批意见（石栾审环表[2024]23号）</w:t>
            </w:r>
            <w:r>
              <w:rPr>
                <w:rFonts w:hint="eastAsia"/>
                <w:bCs/>
                <w:color w:val="auto"/>
                <w:szCs w:val="21"/>
                <w:lang w:val="en-US" w:eastAsia="zh-CN"/>
              </w:rPr>
              <w:t>。2025年3月7日取得排污许可登记，登记编号：91130124MA0F745W34001W，</w:t>
            </w:r>
            <w:r>
              <w:rPr>
                <w:rFonts w:eastAsia="宋体"/>
                <w:bCs/>
                <w:color w:val="auto"/>
                <w:szCs w:val="21"/>
                <w:lang w:val="en-US" w:eastAsia="zh-CN"/>
              </w:rPr>
              <w:t>202</w:t>
            </w:r>
            <w:r>
              <w:rPr>
                <w:rFonts w:hint="eastAsia"/>
                <w:bCs/>
                <w:color w:val="auto"/>
                <w:szCs w:val="21"/>
                <w:lang w:val="en-US" w:eastAsia="zh-CN"/>
              </w:rPr>
              <w:t>5</w:t>
            </w:r>
            <w:r>
              <w:rPr>
                <w:rFonts w:eastAsia="宋体"/>
                <w:bCs/>
                <w:color w:val="auto"/>
                <w:szCs w:val="21"/>
                <w:lang w:val="en-US" w:eastAsia="zh-CN"/>
              </w:rPr>
              <w:t>年</w:t>
            </w:r>
            <w:r>
              <w:rPr>
                <w:rFonts w:hint="eastAsia"/>
                <w:bCs/>
                <w:color w:val="auto"/>
                <w:szCs w:val="21"/>
                <w:lang w:val="en-US" w:eastAsia="zh-CN"/>
              </w:rPr>
              <w:t>10</w:t>
            </w:r>
            <w:r>
              <w:rPr>
                <w:rFonts w:eastAsia="宋体"/>
                <w:bCs/>
                <w:color w:val="auto"/>
                <w:szCs w:val="21"/>
                <w:lang w:val="en-US" w:eastAsia="zh-CN"/>
              </w:rPr>
              <w:t>月完成自主验收</w:t>
            </w:r>
            <w:r>
              <w:rPr>
                <w:rFonts w:hint="eastAsia"/>
                <w:bCs/>
                <w:color w:val="auto"/>
                <w:szCs w:val="21"/>
                <w:lang w:val="en-US" w:eastAsia="zh-CN"/>
              </w:rPr>
              <w:t>。</w:t>
            </w:r>
          </w:p>
          <w:p>
            <w:pPr>
              <w:spacing w:line="360" w:lineRule="auto"/>
              <w:rPr>
                <w:rFonts w:hint="eastAsia"/>
                <w:bCs/>
                <w:color w:val="auto"/>
                <w:szCs w:val="21"/>
                <w:lang w:val="en-US" w:eastAsia="zh-CN"/>
              </w:rPr>
            </w:pPr>
            <w:r>
              <w:rPr>
                <w:rFonts w:hint="eastAsia"/>
                <w:bCs/>
                <w:color w:val="auto"/>
                <w:szCs w:val="21"/>
                <w:lang w:val="en-US" w:eastAsia="zh-CN"/>
              </w:rPr>
              <w:t>（2）现有生产工艺流程</w:t>
            </w:r>
          </w:p>
          <w:p>
            <w:pPr>
              <w:spacing w:line="360" w:lineRule="auto"/>
              <w:rPr>
                <w:bCs/>
                <w:color w:val="auto"/>
                <w:szCs w:val="21"/>
                <w:lang w:val="en-US" w:eastAsia="zh-CN"/>
              </w:rPr>
            </w:pPr>
            <w:r>
              <w:rPr>
                <w:rFonts w:hint="eastAsia"/>
                <w:bCs/>
                <w:color w:val="auto"/>
                <w:szCs w:val="21"/>
                <w:lang w:val="en-US" w:eastAsia="zh-CN"/>
              </w:rPr>
              <w:t>①</w:t>
            </w:r>
            <w:r>
              <w:rPr>
                <w:bCs/>
                <w:color w:val="auto"/>
                <w:szCs w:val="21"/>
                <w:lang w:val="en-US" w:eastAsia="zh-CN"/>
              </w:rPr>
              <w:t>饮料生产工艺流程</w:t>
            </w:r>
          </w:p>
          <w:p>
            <w:pPr>
              <w:spacing w:line="240" w:lineRule="auto"/>
              <w:ind w:left="0" w:right="0" w:firstLineChars="0" w:firstLine="0"/>
              <w:jc w:val="center"/>
              <w:rPr>
                <w:bCs/>
                <w:color w:val="auto"/>
                <w:szCs w:val="21"/>
                <w:lang w:val="en-US" w:eastAsia="zh-CN"/>
              </w:rPr>
            </w:pPr>
            <w:r>
              <w:rPr>
                <w:bCs/>
                <w:color w:val="auto"/>
                <w:szCs w:val="21"/>
                <w:lang w:val="en-US" w:eastAsia="zh-CN"/>
              </w:rPr>
              <mc:AlternateContent>
                <mc:Choice Requires="wps">
                  <w:drawing>
                    <wp:anchor distT="0" distB="0" distL="114300" distR="114300" simplePos="0" relativeHeight="562" behindDoc="0" locked="0" layoutInCell="1" hidden="0" allowOverlap="1">
                      <wp:simplePos x="0" y="0"/>
                      <wp:positionH relativeFrom="column">
                        <wp:posOffset>244475</wp:posOffset>
                      </wp:positionH>
                      <wp:positionV relativeFrom="paragraph">
                        <wp:posOffset>5469255</wp:posOffset>
                      </wp:positionV>
                      <wp:extent cx="1723389" cy="466090"/>
                      <wp:wrapNone/>
                      <wp:docPr id="99" name="文本框 99"/>
                      <wp:cNvGraphicFramePr>
                        <a:graphicFrameLocks noChangeAspect="0"/>
                      </wp:cNvGraphicFramePr>
                      <a:graphic>
                        <a:graphicData uri="http://schemas.microsoft.com/office/word/2010/wordprocessingShape">
                          <wps:wsp>
                            <wps:cNvSpPr/>
                            <wps:spPr>
                              <a:xfrm rot="0">
                                <a:off x="0" y="0"/>
                                <a:ext cx="1723389" cy="466090"/>
                              </a:xfrm>
                              <a:prstGeom prst="rect"/>
                              <a:noFill/>
                              <a:ln w="6350" cmpd="sng" cap="flat">
                                <a:noFill/>
                                <a:prstDash val="solid"/>
                                <a:round/>
                              </a:ln>
                            </wps:spPr>
                            <wps:txbx id="43">
                              <w:txbxContent>
                                <w:p>
                                  <w:pPr>
                                    <w:spacing w:line="240" w:lineRule="auto"/>
                                    <w:ind w:left="0" w:firstLineChars="0" w:firstLine="0"/>
                                    <w:rPr>
                                      <w:rFonts w:hint="eastAsia"/>
                                      <w:sz w:val="21"/>
                                      <w:szCs w:val="21"/>
                                      <w:lang w:val="en-US" w:eastAsia="zh-CN"/>
                                    </w:rPr>
                                  </w:pPr>
                                  <w:r>
                                    <w:rPr>
                                      <w:rFonts w:hint="eastAsia"/>
                                      <w:sz w:val="21"/>
                                      <w:szCs w:val="21"/>
                                      <w:lang w:val="en-US" w:eastAsia="zh-CN"/>
                                    </w:rPr>
                                    <w:t>G：废气  S：固体废物</w:t>
                                  </w:r>
                                </w:p>
                                <w:p>
                                  <w:pPr>
                                    <w:spacing w:line="240" w:lineRule="auto"/>
                                    <w:ind w:left="0" w:firstLineChars="0" w:firstLine="0"/>
                                    <w:rPr>
                                      <w:sz w:val="21"/>
                                      <w:szCs w:val="21"/>
                                      <w:lang w:val="en-US" w:eastAsia="zh-CN"/>
                                    </w:rPr>
                                  </w:pPr>
                                  <w:r>
                                    <w:rPr>
                                      <w:rFonts w:hint="eastAsia"/>
                                      <w:sz w:val="21"/>
                                      <w:szCs w:val="21"/>
                                      <w:lang w:val="en-US" w:eastAsia="zh-CN"/>
                                    </w:rPr>
                                    <w:t>W：废水</w:t>
                                  </w:r>
                                </w:p>
                              </w:txbxContent>
                            </wps:txbx>
                            <wps:bodyPr vert="horz" wrap="square" lIns="91440" tIns="45720" rIns="91440" bIns="45720" anchor="t" anchorCtr="0" upright="0">
                              <a:noAutofit/>
                            </wps:bodyPr>
                          </wps:wsp>
                        </a:graphicData>
                      </a:graphic>
                    </wp:anchor>
                  </w:drawing>
                </mc:Choice>
                <mc:Fallback>
                  <w:pict>
                    <v:rect type="#_x0000_t1" id="文本框 99" o:spid="_x0000_s44" filled="f" stroked="f" strokeweight="0.5pt" style="position:absolute;margin-left:19.25pt;margin-top:430.65pt;width:135.7pt;height:36.700012pt;z-index:562;mso-position-horizontal:absolute;mso-position-vertical:absolute;mso-wrap-style:square;">
                      <v:stroke/>
                      <v:textbox id="868" inset="2.54mm,1.27mm,2.54mm,1.27mm" o:insetmode="custom" style="layout-flow:horizontal;v-text-anchor:top;">
                        <w:txbxContent>
                          <w:p>
                            <w:pPr>
                              <w:spacing w:line="240" w:lineRule="auto"/>
                              <w:ind w:left="0" w:firstLineChars="0" w:firstLine="0"/>
                              <w:rPr>
                                <w:rFonts w:hint="eastAsia"/>
                                <w:sz w:val="21"/>
                                <w:szCs w:val="21"/>
                                <w:lang w:val="en-US" w:eastAsia="zh-CN"/>
                              </w:rPr>
                            </w:pPr>
                            <w:r>
                              <w:rPr>
                                <w:rFonts w:hint="eastAsia"/>
                                <w:sz w:val="21"/>
                                <w:szCs w:val="21"/>
                                <w:lang w:val="en-US" w:eastAsia="zh-CN"/>
                              </w:rPr>
                              <w:t>G：废气  S：固体废物</w:t>
                            </w:r>
                          </w:p>
                          <w:p>
                            <w:pPr>
                              <w:spacing w:line="240" w:lineRule="auto"/>
                              <w:ind w:left="0" w:firstLineChars="0" w:firstLine="0"/>
                              <w:rPr>
                                <w:sz w:val="21"/>
                                <w:szCs w:val="21"/>
                                <w:lang w:val="en-US" w:eastAsia="zh-CN"/>
                              </w:rPr>
                            </w:pPr>
                            <w:r>
                              <w:rPr>
                                <w:rFonts w:hint="eastAsia"/>
                                <w:sz w:val="21"/>
                                <w:szCs w:val="21"/>
                                <w:lang w:val="en-US" w:eastAsia="zh-CN"/>
                              </w:rPr>
                              <w:t>W：废水</w:t>
                            </w:r>
                          </w:p>
                        </w:txbxContent>
                      </v:textbox>
                    </v:rect>
                  </w:pict>
                </mc:Fallback>
              </mc:AlternateContent>
            </w:r>
            <w:r>
              <w:rPr>
                <w:bCs/>
                <w:color w:val="auto"/>
                <w:szCs w:val="21"/>
                <w:lang w:val="en-US" w:eastAsia="zh-CN"/>
              </w:rPr>
              <w:drawing>
                <wp:inline distT="0" distB="0" distL="114300" distR="114300">
                  <wp:extent cx="4170679" cy="6228080"/>
                  <wp:effectExtent l="0" t="0" r="1" b="0"/>
                  <wp:docPr id="1037" name="图片 9"/>
                  <wp:cNvGraphicFramePr>
                    <a:graphicFrameLocks noChangeAspect="1"/>
                  </wp:cNvGraphicFramePr>
                  <a:graphic>
                    <a:graphicData uri="http://schemas.openxmlformats.org/drawingml/2006/picture">
                      <pic:pic>
                        <pic:nvPicPr>
                          <pic:cNvPr id="46" name="图片 9 46"/>
                          <pic:cNvPicPr/>
                        </pic:nvPicPr>
                        <pic:blipFill>
                          <a:blip r:embed="rId13"/>
                          <a:stretch>
                            <a:fillRect/>
                          </a:stretch>
                        </pic:blipFill>
                        <pic:spPr>
                          <a:xfrm rot="0">
                            <a:off x="0" y="0"/>
                            <a:ext cx="4170679" cy="6228080"/>
                          </a:xfrm>
                          <a:prstGeom prst="rect"/>
                          <a:noFill/>
                          <a:ln cmpd="sng" cap="flat">
                            <a:noFill/>
                            <a:prstDash val="solid"/>
                            <a:round/>
                          </a:ln>
                        </pic:spPr>
                      </pic:pic>
                    </a:graphicData>
                  </a:graphic>
                </wp:inline>
              </w:drawing>
            </w:r>
          </w:p>
          <w:p>
            <w:pPr>
              <w:pStyle w:val="24"/>
              <w:bidi w:val="0"/>
              <w:spacing w:line="240" w:lineRule="auto"/>
              <w:rPr>
                <w:color w:val="auto"/>
                <w:lang w:val="en-US" w:eastAsia="zh-CN"/>
              </w:rPr>
            </w:pPr>
            <w:r>
              <w:rPr>
                <w:color w:val="auto"/>
                <w:lang w:val="en-US" w:eastAsia="zh-CN"/>
              </w:rPr>
              <w:t>图2-7  饮料生产工艺流程及排污节点图</w:t>
            </w:r>
          </w:p>
          <w:p>
            <w:pPr>
              <w:spacing w:line="360" w:lineRule="auto"/>
              <w:rPr>
                <w:bCs/>
                <w:color w:val="auto"/>
                <w:szCs w:val="21"/>
                <w:lang w:val="en-US" w:eastAsia="zh-CN"/>
              </w:rPr>
            </w:pPr>
            <w:r>
              <w:rPr>
                <w:rFonts w:hint="eastAsia"/>
                <w:bCs/>
                <w:color w:val="auto"/>
                <w:szCs w:val="21"/>
                <w:lang w:val="en-US" w:eastAsia="zh-CN"/>
              </w:rPr>
              <w:t>②</w:t>
            </w:r>
            <w:r>
              <w:rPr>
                <w:bCs/>
                <w:color w:val="auto"/>
                <w:szCs w:val="21"/>
                <w:lang w:val="en-US" w:eastAsia="zh-CN"/>
              </w:rPr>
              <w:t>固体型食品添加剂生产工艺流程</w:t>
            </w:r>
          </w:p>
          <w:p>
            <w:pPr>
              <w:spacing w:line="240" w:lineRule="auto"/>
              <w:ind w:left="0" w:right="0" w:firstLineChars="0" w:firstLine="0"/>
              <w:jc w:val="center"/>
              <w:rPr>
                <w:bCs/>
                <w:color w:val="auto"/>
                <w:szCs w:val="21"/>
                <w:lang w:val="en-US" w:eastAsia="zh-CN"/>
              </w:rPr>
            </w:pPr>
            <w:r>
              <w:rPr>
                <w:bCs/>
                <w:color w:val="auto"/>
                <w:szCs w:val="21"/>
                <w:lang w:val="en-US" w:eastAsia="zh-CN"/>
              </w:rPr>
              <mc:AlternateContent>
                <mc:Choice Requires="wps">
                  <w:drawing>
                    <wp:anchor distT="0" distB="0" distL="114300" distR="114300" simplePos="0" relativeHeight="566" behindDoc="0" locked="0" layoutInCell="1" hidden="0" allowOverlap="1">
                      <wp:simplePos x="0" y="0"/>
                      <wp:positionH relativeFrom="column">
                        <wp:posOffset>2905760</wp:posOffset>
                      </wp:positionH>
                      <wp:positionV relativeFrom="paragraph">
                        <wp:posOffset>5365115</wp:posOffset>
                      </wp:positionV>
                      <wp:extent cx="1723389" cy="466090"/>
                      <wp:wrapNone/>
                      <wp:docPr id="97" name="文本框 97"/>
                      <wp:cNvGraphicFramePr>
                        <a:graphicFrameLocks noChangeAspect="0"/>
                      </wp:cNvGraphicFramePr>
                      <a:graphic>
                        <a:graphicData uri="http://schemas.microsoft.com/office/word/2010/wordprocessingShape">
                          <wps:wsp>
                            <wps:cNvSpPr/>
                            <wps:spPr>
                              <a:xfrm rot="0">
                                <a:off x="0" y="0"/>
                                <a:ext cx="1723389" cy="466090"/>
                              </a:xfrm>
                              <a:prstGeom prst="rect"/>
                              <a:noFill/>
                              <a:ln w="6350" cmpd="sng" cap="flat">
                                <a:noFill/>
                                <a:prstDash val="solid"/>
                                <a:round/>
                              </a:ln>
                            </wps:spPr>
                            <wps:txbx id="47">
                              <w:txbxContent>
                                <w:p>
                                  <w:pPr>
                                    <w:spacing w:line="240" w:lineRule="auto"/>
                                    <w:ind w:left="0" w:firstLineChars="0" w:firstLine="0"/>
                                    <w:rPr>
                                      <w:rFonts w:hint="eastAsia"/>
                                      <w:sz w:val="21"/>
                                      <w:szCs w:val="21"/>
                                      <w:lang w:val="en-US" w:eastAsia="zh-CN"/>
                                    </w:rPr>
                                  </w:pPr>
                                  <w:r>
                                    <w:rPr>
                                      <w:rFonts w:hint="eastAsia"/>
                                      <w:sz w:val="21"/>
                                      <w:szCs w:val="21"/>
                                      <w:lang w:val="en-US" w:eastAsia="zh-CN"/>
                                    </w:rPr>
                                    <w:t>G：废气  S：固体废物</w:t>
                                  </w:r>
                                </w:p>
                                <w:p>
                                  <w:pPr>
                                    <w:spacing w:line="240" w:lineRule="auto"/>
                                    <w:ind w:left="0" w:firstLineChars="0" w:firstLine="0"/>
                                    <w:rPr>
                                      <w:sz w:val="21"/>
                                      <w:szCs w:val="21"/>
                                      <w:lang w:val="en-US" w:eastAsia="zh-CN"/>
                                    </w:rPr>
                                  </w:pPr>
                                  <w:r>
                                    <w:rPr>
                                      <w:rFonts w:hint="eastAsia"/>
                                      <w:sz w:val="21"/>
                                      <w:szCs w:val="21"/>
                                      <w:lang w:val="en-US" w:eastAsia="zh-CN"/>
                                    </w:rPr>
                                    <w:t xml:space="preserve">W：废水  </w:t>
                                  </w:r>
                                </w:p>
                              </w:txbxContent>
                            </wps:txbx>
                            <wps:bodyPr vert="horz" wrap="square" lIns="91440" tIns="45720" rIns="91440" bIns="45720" anchor="t" anchorCtr="0" upright="0">
                              <a:noAutofit/>
                            </wps:bodyPr>
                          </wps:wsp>
                        </a:graphicData>
                      </a:graphic>
                    </wp:anchor>
                  </w:drawing>
                </mc:Choice>
                <mc:Fallback>
                  <w:pict>
                    <v:rect type="#_x0000_t1" id="文本框 97" o:spid="_x0000_s48" filled="f" stroked="f" strokeweight="0.5pt" style="position:absolute;margin-left:228.8pt;margin-top:422.45004pt;width:135.69998pt;height:36.700012pt;z-index:566;mso-position-horizontal:absolute;mso-position-vertical:absolute;mso-wrap-style:square;">
                      <v:stroke/>
                      <v:textbox id="870" inset="2.54mm,1.27mm,2.54mm,1.27mm" o:insetmode="custom" style="layout-flow:horizontal;v-text-anchor:top;">
                        <w:txbxContent>
                          <w:p>
                            <w:pPr>
                              <w:spacing w:line="240" w:lineRule="auto"/>
                              <w:ind w:left="0" w:firstLineChars="0" w:firstLine="0"/>
                              <w:rPr>
                                <w:rFonts w:hint="eastAsia"/>
                                <w:sz w:val="21"/>
                                <w:szCs w:val="21"/>
                                <w:lang w:val="en-US" w:eastAsia="zh-CN"/>
                              </w:rPr>
                            </w:pPr>
                            <w:r>
                              <w:rPr>
                                <w:rFonts w:hint="eastAsia"/>
                                <w:sz w:val="21"/>
                                <w:szCs w:val="21"/>
                                <w:lang w:val="en-US" w:eastAsia="zh-CN"/>
                              </w:rPr>
                              <w:t>G：废气  S：固体废物</w:t>
                            </w:r>
                          </w:p>
                          <w:p>
                            <w:pPr>
                              <w:spacing w:line="240" w:lineRule="auto"/>
                              <w:ind w:left="0" w:firstLineChars="0" w:firstLine="0"/>
                              <w:rPr>
                                <w:sz w:val="21"/>
                                <w:szCs w:val="21"/>
                                <w:lang w:val="en-US" w:eastAsia="zh-CN"/>
                              </w:rPr>
                            </w:pPr>
                            <w:r>
                              <w:rPr>
                                <w:rFonts w:hint="eastAsia"/>
                                <w:sz w:val="21"/>
                                <w:szCs w:val="21"/>
                                <w:lang w:val="en-US" w:eastAsia="zh-CN"/>
                              </w:rPr>
                              <w:t xml:space="preserve">W：废水  </w:t>
                            </w:r>
                          </w:p>
                        </w:txbxContent>
                      </v:textbox>
                    </v:rect>
                  </w:pict>
                </mc:Fallback>
              </mc:AlternateContent>
            </w:r>
            <w:r>
              <w:rPr>
                <w:bCs/>
                <w:color w:val="auto"/>
                <w:szCs w:val="21"/>
                <w:lang w:val="en-US" w:eastAsia="zh-CN"/>
              </w:rPr>
              <w:drawing>
                <wp:inline distT="0" distB="0" distL="114300" distR="114300">
                  <wp:extent cx="3724275" cy="6724650"/>
                  <wp:effectExtent l="0" t="0" r="0" b="1"/>
                  <wp:docPr id="1038" name="图片 7"/>
                  <wp:cNvGraphicFramePr>
                    <a:graphicFrameLocks noChangeAspect="1"/>
                  </wp:cNvGraphicFramePr>
                  <a:graphic>
                    <a:graphicData uri="http://schemas.openxmlformats.org/drawingml/2006/picture">
                      <pic:pic>
                        <pic:nvPicPr>
                          <pic:cNvPr id="50" name="图片 7 50"/>
                          <pic:cNvPicPr/>
                        </pic:nvPicPr>
                        <pic:blipFill>
                          <a:blip r:embed="rId14"/>
                          <a:stretch>
                            <a:fillRect/>
                          </a:stretch>
                        </pic:blipFill>
                        <pic:spPr>
                          <a:xfrm rot="0">
                            <a:off x="0" y="0"/>
                            <a:ext cx="3724275" cy="6724650"/>
                          </a:xfrm>
                          <a:prstGeom prst="rect"/>
                          <a:noFill/>
                          <a:ln cmpd="sng" cap="flat">
                            <a:noFill/>
                            <a:prstDash val="solid"/>
                            <a:round/>
                          </a:ln>
                        </pic:spPr>
                      </pic:pic>
                    </a:graphicData>
                  </a:graphic>
                </wp:inline>
              </w:drawing>
            </w:r>
          </w:p>
          <w:p>
            <w:pPr>
              <w:pStyle w:val="24"/>
              <w:bidi w:val="0"/>
              <w:rPr>
                <w:color w:val="auto"/>
                <w:lang w:val="en-US" w:eastAsia="zh-CN"/>
              </w:rPr>
            </w:pPr>
            <w:r>
              <w:rPr>
                <w:color w:val="auto"/>
                <w:lang w:val="en-US" w:eastAsia="zh-CN"/>
              </w:rPr>
              <w:t>图2-8  固体型食品添加剂生产工艺流程</w:t>
            </w:r>
          </w:p>
          <w:p>
            <w:pPr>
              <w:spacing w:line="360" w:lineRule="auto"/>
              <w:rPr>
                <w:rFonts w:hint="eastAsia"/>
                <w:bCs/>
                <w:color w:val="auto"/>
                <w:szCs w:val="21"/>
                <w:lang w:val="en-US" w:eastAsia="zh-CN"/>
              </w:rPr>
            </w:pPr>
          </w:p>
          <w:p>
            <w:pPr>
              <w:spacing w:line="360" w:lineRule="auto"/>
              <w:rPr>
                <w:rFonts w:hint="eastAsia"/>
                <w:bCs/>
                <w:color w:val="auto"/>
                <w:szCs w:val="21"/>
                <w:lang w:val="en-US" w:eastAsia="zh-CN"/>
              </w:rPr>
            </w:pPr>
          </w:p>
          <w:p>
            <w:pPr>
              <w:spacing w:line="360" w:lineRule="auto"/>
              <w:rPr>
                <w:rFonts w:hint="eastAsia"/>
                <w:bCs/>
                <w:color w:val="auto"/>
                <w:szCs w:val="21"/>
                <w:lang w:val="en-US" w:eastAsia="zh-CN"/>
              </w:rPr>
            </w:pPr>
          </w:p>
          <w:p>
            <w:pPr>
              <w:spacing w:line="360" w:lineRule="auto"/>
              <w:rPr>
                <w:rFonts w:hint="eastAsia"/>
                <w:bCs/>
                <w:color w:val="auto"/>
                <w:szCs w:val="21"/>
                <w:lang w:val="en-US" w:eastAsia="zh-CN"/>
              </w:rPr>
            </w:pPr>
          </w:p>
          <w:p>
            <w:pPr>
              <w:spacing w:line="360" w:lineRule="auto"/>
              <w:rPr>
                <w:rFonts w:hint="eastAsia"/>
                <w:bCs/>
                <w:color w:val="auto"/>
                <w:szCs w:val="21"/>
                <w:lang w:val="en-US" w:eastAsia="zh-CN"/>
              </w:rPr>
            </w:pPr>
          </w:p>
          <w:p>
            <w:pPr>
              <w:spacing w:line="360" w:lineRule="auto"/>
              <w:rPr>
                <w:rFonts w:hint="eastAsia"/>
                <w:bCs/>
                <w:color w:val="auto"/>
                <w:szCs w:val="21"/>
                <w:lang w:val="en-US" w:eastAsia="zh-CN"/>
              </w:rPr>
            </w:pPr>
          </w:p>
          <w:p>
            <w:pPr>
              <w:spacing w:line="360" w:lineRule="auto"/>
              <w:rPr>
                <w:bCs/>
                <w:color w:val="auto"/>
                <w:szCs w:val="21"/>
                <w:lang w:val="en-US" w:eastAsia="zh-CN"/>
              </w:rPr>
            </w:pPr>
            <w:r>
              <w:rPr>
                <w:rFonts w:hint="eastAsia"/>
                <w:bCs/>
                <w:color w:val="auto"/>
                <w:szCs w:val="21"/>
                <w:lang w:val="en-US" w:eastAsia="zh-CN"/>
              </w:rPr>
              <w:t>③</w:t>
            </w:r>
            <w:r>
              <w:rPr>
                <w:bCs/>
                <w:color w:val="auto"/>
                <w:szCs w:val="21"/>
                <w:lang w:val="en-US" w:eastAsia="zh-CN"/>
              </w:rPr>
              <w:t>乳化型食品添加剂生产工艺流程</w:t>
            </w:r>
          </w:p>
          <w:p>
            <w:pPr>
              <w:spacing w:line="360" w:lineRule="auto"/>
              <w:ind w:left="0" w:right="0" w:firstLineChars="0" w:firstLine="0"/>
              <w:jc w:val="center"/>
              <w:rPr>
                <w:bCs/>
                <w:color w:val="auto"/>
                <w:szCs w:val="21"/>
                <w:lang w:val="en-US" w:eastAsia="zh-CN"/>
              </w:rPr>
            </w:pPr>
            <w:r>
              <w:rPr>
                <w:bCs/>
                <w:color w:val="auto"/>
                <w:szCs w:val="21"/>
                <w:lang w:val="en-US" w:eastAsia="zh-CN"/>
              </w:rPr>
              <mc:AlternateContent>
                <mc:Choice Requires="wps">
                  <w:drawing>
                    <wp:anchor distT="0" distB="0" distL="114300" distR="114300" simplePos="0" relativeHeight="564" behindDoc="0" locked="0" layoutInCell="1" hidden="0" allowOverlap="1">
                      <wp:simplePos x="0" y="0"/>
                      <wp:positionH relativeFrom="column">
                        <wp:posOffset>3277234</wp:posOffset>
                      </wp:positionH>
                      <wp:positionV relativeFrom="paragraph">
                        <wp:posOffset>5383530</wp:posOffset>
                      </wp:positionV>
                      <wp:extent cx="1723390" cy="466090"/>
                      <wp:wrapNone/>
                      <wp:docPr id="88" name="文本框 88"/>
                      <wp:cNvGraphicFramePr>
                        <a:graphicFrameLocks noChangeAspect="0"/>
                      </wp:cNvGraphicFramePr>
                      <a:graphic>
                        <a:graphicData uri="http://schemas.microsoft.com/office/word/2010/wordprocessingShape">
                          <wps:wsp>
                            <wps:cNvSpPr/>
                            <wps:spPr>
                              <a:xfrm rot="0">
                                <a:off x="0" y="0"/>
                                <a:ext cx="1723390" cy="466090"/>
                              </a:xfrm>
                              <a:prstGeom prst="rect"/>
                              <a:noFill/>
                              <a:ln w="6350" cmpd="sng" cap="flat">
                                <a:noFill/>
                                <a:prstDash val="solid"/>
                                <a:round/>
                              </a:ln>
                            </wps:spPr>
                            <wps:txbx id="51">
                              <w:txbxContent>
                                <w:p>
                                  <w:pPr>
                                    <w:spacing w:line="240" w:lineRule="auto"/>
                                    <w:ind w:left="0" w:firstLineChars="0" w:firstLine="0"/>
                                    <w:rPr>
                                      <w:rFonts w:hint="eastAsia"/>
                                      <w:sz w:val="21"/>
                                      <w:szCs w:val="21"/>
                                      <w:lang w:val="en-US" w:eastAsia="zh-CN"/>
                                    </w:rPr>
                                  </w:pPr>
                                  <w:r>
                                    <w:rPr>
                                      <w:rFonts w:hint="eastAsia"/>
                                      <w:sz w:val="21"/>
                                      <w:szCs w:val="21"/>
                                      <w:lang w:val="en-US" w:eastAsia="zh-CN"/>
                                    </w:rPr>
                                    <w:t>G：废气  S：固体废物</w:t>
                                  </w:r>
                                </w:p>
                                <w:p>
                                  <w:pPr>
                                    <w:spacing w:line="240" w:lineRule="auto"/>
                                    <w:ind w:left="0" w:firstLineChars="0" w:firstLine="0"/>
                                    <w:rPr>
                                      <w:sz w:val="21"/>
                                      <w:szCs w:val="21"/>
                                      <w:lang w:val="en-US" w:eastAsia="zh-CN"/>
                                    </w:rPr>
                                  </w:pPr>
                                  <w:r>
                                    <w:rPr>
                                      <w:rFonts w:hint="eastAsia"/>
                                      <w:sz w:val="21"/>
                                      <w:szCs w:val="21"/>
                                      <w:lang w:val="en-US" w:eastAsia="zh-CN"/>
                                    </w:rPr>
                                    <w:t xml:space="preserve">W：废水  </w:t>
                                  </w:r>
                                </w:p>
                              </w:txbxContent>
                            </wps:txbx>
                            <wps:bodyPr vert="horz" wrap="square" lIns="91440" tIns="45720" rIns="91440" bIns="45720" anchor="t" anchorCtr="0" upright="0">
                              <a:noAutofit/>
                            </wps:bodyPr>
                          </wps:wsp>
                        </a:graphicData>
                      </a:graphic>
                    </wp:anchor>
                  </w:drawing>
                </mc:Choice>
                <mc:Fallback>
                  <w:pict>
                    <v:rect type="#_x0000_t1" id="文本框 88" o:spid="_x0000_s52" filled="f" stroked="f" strokeweight="0.5pt" style="position:absolute;margin-left:258.05pt;margin-top:423.9pt;width:135.70001pt;height:36.700012pt;z-index:564;mso-position-horizontal:absolute;mso-position-vertical:absolute;mso-wrap-style:square;">
                      <v:stroke/>
                      <v:textbox id="872" inset="2.54mm,1.27mm,2.54mm,1.27mm" o:insetmode="custom" style="layout-flow:horizontal;v-text-anchor:top;">
                        <w:txbxContent>
                          <w:p>
                            <w:pPr>
                              <w:spacing w:line="240" w:lineRule="auto"/>
                              <w:ind w:left="0" w:firstLineChars="0" w:firstLine="0"/>
                              <w:rPr>
                                <w:rFonts w:hint="eastAsia"/>
                                <w:sz w:val="21"/>
                                <w:szCs w:val="21"/>
                                <w:lang w:val="en-US" w:eastAsia="zh-CN"/>
                              </w:rPr>
                            </w:pPr>
                            <w:r>
                              <w:rPr>
                                <w:rFonts w:hint="eastAsia"/>
                                <w:sz w:val="21"/>
                                <w:szCs w:val="21"/>
                                <w:lang w:val="en-US" w:eastAsia="zh-CN"/>
                              </w:rPr>
                              <w:t>G：废气  S：固体废物</w:t>
                            </w:r>
                          </w:p>
                          <w:p>
                            <w:pPr>
                              <w:spacing w:line="240" w:lineRule="auto"/>
                              <w:ind w:left="0" w:firstLineChars="0" w:firstLine="0"/>
                              <w:rPr>
                                <w:sz w:val="21"/>
                                <w:szCs w:val="21"/>
                                <w:lang w:val="en-US" w:eastAsia="zh-CN"/>
                              </w:rPr>
                            </w:pPr>
                            <w:r>
                              <w:rPr>
                                <w:rFonts w:hint="eastAsia"/>
                                <w:sz w:val="21"/>
                                <w:szCs w:val="21"/>
                                <w:lang w:val="en-US" w:eastAsia="zh-CN"/>
                              </w:rPr>
                              <w:t xml:space="preserve">W：废水  </w:t>
                            </w:r>
                          </w:p>
                        </w:txbxContent>
                      </v:textbox>
                    </v:rect>
                  </w:pict>
                </mc:Fallback>
              </mc:AlternateContent>
            </w:r>
            <w:r>
              <w:rPr>
                <w:bCs/>
                <w:color w:val="auto"/>
                <w:szCs w:val="21"/>
                <w:lang w:val="en-US" w:eastAsia="zh-CN"/>
              </w:rPr>
              <w:drawing>
                <wp:inline distT="0" distB="0" distL="114300" distR="114300">
                  <wp:extent cx="4943475" cy="8010525"/>
                  <wp:effectExtent l="0" t="0" r="0" b="0"/>
                  <wp:docPr id="1039" name="图片 8"/>
                  <wp:cNvGraphicFramePr>
                    <a:graphicFrameLocks noChangeAspect="1"/>
                  </wp:cNvGraphicFramePr>
                  <a:graphic>
                    <a:graphicData uri="http://schemas.openxmlformats.org/drawingml/2006/picture">
                      <pic:pic>
                        <pic:nvPicPr>
                          <pic:cNvPr id="54" name="图片 8 54"/>
                          <pic:cNvPicPr/>
                        </pic:nvPicPr>
                        <pic:blipFill>
                          <a:blip r:embed="rId15"/>
                          <a:stretch>
                            <a:fillRect/>
                          </a:stretch>
                        </pic:blipFill>
                        <pic:spPr>
                          <a:xfrm rot="0">
                            <a:off x="0" y="0"/>
                            <a:ext cx="4943475" cy="8010525"/>
                          </a:xfrm>
                          <a:prstGeom prst="rect"/>
                          <a:noFill/>
                          <a:ln cmpd="sng" cap="flat">
                            <a:noFill/>
                            <a:prstDash val="solid"/>
                            <a:round/>
                          </a:ln>
                        </pic:spPr>
                      </pic:pic>
                    </a:graphicData>
                  </a:graphic>
                </wp:inline>
              </w:drawing>
            </w:r>
          </w:p>
          <w:p>
            <w:pPr>
              <w:pStyle w:val="24"/>
              <w:bidi w:val="0"/>
              <w:rPr>
                <w:color w:val="auto"/>
                <w:lang w:val="en-US" w:eastAsia="zh-CN"/>
              </w:rPr>
            </w:pPr>
            <w:r>
              <w:rPr>
                <w:color w:val="auto"/>
                <w:lang w:val="en-US" w:eastAsia="zh-CN"/>
              </w:rPr>
              <w:t>图2-9  乳化型食品添加剂生产工艺流程</w:t>
            </w:r>
          </w:p>
          <w:p>
            <w:pPr>
              <w:spacing w:line="360" w:lineRule="auto"/>
              <w:rPr>
                <w:rFonts w:hint="eastAsia"/>
                <w:bCs/>
                <w:color w:val="auto"/>
                <w:szCs w:val="21"/>
                <w:lang w:val="en-US" w:eastAsia="zh-CN"/>
              </w:rPr>
            </w:pPr>
          </w:p>
          <w:p>
            <w:pPr>
              <w:spacing w:line="360" w:lineRule="auto"/>
              <w:rPr>
                <w:rFonts w:eastAsia="宋体"/>
                <w:bCs/>
                <w:color w:val="auto"/>
                <w:szCs w:val="21"/>
                <w:lang w:val="en-US" w:eastAsia="zh-CN"/>
              </w:rPr>
            </w:pPr>
            <w:r>
              <w:rPr>
                <w:rFonts w:hint="eastAsia"/>
                <w:bCs/>
                <w:color w:val="auto"/>
                <w:szCs w:val="21"/>
                <w:lang w:val="en-US" w:eastAsia="zh-CN"/>
              </w:rPr>
              <w:t>二</w:t>
            </w:r>
            <w:r>
              <w:rPr>
                <w:rFonts w:eastAsia="宋体"/>
                <w:bCs/>
                <w:color w:val="auto"/>
                <w:szCs w:val="21"/>
                <w:lang w:val="en-US" w:eastAsia="zh-CN"/>
              </w:rPr>
              <w:t xml:space="preserve">、现有工程污染物排放量 </w:t>
            </w:r>
          </w:p>
          <w:p>
            <w:pPr>
              <w:spacing w:line="360" w:lineRule="auto"/>
              <w:rPr>
                <w:rFonts w:eastAsia="宋体"/>
                <w:bCs/>
                <w:color w:val="auto"/>
                <w:szCs w:val="21"/>
                <w:lang w:val="en-US" w:eastAsia="zh-CN"/>
              </w:rPr>
            </w:pPr>
            <w:r>
              <w:rPr>
                <w:rFonts w:eastAsia="宋体"/>
                <w:bCs/>
                <w:color w:val="auto"/>
                <w:szCs w:val="21"/>
                <w:lang w:val="en-US" w:eastAsia="zh-CN"/>
              </w:rPr>
              <w:t>1、现有工程污染物产生、治理情况</w:t>
            </w:r>
          </w:p>
          <w:p>
            <w:pPr>
              <w:spacing w:line="360" w:lineRule="auto"/>
              <w:rPr>
                <w:rFonts w:eastAsia="宋体"/>
                <w:bCs/>
                <w:color w:val="auto"/>
                <w:szCs w:val="21"/>
                <w:lang w:val="en-US" w:eastAsia="zh-CN"/>
              </w:rPr>
            </w:pPr>
            <w:r>
              <w:rPr>
                <w:rFonts w:eastAsia="宋体"/>
                <w:bCs/>
                <w:color w:val="auto"/>
                <w:szCs w:val="21"/>
                <w:lang w:val="en-US" w:eastAsia="zh-CN"/>
              </w:rPr>
              <w:t>（1）废气治理情况</w:t>
            </w:r>
          </w:p>
          <w:p>
            <w:pPr>
              <w:spacing w:line="360" w:lineRule="auto"/>
              <w:rPr>
                <w:rFonts w:eastAsia="宋体"/>
                <w:bCs/>
                <w:color w:val="auto"/>
                <w:szCs w:val="21"/>
                <w:lang w:val="en-US" w:eastAsia="zh-CN"/>
              </w:rPr>
            </w:pPr>
            <w:r>
              <w:rPr>
                <w:rFonts w:hint="eastAsia"/>
                <w:bCs/>
                <w:color w:val="auto"/>
                <w:szCs w:val="21"/>
                <w:lang w:val="en-US" w:eastAsia="zh-CN"/>
              </w:rPr>
              <w:t>打</w:t>
            </w:r>
            <w:r>
              <w:rPr>
                <w:rFonts w:eastAsia="宋体"/>
                <w:bCs/>
                <w:color w:val="auto"/>
                <w:szCs w:val="21"/>
                <w:lang w:val="en-US" w:eastAsia="zh-CN"/>
              </w:rPr>
              <w:t>码、贴管</w:t>
            </w:r>
            <w:r>
              <w:rPr>
                <w:rFonts w:hint="eastAsia"/>
                <w:bCs/>
                <w:color w:val="auto"/>
                <w:szCs w:val="21"/>
                <w:lang w:val="en-US" w:eastAsia="zh-CN"/>
              </w:rPr>
              <w:t>、</w:t>
            </w:r>
            <w:r>
              <w:rPr>
                <w:rFonts w:eastAsia="宋体"/>
                <w:bCs/>
                <w:color w:val="auto"/>
                <w:szCs w:val="21"/>
                <w:lang w:val="en-US" w:eastAsia="zh-CN"/>
              </w:rPr>
              <w:t>热合封口、饮料灌装、食品添加剂</w:t>
            </w:r>
            <w:r>
              <w:rPr>
                <w:rFonts w:hint="eastAsia"/>
                <w:bCs/>
                <w:color w:val="auto"/>
                <w:szCs w:val="21"/>
                <w:lang w:val="en-US" w:eastAsia="zh-CN"/>
              </w:rPr>
              <w:t>生产</w:t>
            </w:r>
            <w:r>
              <w:rPr>
                <w:rFonts w:eastAsia="宋体"/>
                <w:bCs/>
                <w:color w:val="auto"/>
                <w:szCs w:val="21"/>
                <w:lang w:val="en-US" w:eastAsia="zh-CN"/>
              </w:rPr>
              <w:t>废气经干式过滤+两级活性炭吸附装置+15m高排气筒DA001排放；</w:t>
            </w:r>
          </w:p>
          <w:p>
            <w:pPr>
              <w:spacing w:line="360" w:lineRule="auto"/>
              <w:rPr>
                <w:rFonts w:eastAsia="宋体"/>
                <w:bCs/>
                <w:color w:val="auto"/>
                <w:szCs w:val="21"/>
                <w:lang w:val="en-US" w:eastAsia="zh-CN"/>
              </w:rPr>
            </w:pPr>
            <w:r>
              <w:rPr>
                <w:rFonts w:eastAsia="宋体"/>
                <w:bCs/>
                <w:color w:val="auto"/>
                <w:szCs w:val="21"/>
                <w:lang w:val="en-US" w:eastAsia="zh-CN"/>
              </w:rPr>
              <w:t>粉料灌装废气经集气罩+布袋除尘器+15m高排气筒DA002排放；</w:t>
            </w:r>
          </w:p>
          <w:p>
            <w:pPr>
              <w:spacing w:line="360" w:lineRule="auto"/>
              <w:rPr>
                <w:rFonts w:eastAsia="宋体"/>
                <w:bCs/>
                <w:color w:val="auto"/>
                <w:szCs w:val="21"/>
                <w:lang w:val="en-US" w:eastAsia="zh-CN"/>
              </w:rPr>
            </w:pPr>
            <w:r>
              <w:rPr>
                <w:rFonts w:eastAsia="宋体"/>
                <w:bCs/>
                <w:color w:val="auto"/>
                <w:szCs w:val="21"/>
                <w:lang w:val="en-US" w:eastAsia="zh-CN"/>
              </w:rPr>
              <w:t>污水处理站废气收集后经碱喷淋装置+15m高排气筒DA003排放；</w:t>
            </w:r>
          </w:p>
          <w:p>
            <w:pPr>
              <w:spacing w:line="360" w:lineRule="auto"/>
              <w:rPr>
                <w:rFonts w:eastAsia="宋体"/>
                <w:bCs/>
                <w:color w:val="auto"/>
                <w:szCs w:val="21"/>
                <w:lang w:val="en-US" w:eastAsia="zh-CN"/>
              </w:rPr>
            </w:pPr>
            <w:r>
              <w:rPr>
                <w:rFonts w:eastAsia="宋体"/>
                <w:bCs/>
                <w:color w:val="auto"/>
                <w:szCs w:val="21"/>
                <w:lang w:val="en-US" w:eastAsia="zh-CN"/>
              </w:rPr>
              <w:t>食堂油烟经油烟净化器处理后通过管道DA004排放。</w:t>
            </w:r>
          </w:p>
          <w:p>
            <w:pPr>
              <w:spacing w:line="360" w:lineRule="auto"/>
              <w:rPr>
                <w:rFonts w:eastAsia="宋体"/>
                <w:bCs/>
                <w:color w:val="auto"/>
                <w:szCs w:val="21"/>
                <w:lang w:val="en-US" w:eastAsia="zh-CN"/>
              </w:rPr>
            </w:pPr>
            <w:r>
              <w:rPr>
                <w:rFonts w:eastAsia="宋体"/>
                <w:bCs/>
                <w:color w:val="auto"/>
                <w:szCs w:val="21"/>
                <w:lang w:val="en-US" w:eastAsia="zh-CN"/>
              </w:rPr>
              <w:t>（2）现有工程污染物排放情况</w:t>
            </w:r>
          </w:p>
          <w:p>
            <w:pPr>
              <w:spacing w:line="360" w:lineRule="auto"/>
              <w:rPr>
                <w:rFonts w:eastAsia="宋体"/>
                <w:bCs/>
                <w:color w:val="auto"/>
                <w:szCs w:val="21"/>
                <w:lang w:val="en-US" w:eastAsia="zh-CN"/>
              </w:rPr>
            </w:pPr>
            <w:r>
              <w:rPr>
                <w:rFonts w:eastAsia="宋体"/>
                <w:bCs/>
                <w:color w:val="auto"/>
                <w:szCs w:val="21"/>
                <w:lang w:val="en-US" w:eastAsia="zh-CN"/>
              </w:rPr>
              <w:t>根据河北彩驰环保科技有限公司于2025年09月01日-09月02日对该项目进行了竣工验收检测，并出具检测报告(报告编号：CCJW2509001)可知：</w:t>
            </w:r>
          </w:p>
          <w:p>
            <w:pPr>
              <w:spacing w:line="360" w:lineRule="auto"/>
              <w:rPr>
                <w:rFonts w:eastAsia="宋体"/>
                <w:bCs/>
                <w:color w:val="auto"/>
                <w:szCs w:val="21"/>
                <w:lang w:val="en-US" w:eastAsia="zh-CN"/>
              </w:rPr>
            </w:pPr>
            <w:r>
              <w:rPr>
                <w:rFonts w:eastAsia="宋体"/>
                <w:bCs/>
                <w:color w:val="auto"/>
                <w:szCs w:val="21"/>
                <w:lang w:val="en-US" w:eastAsia="zh-CN"/>
              </w:rPr>
              <w:t>①有组织废气</w:t>
            </w:r>
          </w:p>
          <w:p>
            <w:pPr>
              <w:spacing w:line="360" w:lineRule="auto"/>
              <w:rPr>
                <w:rFonts w:eastAsia="宋体"/>
                <w:bCs/>
                <w:color w:val="auto"/>
                <w:szCs w:val="21"/>
                <w:lang w:val="en-US" w:eastAsia="zh-CN"/>
              </w:rPr>
            </w:pPr>
            <w:r>
              <w:rPr>
                <w:rFonts w:eastAsia="宋体"/>
                <w:bCs/>
                <w:color w:val="auto"/>
                <w:szCs w:val="21"/>
                <w:lang w:val="en-US" w:eastAsia="zh-CN"/>
              </w:rPr>
              <w:t>喷码、热合封口、贴管、饮料灌装、食品添加剂</w:t>
            </w:r>
            <w:r>
              <w:rPr>
                <w:rFonts w:hint="eastAsia"/>
                <w:bCs/>
                <w:color w:val="auto"/>
                <w:szCs w:val="21"/>
                <w:lang w:val="en-US" w:eastAsia="zh-CN"/>
              </w:rPr>
              <w:t>生产</w:t>
            </w:r>
            <w:r>
              <w:rPr>
                <w:rFonts w:eastAsia="宋体"/>
                <w:bCs/>
                <w:color w:val="auto"/>
                <w:szCs w:val="21"/>
                <w:lang w:val="en-US" w:eastAsia="zh-CN"/>
              </w:rPr>
              <w:t>废气经处理后非甲烷总烃排放浓度最大值为2.31mg/m³，符合《工业企业挥发性有机物排放控制标准》（DB13/2322-2016）表1印刷工业及其他行业减半限值标准；臭气浓度最大值为131（无量纲），符合《恶臭污染物排放标准》（GB 14554-1993）表2恶臭污染物排放减半限值标准；粉料灌装废气经处理后颗粒物最高排放浓度为2.6mg/m³，最高排放速率为0.010kg/h，排放浓度符合《大气污染物综合排放标准》（GB16297-1996）表2二级标准，排放速率符合《大气污染物综合排放标准》（GB16297-1996）表2二级减半限值标准；污水处理站废气经处理后硫化氢最高排放速率为3.05×10</w:t>
            </w:r>
            <w:r>
              <w:rPr>
                <w:rFonts w:eastAsia="宋体"/>
                <w:bCs/>
                <w:color w:val="auto"/>
                <w:szCs w:val="21"/>
                <w:vertAlign w:val="superscript"/>
                <w:lang w:val="en-US" w:eastAsia="zh-CN"/>
              </w:rPr>
              <w:t>-4</w:t>
            </w:r>
            <w:r>
              <w:rPr>
                <w:rFonts w:eastAsia="宋体"/>
                <w:bCs/>
                <w:color w:val="auto"/>
                <w:szCs w:val="21"/>
                <w:lang w:val="en-US" w:eastAsia="zh-CN"/>
              </w:rPr>
              <w:t>kg/h，氨最高排放速率为8.34×10</w:t>
            </w:r>
            <w:r>
              <w:rPr>
                <w:rFonts w:eastAsia="宋体"/>
                <w:bCs/>
                <w:color w:val="auto"/>
                <w:szCs w:val="21"/>
                <w:vertAlign w:val="superscript"/>
                <w:lang w:val="en-US" w:eastAsia="zh-CN"/>
              </w:rPr>
              <w:t>-3</w:t>
            </w:r>
            <w:r>
              <w:rPr>
                <w:rFonts w:eastAsia="宋体"/>
                <w:bCs/>
                <w:color w:val="auto"/>
                <w:szCs w:val="21"/>
                <w:lang w:val="en-US" w:eastAsia="zh-CN"/>
              </w:rPr>
              <w:t>kg/h，臭气浓度最大值为977（无量纲），均符合《恶臭污染物排放标准》（GB 14554-1993）表2恶臭污染物排放减半限值标准；食堂油烟废气经处理后排放的油烟折算平均排放浓度最大值为0.6mg/m³，符合《餐饮业大气污染物排放标准》（DB13/5808-2023）表1小型标准。</w:t>
            </w:r>
          </w:p>
          <w:p>
            <w:pPr>
              <w:spacing w:line="360" w:lineRule="auto"/>
              <w:rPr>
                <w:rFonts w:eastAsia="宋体"/>
                <w:bCs/>
                <w:color w:val="auto"/>
                <w:szCs w:val="21"/>
                <w:lang w:val="en-US" w:eastAsia="zh-CN"/>
              </w:rPr>
            </w:pPr>
            <w:r>
              <w:rPr>
                <w:rFonts w:eastAsia="宋体"/>
                <w:bCs/>
                <w:color w:val="auto"/>
                <w:szCs w:val="21"/>
                <w:lang w:val="en-US" w:eastAsia="zh-CN"/>
              </w:rPr>
              <w:t>②无组织废气</w:t>
            </w:r>
          </w:p>
          <w:p>
            <w:pPr>
              <w:spacing w:line="360" w:lineRule="auto"/>
              <w:rPr>
                <w:rFonts w:eastAsia="宋体"/>
                <w:bCs/>
                <w:color w:val="auto"/>
                <w:szCs w:val="21"/>
                <w:lang w:val="en-US" w:eastAsia="zh-CN"/>
              </w:rPr>
            </w:pPr>
            <w:r>
              <w:rPr>
                <w:rFonts w:eastAsia="宋体"/>
                <w:bCs/>
                <w:color w:val="auto"/>
                <w:szCs w:val="21"/>
                <w:lang w:val="en-US" w:eastAsia="zh-CN"/>
              </w:rPr>
              <w:t>厂界无组织颗粒物最高排放浓度为470µg/m³，符合《大气污染物综合排放标准》（GB16297-1996）表2中无组织排放监控浓度限值；厂界无组织氨最高排放浓度为0.03mg/m³，厂界无组织硫化氢最高排放浓度为0.013mg/m³，厂界无组织臭气浓度最大值为18（无量纲），均符合《恶臭污染物排放标准》（GB14554-1993）表1二级新扩改建标准；厂界无组织非甲烷总烃最高排放浓度为1.08mg/m³，均符合《工业企业挥发性有机物排放控制标准》（DB13/2322-2016）表2企业边界大气污染物浓度标准限值；车间口无组织非甲烷总烃最高排放浓度为1.54mg/m³，符合《工业企业挥发性有机物排放控制标准》（DB13/ 2322-2016）表3生产车间或生产设备边界大气污染物浓度限值及《挥发性有机物无组织排放控制标准》（GB 37822-2019）表A.1监控点处1h平均浓度值。</w:t>
            </w:r>
          </w:p>
          <w:p>
            <w:pPr>
              <w:spacing w:line="360" w:lineRule="auto"/>
              <w:rPr>
                <w:rFonts w:eastAsia="宋体"/>
                <w:bCs/>
                <w:color w:val="auto"/>
                <w:szCs w:val="21"/>
                <w:lang w:val="en-US" w:eastAsia="zh-CN"/>
              </w:rPr>
            </w:pPr>
            <w:r>
              <w:rPr>
                <w:rFonts w:eastAsia="宋体"/>
                <w:bCs/>
                <w:color w:val="auto"/>
                <w:szCs w:val="21"/>
                <w:lang w:val="en-US" w:eastAsia="zh-CN"/>
              </w:rPr>
              <w:t>（2）废水</w:t>
            </w:r>
          </w:p>
          <w:p>
            <w:pPr>
              <w:spacing w:line="360" w:lineRule="auto"/>
              <w:rPr>
                <w:rFonts w:eastAsia="宋体"/>
                <w:bCs/>
                <w:color w:val="auto"/>
                <w:szCs w:val="21"/>
                <w:lang w:val="en-US" w:eastAsia="zh-CN"/>
              </w:rPr>
            </w:pPr>
            <w:r>
              <w:rPr>
                <w:rFonts w:eastAsia="宋体"/>
                <w:bCs/>
                <w:color w:val="auto"/>
                <w:szCs w:val="21"/>
                <w:lang w:val="en-US" w:eastAsia="zh-CN"/>
              </w:rPr>
              <w:t>污水排放口处排放的废水中pH值范围为7.2-7.4（无量纲）、化学需氧量日均最大值为106mg/L、氨氮日均最大值为2.46mg/L、悬浮物日均最大值为46mg/L、五日生化需氧量日均最大值为26.8mg/L、总磷日均最大值为0.09mg/L、总氮日均最大值为3.95mg/L、色度日均最大值为10倍、动植物油日均最大值为6.28mg/L，均符合《污水综合排放标准》（GB8978-1996）表4中三级标准及德威华泰石家庄市栾城水务有限公司进水水质要求。</w:t>
            </w:r>
          </w:p>
          <w:p>
            <w:pPr>
              <w:spacing w:line="240" w:lineRule="auto"/>
              <w:ind w:left="0" w:right="0" w:firstLineChars="0" w:firstLine="0"/>
              <w:jc w:val="center"/>
              <w:rPr>
                <w:rFonts w:hint="eastAsia"/>
                <w:b/>
                <w:bCs w:val="0"/>
                <w:color w:val="auto"/>
                <w:szCs w:val="21"/>
                <w:lang w:val="en-US" w:eastAsia="zh-CN"/>
              </w:rPr>
            </w:pPr>
            <w:r>
              <w:rPr>
                <w:rFonts w:hint="eastAsia"/>
                <w:b/>
                <w:bCs w:val="0"/>
                <w:color w:val="auto"/>
                <w:szCs w:val="21"/>
                <w:lang w:val="en-US" w:eastAsia="zh-CN"/>
              </w:rPr>
              <w:t>表2-9  现有工程污染排放情况一览表</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520"/>
              <w:gridCol w:w="1521"/>
              <w:gridCol w:w="1521"/>
              <w:gridCol w:w="1789"/>
              <w:gridCol w:w="2060"/>
            </w:tblGrid>
            <w:tr>
              <w:trPr>
                <w:trHeight w:val="23"/>
              </w:trPr>
              <w:tc>
                <w:tcPr>
                  <w:tcW w:w="361" w:type="dxa"/>
                  <w:vAlign w:val="center"/>
                </w:tcPr>
                <w:p>
                  <w:pPr>
                    <w:pStyle w:val="23"/>
                    <w:bidi w:val="0"/>
                    <w:rPr>
                      <w:color w:val="auto"/>
                      <w:lang w:val="en-US" w:eastAsia="zh-CN"/>
                    </w:rPr>
                  </w:pPr>
                  <w:r>
                    <w:rPr>
                      <w:color w:val="auto"/>
                      <w:lang w:val="en-US" w:eastAsia="zh-CN"/>
                    </w:rPr>
                    <w:t>污染物类别</w:t>
                  </w:r>
                </w:p>
              </w:tc>
              <w:tc>
                <w:tcPr>
                  <w:tcW w:w="362" w:type="dxa"/>
                  <w:vAlign w:val="center"/>
                </w:tcPr>
                <w:p>
                  <w:pPr>
                    <w:pStyle w:val="23"/>
                    <w:bidi w:val="0"/>
                    <w:rPr>
                      <w:color w:val="auto"/>
                      <w:lang w:val="en-US" w:eastAsia="zh-CN"/>
                    </w:rPr>
                  </w:pPr>
                  <w:r>
                    <w:rPr>
                      <w:rFonts w:hint="eastAsia"/>
                      <w:color w:val="auto"/>
                      <w:lang w:val="en-US" w:eastAsia="zh-CN"/>
                    </w:rPr>
                    <w:t>排放口</w:t>
                  </w:r>
                </w:p>
              </w:tc>
              <w:tc>
                <w:tcPr>
                  <w:tcW w:w="362" w:type="dxa"/>
                  <w:vAlign w:val="center"/>
                </w:tcPr>
                <w:p>
                  <w:pPr>
                    <w:pStyle w:val="23"/>
                    <w:bidi w:val="0"/>
                    <w:rPr>
                      <w:color w:val="auto"/>
                      <w:lang w:val="en-US" w:eastAsia="zh-CN"/>
                    </w:rPr>
                  </w:pPr>
                  <w:r>
                    <w:rPr>
                      <w:color w:val="auto"/>
                      <w:lang w:val="en-US" w:eastAsia="zh-CN"/>
                    </w:rPr>
                    <w:t>污染物名称</w:t>
                  </w:r>
                </w:p>
              </w:tc>
              <w:tc>
                <w:tcPr>
                  <w:tcW w:w="425" w:type="dxa"/>
                  <w:vAlign w:val="center"/>
                </w:tcPr>
                <w:p>
                  <w:pPr>
                    <w:pStyle w:val="23"/>
                    <w:bidi w:val="0"/>
                    <w:rPr>
                      <w:color w:val="auto"/>
                      <w:lang w:val="en-US" w:eastAsia="zh-CN"/>
                    </w:rPr>
                  </w:pPr>
                  <w:r>
                    <w:rPr>
                      <w:rFonts w:hint="eastAsia"/>
                      <w:color w:val="auto"/>
                      <w:lang w:val="en-US" w:eastAsia="zh-CN"/>
                    </w:rPr>
                    <w:t>排放浓度</w:t>
                  </w:r>
                </w:p>
              </w:tc>
              <w:tc>
                <w:tcPr>
                  <w:tcW w:w="490" w:type="dxa"/>
                  <w:vAlign w:val="center"/>
                </w:tcPr>
                <w:p>
                  <w:pPr>
                    <w:pStyle w:val="23"/>
                    <w:bidi w:val="0"/>
                    <w:rPr>
                      <w:color w:val="auto"/>
                      <w:lang w:val="en-US" w:eastAsia="zh-CN"/>
                    </w:rPr>
                  </w:pPr>
                  <w:r>
                    <w:rPr>
                      <w:rFonts w:hint="eastAsia"/>
                      <w:color w:val="auto"/>
                      <w:lang w:val="en-US" w:eastAsia="zh-CN"/>
                    </w:rPr>
                    <w:t>执行标准</w:t>
                  </w:r>
                </w:p>
              </w:tc>
            </w:tr>
            <w:tr>
              <w:trPr>
                <w:trHeight w:val="23"/>
              </w:trPr>
              <w:tc>
                <w:tcPr>
                  <w:tcW w:w="361" w:type="dxa"/>
                  <w:vMerge w:val="restart"/>
                  <w:vAlign w:val="center"/>
                </w:tcPr>
                <w:p>
                  <w:pPr>
                    <w:pStyle w:val="23"/>
                    <w:bidi w:val="0"/>
                    <w:rPr>
                      <w:color w:val="auto"/>
                      <w:lang w:val="en-US" w:eastAsia="zh-CN"/>
                    </w:rPr>
                  </w:pPr>
                  <w:r>
                    <w:rPr>
                      <w:color w:val="auto"/>
                      <w:lang w:val="en-US" w:eastAsia="zh-CN"/>
                    </w:rPr>
                    <w:t>废气</w:t>
                  </w:r>
                </w:p>
              </w:tc>
              <w:tc>
                <w:tcPr>
                  <w:tcW w:w="362"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DA001</w:t>
                  </w:r>
                </w:p>
              </w:tc>
              <w:tc>
                <w:tcPr>
                  <w:tcW w:w="362" w:type="dxa"/>
                  <w:tcBorders>
                    <w:left w:val="single" w:sz="4" w:space="0" w:color="auto"/>
                  </w:tcBorders>
                  <w:vAlign w:val="center"/>
                </w:tcPr>
                <w:p>
                  <w:pPr>
                    <w:pStyle w:val="23"/>
                    <w:bidi w:val="0"/>
                    <w:rPr>
                      <w:color w:val="auto"/>
                      <w:lang w:val="en-US" w:eastAsia="zh-CN"/>
                    </w:rPr>
                  </w:pPr>
                  <w:r>
                    <w:rPr>
                      <w:color w:val="auto"/>
                      <w:lang w:val="en-US" w:eastAsia="zh-CN"/>
                    </w:rPr>
                    <w:t>非甲烷总烃</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2.31mg/m³</w:t>
                  </w:r>
                </w:p>
              </w:tc>
              <w:tc>
                <w:tcPr>
                  <w:tcW w:w="490" w:type="dxa"/>
                  <w:tcBorders>
                    <w:left w:val="single" w:sz="4" w:space="0" w:color="auto"/>
                  </w:tcBorders>
                  <w:vAlign w:val="center"/>
                </w:tcPr>
                <w:p>
                  <w:pPr>
                    <w:pStyle w:val="23"/>
                    <w:bidi w:val="0"/>
                    <w:rPr>
                      <w:color w:val="auto"/>
                      <w:lang w:val="en-US" w:eastAsia="zh-CN"/>
                    </w:rPr>
                  </w:pPr>
                  <w:r>
                    <w:rPr>
                      <w:color w:val="auto"/>
                      <w:lang w:val="en-US" w:eastAsia="zh-CN"/>
                    </w:rPr>
                    <w:t>《工业企业挥发性有机物排放控制标准》（DB13/2322-2016）表1印刷工业</w:t>
                  </w:r>
                </w:p>
              </w:tc>
            </w:tr>
            <w:tr>
              <w:trPr>
                <w:trHeight w:val="23"/>
              </w:trPr>
              <w:tc>
                <w:tcPr>
                  <w:tcW w:w="361" w:type="dxa"/>
                  <w:vMerge/>
                  <w:vAlign w:val="center"/>
                </w:tcPr>
                <w:p/>
              </w:tc>
              <w:tc>
                <w:tcPr>
                  <w:tcW w:w="362" w:type="dxa"/>
                  <w:vMerge/>
                  <w:tcBorders>
                    <w:left w:val="single" w:sz="4" w:space="0" w:color="auto"/>
                  </w:tcBorders>
                  <w:vAlign w:val="center"/>
                </w:tcPr>
                <w:p/>
              </w:tc>
              <w:tc>
                <w:tcPr>
                  <w:tcW w:w="362" w:type="dxa"/>
                  <w:tcBorders>
                    <w:left w:val="single" w:sz="4" w:space="0" w:color="auto"/>
                  </w:tcBorders>
                  <w:vAlign w:val="center"/>
                </w:tcPr>
                <w:p>
                  <w:pPr>
                    <w:pStyle w:val="23"/>
                    <w:bidi w:val="0"/>
                    <w:rPr>
                      <w:color w:val="auto"/>
                      <w:lang w:val="en-US" w:eastAsia="zh-CN"/>
                    </w:rPr>
                  </w:pPr>
                  <w:r>
                    <w:rPr>
                      <w:color w:val="auto"/>
                      <w:lang w:val="en-US" w:eastAsia="zh-CN"/>
                    </w:rPr>
                    <w:t>臭气浓度</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131（无量纲）</w:t>
                  </w:r>
                </w:p>
              </w:tc>
              <w:tc>
                <w:tcPr>
                  <w:tcW w:w="490" w:type="dxa"/>
                  <w:tcBorders>
                    <w:left w:val="single" w:sz="4" w:space="0" w:color="auto"/>
                  </w:tcBorders>
                  <w:vAlign w:val="center"/>
                </w:tcPr>
                <w:p>
                  <w:pPr>
                    <w:pStyle w:val="23"/>
                    <w:bidi w:val="0"/>
                    <w:rPr>
                      <w:color w:val="auto"/>
                      <w:lang w:val="en-US" w:eastAsia="zh-CN"/>
                    </w:rPr>
                  </w:pPr>
                  <w:r>
                    <w:rPr>
                      <w:rFonts w:eastAsia="宋体"/>
                      <w:bCs/>
                      <w:color w:val="auto"/>
                      <w:szCs w:val="21"/>
                      <w:lang w:val="en-US" w:eastAsia="zh-CN"/>
                    </w:rPr>
                    <w:t>《恶臭污染物排放标准》（GB 14554-1993）表2恶臭污染物排放限值标准</w:t>
                  </w:r>
                </w:p>
              </w:tc>
            </w:tr>
            <w:tr>
              <w:trPr>
                <w:trHeight w:val="23"/>
              </w:trPr>
              <w:tc>
                <w:tcPr>
                  <w:tcW w:w="361" w:type="dxa"/>
                  <w:vMerge/>
                  <w:vAlign w:val="center"/>
                </w:tcPr>
                <w:p/>
              </w:tc>
              <w:tc>
                <w:tcPr>
                  <w:tcW w:w="362" w:type="dxa"/>
                  <w:tcBorders>
                    <w:left w:val="single" w:sz="4" w:space="0" w:color="auto"/>
                  </w:tcBorders>
                  <w:vAlign w:val="center"/>
                </w:tcPr>
                <w:p>
                  <w:pPr>
                    <w:pStyle w:val="23"/>
                    <w:bidi w:val="0"/>
                    <w:rPr>
                      <w:color w:val="auto"/>
                      <w:lang w:val="en-US" w:eastAsia="zh-CN"/>
                    </w:rPr>
                  </w:pPr>
                  <w:r>
                    <w:rPr>
                      <w:rFonts w:hint="eastAsia"/>
                      <w:color w:val="auto"/>
                      <w:lang w:val="en-US" w:eastAsia="zh-CN"/>
                    </w:rPr>
                    <w:t>DA002</w:t>
                  </w:r>
                </w:p>
              </w:tc>
              <w:tc>
                <w:tcPr>
                  <w:tcW w:w="362" w:type="dxa"/>
                  <w:tcBorders>
                    <w:left w:val="single" w:sz="4" w:space="0" w:color="auto"/>
                  </w:tcBorders>
                  <w:vAlign w:val="center"/>
                </w:tcPr>
                <w:p>
                  <w:pPr>
                    <w:pStyle w:val="23"/>
                    <w:bidi w:val="0"/>
                    <w:rPr>
                      <w:color w:val="auto"/>
                      <w:lang w:val="en-US" w:eastAsia="zh-CN"/>
                    </w:rPr>
                  </w:pPr>
                  <w:r>
                    <w:rPr>
                      <w:color w:val="auto"/>
                      <w:lang w:val="en-US" w:eastAsia="zh-CN"/>
                    </w:rPr>
                    <w:t>颗粒物</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2.6mg/m³</w:t>
                  </w:r>
                  <w:r>
                    <w:rPr>
                      <w:rFonts w:hint="eastAsia"/>
                      <w:color w:val="auto"/>
                      <w:lang w:val="en-US" w:eastAsia="zh-CN"/>
                    </w:rPr>
                    <w:t>，0.010kg/h</w:t>
                  </w:r>
                </w:p>
              </w:tc>
              <w:tc>
                <w:tcPr>
                  <w:tcW w:w="490" w:type="dxa"/>
                  <w:tcBorders>
                    <w:left w:val="single" w:sz="4" w:space="0" w:color="auto"/>
                  </w:tcBorders>
                  <w:vAlign w:val="center"/>
                </w:tcPr>
                <w:p>
                  <w:pPr>
                    <w:pStyle w:val="23"/>
                    <w:bidi w:val="0"/>
                    <w:rPr>
                      <w:color w:val="auto"/>
                      <w:lang w:val="en-US" w:eastAsia="zh-CN"/>
                    </w:rPr>
                  </w:pPr>
                  <w:r>
                    <w:rPr>
                      <w:rFonts w:eastAsia="宋体"/>
                      <w:bCs/>
                      <w:color w:val="auto"/>
                      <w:szCs w:val="21"/>
                      <w:lang w:val="en-US" w:eastAsia="zh-CN"/>
                    </w:rPr>
                    <w:t>《大气污染物综合排放标准》（GB16297-1996）表2二级限值标准</w:t>
                  </w:r>
                </w:p>
              </w:tc>
            </w:tr>
            <w:tr>
              <w:trPr>
                <w:trHeight w:val="23"/>
              </w:trPr>
              <w:tc>
                <w:tcPr>
                  <w:tcW w:w="361" w:type="dxa"/>
                  <w:vMerge/>
                  <w:vAlign w:val="center"/>
                </w:tcPr>
                <w:p/>
              </w:tc>
              <w:tc>
                <w:tcPr>
                  <w:tcW w:w="362"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DA003</w:t>
                  </w:r>
                </w:p>
              </w:tc>
              <w:tc>
                <w:tcPr>
                  <w:tcW w:w="362" w:type="dxa"/>
                  <w:tcBorders>
                    <w:left w:val="single" w:sz="4" w:space="0" w:color="auto"/>
                  </w:tcBorders>
                  <w:vAlign w:val="center"/>
                </w:tcPr>
                <w:p>
                  <w:pPr>
                    <w:pStyle w:val="23"/>
                    <w:bidi w:val="0"/>
                    <w:rPr>
                      <w:color w:val="auto"/>
                      <w:lang w:val="en-US" w:eastAsia="zh-CN"/>
                    </w:rPr>
                  </w:pPr>
                  <w:r>
                    <w:rPr>
                      <w:rFonts w:hint="eastAsia"/>
                      <w:color w:val="auto"/>
                      <w:lang w:val="en-US" w:eastAsia="zh-CN"/>
                    </w:rPr>
                    <w:t>氨</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8.34×10</w:t>
                  </w:r>
                  <w:r>
                    <w:rPr>
                      <w:color w:val="auto"/>
                      <w:vertAlign w:val="superscript"/>
                      <w:lang w:val="en-US" w:eastAsia="zh-CN"/>
                    </w:rPr>
                    <w:t>-3</w:t>
                  </w:r>
                  <w:r>
                    <w:rPr>
                      <w:color w:val="auto"/>
                      <w:lang w:val="en-US" w:eastAsia="zh-CN"/>
                    </w:rPr>
                    <w:t>kg/h</w:t>
                  </w:r>
                </w:p>
              </w:tc>
              <w:tc>
                <w:tcPr>
                  <w:tcW w:w="490" w:type="dxa"/>
                  <w:vMerge w:val="restart"/>
                  <w:tcBorders>
                    <w:left w:val="single" w:sz="4" w:space="0" w:color="auto"/>
                  </w:tcBorders>
                  <w:vAlign w:val="center"/>
                </w:tcPr>
                <w:p>
                  <w:pPr>
                    <w:pStyle w:val="23"/>
                    <w:bidi w:val="0"/>
                    <w:rPr>
                      <w:color w:val="auto"/>
                      <w:lang w:val="en-US" w:eastAsia="zh-CN"/>
                    </w:rPr>
                  </w:pPr>
                  <w:r>
                    <w:rPr>
                      <w:rFonts w:eastAsia="宋体"/>
                      <w:bCs/>
                      <w:color w:val="auto"/>
                      <w:szCs w:val="21"/>
                      <w:lang w:val="en-US" w:eastAsia="zh-CN"/>
                    </w:rPr>
                    <w:t>《恶臭污染物排放标准》（GB 14554-1993）表2恶臭污染物排放限值标准</w:t>
                  </w:r>
                </w:p>
              </w:tc>
            </w:tr>
            <w:tr>
              <w:trPr>
                <w:trHeight w:val="23"/>
              </w:trPr>
              <w:tc>
                <w:tcPr>
                  <w:tcW w:w="361" w:type="dxa"/>
                  <w:vMerge/>
                  <w:vAlign w:val="center"/>
                </w:tcPr>
                <w:p/>
              </w:tc>
              <w:tc>
                <w:tcPr>
                  <w:tcW w:w="362" w:type="dxa"/>
                  <w:vMerge/>
                  <w:tcBorders>
                    <w:left w:val="single" w:sz="4" w:space="0" w:color="auto"/>
                  </w:tcBorders>
                  <w:vAlign w:val="center"/>
                </w:tcPr>
                <w:p/>
              </w:tc>
              <w:tc>
                <w:tcPr>
                  <w:tcW w:w="362"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硫化氢</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3.05×10</w:t>
                  </w:r>
                  <w:r>
                    <w:rPr>
                      <w:color w:val="auto"/>
                      <w:vertAlign w:val="superscript"/>
                      <w:lang w:val="en-US" w:eastAsia="zh-CN"/>
                    </w:rPr>
                    <w:t>-4</w:t>
                  </w:r>
                  <w:r>
                    <w:rPr>
                      <w:color w:val="auto"/>
                      <w:lang w:val="en-US" w:eastAsia="zh-CN"/>
                    </w:rPr>
                    <w:t>kg/h</w:t>
                  </w:r>
                </w:p>
              </w:tc>
              <w:tc>
                <w:tcPr>
                  <w:tcW w:w="490" w:type="dxa"/>
                  <w:vMerge/>
                  <w:tcBorders>
                    <w:left w:val="single" w:sz="4" w:space="0" w:color="auto"/>
                  </w:tcBorders>
                  <w:vAlign w:val="center"/>
                </w:tcPr>
                <w:p/>
              </w:tc>
            </w:tr>
            <w:tr>
              <w:trPr>
                <w:trHeight w:val="23"/>
              </w:trPr>
              <w:tc>
                <w:tcPr>
                  <w:tcW w:w="361" w:type="dxa"/>
                  <w:vMerge/>
                  <w:vAlign w:val="center"/>
                </w:tcPr>
                <w:p/>
              </w:tc>
              <w:tc>
                <w:tcPr>
                  <w:tcW w:w="362" w:type="dxa"/>
                  <w:vMerge/>
                  <w:tcBorders>
                    <w:left w:val="single" w:sz="4" w:space="0" w:color="auto"/>
                  </w:tcBorders>
                  <w:vAlign w:val="center"/>
                </w:tcPr>
                <w:p/>
              </w:tc>
              <w:tc>
                <w:tcPr>
                  <w:tcW w:w="362"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臭气浓度</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977（无量纲）</w:t>
                  </w:r>
                </w:p>
              </w:tc>
              <w:tc>
                <w:tcPr>
                  <w:tcW w:w="490" w:type="dxa"/>
                  <w:vMerge/>
                  <w:tcBorders>
                    <w:left w:val="single" w:sz="4" w:space="0" w:color="auto"/>
                  </w:tcBorders>
                  <w:vAlign w:val="center"/>
                </w:tcPr>
                <w:p/>
              </w:tc>
            </w:tr>
            <w:tr>
              <w:trPr>
                <w:trHeight w:val="23"/>
              </w:trPr>
              <w:tc>
                <w:tcPr>
                  <w:tcW w:w="361" w:type="dxa"/>
                  <w:vMerge/>
                  <w:vAlign w:val="center"/>
                </w:tcPr>
                <w:p/>
              </w:tc>
              <w:tc>
                <w:tcPr>
                  <w:tcW w:w="362" w:type="dxa"/>
                  <w:tcBorders>
                    <w:left w:val="single" w:sz="4" w:space="0" w:color="auto"/>
                  </w:tcBorders>
                  <w:vAlign w:val="center"/>
                </w:tcPr>
                <w:p>
                  <w:pPr>
                    <w:pStyle w:val="23"/>
                    <w:bidi w:val="0"/>
                    <w:rPr>
                      <w:color w:val="auto"/>
                      <w:lang w:val="en-US" w:eastAsia="zh-CN"/>
                    </w:rPr>
                  </w:pPr>
                  <w:r>
                    <w:rPr>
                      <w:rFonts w:hint="eastAsia"/>
                      <w:color w:val="auto"/>
                      <w:lang w:val="en-US" w:eastAsia="zh-CN"/>
                    </w:rPr>
                    <w:t>DA004</w:t>
                  </w:r>
                </w:p>
              </w:tc>
              <w:tc>
                <w:tcPr>
                  <w:tcW w:w="362" w:type="dxa"/>
                  <w:tcBorders>
                    <w:left w:val="single" w:sz="4" w:space="0" w:color="auto"/>
                  </w:tcBorders>
                  <w:vAlign w:val="center"/>
                </w:tcPr>
                <w:p>
                  <w:pPr>
                    <w:pStyle w:val="23"/>
                    <w:bidi w:val="0"/>
                    <w:rPr>
                      <w:color w:val="auto"/>
                      <w:lang w:val="en-US" w:eastAsia="zh-CN"/>
                    </w:rPr>
                  </w:pPr>
                  <w:r>
                    <w:rPr>
                      <w:rFonts w:hint="eastAsia"/>
                      <w:color w:val="auto"/>
                      <w:lang w:val="en-US" w:eastAsia="zh-CN"/>
                    </w:rPr>
                    <w:t>油烟</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0.6mg/m³</w:t>
                  </w:r>
                </w:p>
              </w:tc>
              <w:tc>
                <w:tcPr>
                  <w:tcW w:w="490" w:type="dxa"/>
                  <w:tcBorders>
                    <w:left w:val="single" w:sz="4" w:space="0" w:color="auto"/>
                  </w:tcBorders>
                  <w:vAlign w:val="center"/>
                </w:tcPr>
                <w:p>
                  <w:pPr>
                    <w:pStyle w:val="23"/>
                    <w:bidi w:val="0"/>
                    <w:rPr>
                      <w:color w:val="auto"/>
                      <w:lang w:val="en-US" w:eastAsia="zh-CN"/>
                    </w:rPr>
                  </w:pPr>
                  <w:r>
                    <w:rPr>
                      <w:color w:val="auto"/>
                      <w:lang w:val="en-US" w:eastAsia="zh-CN"/>
                    </w:rPr>
                    <w:t>《餐饮业大气污染物排放标准》（DB13/5808-2023）</w:t>
                  </w:r>
                  <w:r>
                    <w:rPr>
                      <w:rFonts w:hint="eastAsia"/>
                      <w:color w:val="auto"/>
                      <w:lang w:val="en-US" w:eastAsia="zh-CN"/>
                    </w:rPr>
                    <w:t>表1小型标准</w:t>
                  </w:r>
                </w:p>
              </w:tc>
            </w:tr>
            <w:tr>
              <w:trPr>
                <w:trHeight w:val="23"/>
              </w:trPr>
              <w:tc>
                <w:tcPr>
                  <w:tcW w:w="361" w:type="dxa"/>
                  <w:vMerge w:val="restart"/>
                  <w:vAlign w:val="center"/>
                </w:tcPr>
                <w:p>
                  <w:pPr>
                    <w:pStyle w:val="23"/>
                    <w:bidi w:val="0"/>
                    <w:rPr>
                      <w:color w:val="auto"/>
                      <w:lang w:val="en-US" w:eastAsia="zh-CN"/>
                    </w:rPr>
                  </w:pPr>
                  <w:r>
                    <w:rPr>
                      <w:rFonts w:hint="eastAsia"/>
                      <w:color w:val="auto"/>
                      <w:lang w:val="en-US" w:eastAsia="zh-CN"/>
                    </w:rPr>
                    <w:t>废水</w:t>
                  </w:r>
                </w:p>
              </w:tc>
              <w:tc>
                <w:tcPr>
                  <w:tcW w:w="362"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DW001</w:t>
                  </w:r>
                </w:p>
              </w:tc>
              <w:tc>
                <w:tcPr>
                  <w:tcW w:w="362" w:type="dxa"/>
                  <w:tcBorders>
                    <w:left w:val="single" w:sz="4" w:space="0" w:color="auto"/>
                  </w:tcBorders>
                  <w:vAlign w:val="center"/>
                </w:tcPr>
                <w:p>
                  <w:pPr>
                    <w:pStyle w:val="23"/>
                    <w:bidi w:val="0"/>
                    <w:rPr>
                      <w:color w:val="auto"/>
                      <w:lang w:val="en-US" w:eastAsia="zh-CN"/>
                    </w:rPr>
                  </w:pPr>
                  <w:r>
                    <w:rPr>
                      <w:color w:val="auto"/>
                      <w:lang w:val="en-US" w:eastAsia="zh-CN"/>
                    </w:rPr>
                    <w:t>pH</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7.2-7.4（无量纲）</w:t>
                  </w:r>
                </w:p>
              </w:tc>
              <w:tc>
                <w:tcPr>
                  <w:tcW w:w="490" w:type="dxa"/>
                  <w:vMerge w:val="restart"/>
                  <w:tcBorders>
                    <w:left w:val="single" w:sz="4" w:space="0" w:color="auto"/>
                  </w:tcBorders>
                  <w:vAlign w:val="center"/>
                </w:tcPr>
                <w:p>
                  <w:pPr>
                    <w:pStyle w:val="23"/>
                    <w:bidi w:val="0"/>
                    <w:rPr>
                      <w:color w:val="auto"/>
                      <w:lang w:val="en-US" w:eastAsia="zh-CN"/>
                    </w:rPr>
                  </w:pPr>
                  <w:r>
                    <w:rPr>
                      <w:color w:val="auto"/>
                      <w:lang w:val="en-US" w:eastAsia="zh-CN"/>
                    </w:rPr>
                    <w:t>《污水综合排放标准》（GB8978-1996）表4中三级标准及德威华泰石家庄市栾城水务有限公司进水水质要求</w:t>
                  </w:r>
                </w:p>
              </w:tc>
            </w:tr>
            <w:tr>
              <w:trPr>
                <w:trHeight w:val="23"/>
              </w:trPr>
              <w:tc>
                <w:tcPr>
                  <w:tcW w:w="361" w:type="dxa"/>
                  <w:vMerge/>
                  <w:vAlign w:val="center"/>
                </w:tcPr>
                <w:p/>
              </w:tc>
              <w:tc>
                <w:tcPr>
                  <w:tcW w:w="362" w:type="dxa"/>
                  <w:vMerge/>
                  <w:tcBorders>
                    <w:left w:val="single" w:sz="4" w:space="0" w:color="auto"/>
                  </w:tcBorders>
                  <w:vAlign w:val="center"/>
                </w:tcPr>
                <w:p/>
              </w:tc>
              <w:tc>
                <w:tcPr>
                  <w:tcW w:w="362"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COD</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106mg/L</w:t>
                  </w:r>
                </w:p>
              </w:tc>
              <w:tc>
                <w:tcPr>
                  <w:tcW w:w="490" w:type="dxa"/>
                  <w:vMerge/>
                  <w:tcBorders>
                    <w:left w:val="single" w:sz="4" w:space="0" w:color="auto"/>
                  </w:tcBorders>
                  <w:vAlign w:val="center"/>
                </w:tcPr>
                <w:p/>
              </w:tc>
            </w:tr>
            <w:tr>
              <w:trPr>
                <w:trHeight w:val="23"/>
              </w:trPr>
              <w:tc>
                <w:tcPr>
                  <w:tcW w:w="361" w:type="dxa"/>
                  <w:vMerge/>
                  <w:vAlign w:val="center"/>
                </w:tcPr>
                <w:p/>
              </w:tc>
              <w:tc>
                <w:tcPr>
                  <w:tcW w:w="362" w:type="dxa"/>
                  <w:vMerge/>
                  <w:tcBorders>
                    <w:left w:val="single" w:sz="4" w:space="0" w:color="auto"/>
                  </w:tcBorders>
                  <w:vAlign w:val="center"/>
                </w:tcPr>
                <w:p/>
              </w:tc>
              <w:tc>
                <w:tcPr>
                  <w:tcW w:w="362" w:type="dxa"/>
                  <w:tcBorders>
                    <w:left w:val="single" w:sz="4" w:space="0" w:color="auto"/>
                  </w:tcBorders>
                  <w:vAlign w:val="center"/>
                </w:tcPr>
                <w:p>
                  <w:pPr>
                    <w:pStyle w:val="23"/>
                    <w:bidi w:val="0"/>
                    <w:rPr>
                      <w:color w:val="auto"/>
                      <w:lang w:val="en-US" w:eastAsia="zh-CN"/>
                    </w:rPr>
                  </w:pPr>
                  <w:r>
                    <w:rPr>
                      <w:rFonts w:hint="eastAsia"/>
                      <w:color w:val="auto"/>
                      <w:lang w:val="en-US" w:eastAsia="zh-CN"/>
                    </w:rPr>
                    <w:t>NH</w:t>
                  </w:r>
                  <w:r>
                    <w:rPr>
                      <w:rFonts w:hint="eastAsia"/>
                      <w:color w:val="auto"/>
                      <w:vertAlign w:val="subscript"/>
                      <w:lang w:val="en-US" w:eastAsia="zh-CN"/>
                    </w:rPr>
                    <w:t>3</w:t>
                  </w:r>
                  <w:r>
                    <w:rPr>
                      <w:rFonts w:hint="eastAsia"/>
                      <w:color w:val="auto"/>
                      <w:lang w:val="en-US" w:eastAsia="zh-CN"/>
                    </w:rPr>
                    <w:t>-N</w:t>
                  </w:r>
                </w:p>
              </w:tc>
              <w:tc>
                <w:tcPr>
                  <w:tcW w:w="425" w:type="dxa"/>
                  <w:tcBorders>
                    <w:left w:val="single" w:sz="4" w:space="0" w:color="auto"/>
                  </w:tcBorders>
                  <w:vAlign w:val="center"/>
                </w:tcPr>
                <w:p>
                  <w:pPr>
                    <w:pStyle w:val="23"/>
                    <w:bidi w:val="0"/>
                    <w:rPr>
                      <w:color w:val="auto"/>
                      <w:lang w:val="en-US" w:eastAsia="zh-CN"/>
                    </w:rPr>
                  </w:pPr>
                  <w:r>
                    <w:rPr>
                      <w:color w:val="auto"/>
                      <w:lang w:val="en-US" w:eastAsia="zh-CN"/>
                    </w:rPr>
                    <w:t>2.46mg/L</w:t>
                  </w:r>
                </w:p>
              </w:tc>
              <w:tc>
                <w:tcPr>
                  <w:tcW w:w="490" w:type="dxa"/>
                  <w:vMerge/>
                  <w:tcBorders>
                    <w:left w:val="single" w:sz="4" w:space="0" w:color="auto"/>
                  </w:tcBorders>
                  <w:vAlign w:val="center"/>
                </w:tcPr>
                <w:p/>
              </w:tc>
            </w:tr>
            <w:tr>
              <w:trPr>
                <w:trHeight w:val="23"/>
              </w:trPr>
              <w:tc>
                <w:tcPr>
                  <w:tcW w:w="361" w:type="dxa"/>
                  <w:vMerge/>
                  <w:vAlign w:val="center"/>
                </w:tcPr>
                <w:p/>
              </w:tc>
              <w:tc>
                <w:tcPr>
                  <w:tcW w:w="362" w:type="dxa"/>
                  <w:vMerge/>
                  <w:tcBorders>
                    <w:left w:val="single" w:sz="4" w:space="0" w:color="auto"/>
                  </w:tcBorders>
                  <w:shd w:val="clear" w:color="auto" w:fill="auto"/>
                  <w:vAlign w:val="center"/>
                </w:tcPr>
                <w:p/>
              </w:tc>
              <w:tc>
                <w:tcPr>
                  <w:tcW w:w="36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BOD</w:t>
                  </w:r>
                  <w:r>
                    <w:rPr>
                      <w:color w:val="auto"/>
                      <w:vertAlign w:val="subscript"/>
                    </w:rPr>
                    <w:t>5</w:t>
                  </w:r>
                </w:p>
              </w:tc>
              <w:tc>
                <w:tcPr>
                  <w:tcW w:w="425"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26.8mg/L</w:t>
                  </w:r>
                </w:p>
              </w:tc>
              <w:tc>
                <w:tcPr>
                  <w:tcW w:w="490" w:type="dxa"/>
                  <w:vMerge/>
                  <w:tcBorders>
                    <w:left w:val="single" w:sz="4" w:space="0" w:color="auto"/>
                  </w:tcBorders>
                  <w:shd w:val="clear" w:color="auto" w:fill="auto"/>
                  <w:vAlign w:val="center"/>
                </w:tcPr>
                <w:p/>
              </w:tc>
            </w:tr>
            <w:tr>
              <w:trPr>
                <w:trHeight w:val="23"/>
              </w:trPr>
              <w:tc>
                <w:tcPr>
                  <w:tcW w:w="361" w:type="dxa"/>
                  <w:vMerge/>
                  <w:vAlign w:val="center"/>
                </w:tcPr>
                <w:p/>
              </w:tc>
              <w:tc>
                <w:tcPr>
                  <w:tcW w:w="362" w:type="dxa"/>
                  <w:vMerge/>
                  <w:tcBorders>
                    <w:left w:val="single" w:sz="4" w:space="0" w:color="auto"/>
                  </w:tcBorders>
                  <w:shd w:val="clear" w:color="auto" w:fill="auto"/>
                  <w:vAlign w:val="center"/>
                </w:tcPr>
                <w:p/>
              </w:tc>
              <w:tc>
                <w:tcPr>
                  <w:tcW w:w="36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SS</w:t>
                  </w:r>
                </w:p>
              </w:tc>
              <w:tc>
                <w:tcPr>
                  <w:tcW w:w="425"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46mg/L</w:t>
                  </w:r>
                </w:p>
              </w:tc>
              <w:tc>
                <w:tcPr>
                  <w:tcW w:w="490" w:type="dxa"/>
                  <w:vMerge/>
                  <w:tcBorders>
                    <w:left w:val="single" w:sz="4" w:space="0" w:color="auto"/>
                  </w:tcBorders>
                  <w:shd w:val="clear" w:color="auto" w:fill="auto"/>
                  <w:vAlign w:val="center"/>
                </w:tcPr>
                <w:p/>
              </w:tc>
            </w:tr>
            <w:tr>
              <w:trPr>
                <w:trHeight w:val="23"/>
              </w:trPr>
              <w:tc>
                <w:tcPr>
                  <w:tcW w:w="361" w:type="dxa"/>
                  <w:vMerge/>
                  <w:vAlign w:val="center"/>
                </w:tcPr>
                <w:p/>
              </w:tc>
              <w:tc>
                <w:tcPr>
                  <w:tcW w:w="362" w:type="dxa"/>
                  <w:vMerge/>
                  <w:tcBorders>
                    <w:left w:val="single" w:sz="4" w:space="0" w:color="auto"/>
                  </w:tcBorders>
                  <w:shd w:val="clear" w:color="auto" w:fill="auto"/>
                  <w:vAlign w:val="center"/>
                </w:tcPr>
                <w:p/>
              </w:tc>
              <w:tc>
                <w:tcPr>
                  <w:tcW w:w="36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TN</w:t>
                  </w:r>
                </w:p>
              </w:tc>
              <w:tc>
                <w:tcPr>
                  <w:tcW w:w="425"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ascii="Times New Roman" w:eastAsia="宋体" w:cs="宋体" w:hAnsi="Times New Roman"/>
                      <w:snapToGrid w:val="0"/>
                      <w:color w:val="auto"/>
                      <w:spacing w:val="4"/>
                      <w:kern w:val="2"/>
                      <w:sz w:val="21"/>
                      <w:szCs w:val="18"/>
                      <w:shd w:val="clear" w:color="auto" w:fill="FFFFFF"/>
                      <w:lang w:val="en-US" w:eastAsia="zh-CN" w:bidi="ar-SA"/>
                    </w:rPr>
                    <w:t>3.95mg/L</w:t>
                  </w:r>
                </w:p>
              </w:tc>
              <w:tc>
                <w:tcPr>
                  <w:tcW w:w="490" w:type="dxa"/>
                  <w:vMerge/>
                  <w:tcBorders>
                    <w:left w:val="single" w:sz="4" w:space="0" w:color="auto"/>
                  </w:tcBorders>
                  <w:shd w:val="clear" w:color="auto" w:fill="auto"/>
                  <w:vAlign w:val="center"/>
                </w:tcPr>
                <w:p/>
              </w:tc>
            </w:tr>
            <w:tr>
              <w:trPr>
                <w:trHeight w:val="23"/>
              </w:trPr>
              <w:tc>
                <w:tcPr>
                  <w:tcW w:w="361" w:type="dxa"/>
                  <w:vMerge/>
                  <w:vAlign w:val="center"/>
                </w:tcPr>
                <w:p/>
              </w:tc>
              <w:tc>
                <w:tcPr>
                  <w:tcW w:w="362" w:type="dxa"/>
                  <w:vMerge/>
                  <w:tcBorders>
                    <w:left w:val="single" w:sz="4" w:space="0" w:color="auto"/>
                  </w:tcBorders>
                  <w:shd w:val="clear" w:color="auto" w:fill="auto"/>
                  <w:vAlign w:val="center"/>
                </w:tcPr>
                <w:p/>
              </w:tc>
              <w:tc>
                <w:tcPr>
                  <w:tcW w:w="36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TP</w:t>
                  </w:r>
                </w:p>
              </w:tc>
              <w:tc>
                <w:tcPr>
                  <w:tcW w:w="425"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ascii="Times New Roman" w:eastAsia="宋体" w:cs="宋体" w:hAnsi="Times New Roman"/>
                      <w:snapToGrid w:val="0"/>
                      <w:color w:val="auto"/>
                      <w:spacing w:val="4"/>
                      <w:kern w:val="2"/>
                      <w:sz w:val="21"/>
                      <w:szCs w:val="18"/>
                      <w:shd w:val="clear" w:color="auto" w:fill="FFFFFF"/>
                      <w:lang w:val="en-US" w:eastAsia="zh-CN" w:bidi="ar-SA"/>
                    </w:rPr>
                    <w:t>0.09mg/L</w:t>
                  </w:r>
                </w:p>
              </w:tc>
              <w:tc>
                <w:tcPr>
                  <w:tcW w:w="490" w:type="dxa"/>
                  <w:vMerge/>
                  <w:tcBorders>
                    <w:left w:val="single" w:sz="4" w:space="0" w:color="auto"/>
                  </w:tcBorders>
                  <w:shd w:val="clear" w:color="auto" w:fill="auto"/>
                  <w:vAlign w:val="center"/>
                </w:tcPr>
                <w:p/>
              </w:tc>
            </w:tr>
            <w:tr>
              <w:trPr>
                <w:trHeight w:val="23"/>
              </w:trPr>
              <w:tc>
                <w:tcPr>
                  <w:tcW w:w="361" w:type="dxa"/>
                  <w:vMerge/>
                  <w:vAlign w:val="center"/>
                </w:tcPr>
                <w:p/>
              </w:tc>
              <w:tc>
                <w:tcPr>
                  <w:tcW w:w="362" w:type="dxa"/>
                  <w:vMerge/>
                  <w:tcBorders>
                    <w:left w:val="single" w:sz="4" w:space="0" w:color="auto"/>
                  </w:tcBorders>
                  <w:shd w:val="clear" w:color="auto" w:fill="auto"/>
                  <w:vAlign w:val="center"/>
                </w:tcPr>
                <w:p/>
              </w:tc>
              <w:tc>
                <w:tcPr>
                  <w:tcW w:w="36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动植物油</w:t>
                  </w:r>
                </w:p>
              </w:tc>
              <w:tc>
                <w:tcPr>
                  <w:tcW w:w="425"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ascii="Times New Roman" w:eastAsia="宋体" w:cs="宋体" w:hAnsi="Times New Roman"/>
                      <w:snapToGrid w:val="0"/>
                      <w:color w:val="auto"/>
                      <w:spacing w:val="4"/>
                      <w:kern w:val="2"/>
                      <w:sz w:val="21"/>
                      <w:szCs w:val="18"/>
                      <w:shd w:val="clear" w:color="auto" w:fill="FFFFFF"/>
                      <w:lang w:val="en-US" w:eastAsia="zh-CN" w:bidi="ar-SA"/>
                    </w:rPr>
                    <w:t>6.28mg/L</w:t>
                  </w:r>
                </w:p>
              </w:tc>
              <w:tc>
                <w:tcPr>
                  <w:tcW w:w="490" w:type="dxa"/>
                  <w:vMerge/>
                  <w:tcBorders>
                    <w:left w:val="single" w:sz="4" w:space="0" w:color="auto"/>
                  </w:tcBorders>
                  <w:shd w:val="clear" w:color="auto" w:fill="auto"/>
                  <w:vAlign w:val="center"/>
                </w:tcPr>
                <w:p/>
              </w:tc>
            </w:tr>
            <w:tr>
              <w:trPr>
                <w:trHeight w:val="23"/>
              </w:trPr>
              <w:tc>
                <w:tcPr>
                  <w:tcW w:w="361" w:type="dxa"/>
                  <w:vMerge/>
                  <w:vAlign w:val="center"/>
                </w:tcPr>
                <w:p/>
              </w:tc>
              <w:tc>
                <w:tcPr>
                  <w:tcW w:w="362" w:type="dxa"/>
                  <w:vMerge/>
                  <w:tcBorders>
                    <w:left w:val="single" w:sz="4" w:space="0" w:color="auto"/>
                  </w:tcBorders>
                  <w:shd w:val="clear" w:color="auto" w:fill="auto"/>
                  <w:vAlign w:val="center"/>
                </w:tcPr>
                <w:p/>
              </w:tc>
              <w:tc>
                <w:tcPr>
                  <w:tcW w:w="362" w:type="dxa"/>
                  <w:tcBorders>
                    <w:left w:val="single" w:sz="4" w:space="0" w:color="auto"/>
                  </w:tcBorders>
                  <w:shd w:val="clear" w:color="auto" w:fill="auto"/>
                  <w:vAlign w:val="center"/>
                </w:tcPr>
                <w:p>
                  <w:pPr>
                    <w:pStyle w:val="23"/>
                    <w:bidi w:val="0"/>
                    <w:ind w:firstLine="0"/>
                    <w:rPr>
                      <w:color w:val="auto"/>
                      <w:lang w:val="en-US" w:eastAsia="zh-CN"/>
                    </w:rPr>
                  </w:pPr>
                  <w:r>
                    <w:rPr>
                      <w:rFonts w:hint="eastAsia"/>
                      <w:color w:val="auto"/>
                      <w:lang w:val="en-US" w:eastAsia="zh-CN"/>
                    </w:rPr>
                    <w:t>色度</w:t>
                  </w:r>
                </w:p>
              </w:tc>
              <w:tc>
                <w:tcPr>
                  <w:tcW w:w="425"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ascii="Times New Roman" w:eastAsia="宋体" w:cs="宋体" w:hAnsi="Times New Roman"/>
                      <w:snapToGrid w:val="0"/>
                      <w:color w:val="auto"/>
                      <w:spacing w:val="4"/>
                      <w:kern w:val="2"/>
                      <w:sz w:val="21"/>
                      <w:szCs w:val="18"/>
                      <w:shd w:val="clear" w:color="auto" w:fill="FFFFFF"/>
                      <w:lang w:val="en-US" w:eastAsia="zh-CN" w:bidi="ar-SA"/>
                    </w:rPr>
                    <w:t>10倍</w:t>
                  </w:r>
                </w:p>
              </w:tc>
              <w:tc>
                <w:tcPr>
                  <w:tcW w:w="490" w:type="dxa"/>
                  <w:vMerge/>
                  <w:tcBorders>
                    <w:left w:val="single" w:sz="4" w:space="0" w:color="auto"/>
                  </w:tcBorders>
                  <w:shd w:val="clear" w:color="auto" w:fill="auto"/>
                  <w:vAlign w:val="center"/>
                </w:tcPr>
                <w:p/>
              </w:tc>
            </w:tr>
          </w:tbl>
          <w:p>
            <w:pPr>
              <w:spacing w:line="360" w:lineRule="auto"/>
              <w:rPr>
                <w:rFonts w:eastAsia="宋体"/>
                <w:bCs/>
                <w:color w:val="auto"/>
                <w:szCs w:val="21"/>
                <w:lang w:val="en-US" w:eastAsia="zh-CN"/>
              </w:rPr>
            </w:pPr>
            <w:r>
              <w:rPr>
                <w:rFonts w:eastAsia="宋体"/>
                <w:bCs/>
                <w:color w:val="auto"/>
                <w:szCs w:val="21"/>
                <w:lang w:val="en-US" w:eastAsia="zh-CN"/>
              </w:rPr>
              <w:t>（3）固体废物</w:t>
            </w:r>
          </w:p>
          <w:p>
            <w:pPr>
              <w:spacing w:line="360" w:lineRule="auto"/>
              <w:rPr>
                <w:rFonts w:eastAsia="宋体"/>
                <w:bCs/>
                <w:color w:val="auto"/>
                <w:szCs w:val="21"/>
                <w:lang w:val="en-US" w:eastAsia="zh-CN"/>
              </w:rPr>
            </w:pPr>
            <w:r>
              <w:rPr>
                <w:rFonts w:eastAsia="宋体"/>
                <w:bCs/>
                <w:color w:val="auto"/>
                <w:szCs w:val="21"/>
                <w:lang w:val="en-US" w:eastAsia="zh-CN"/>
              </w:rPr>
              <w:t>废包装</w:t>
            </w:r>
            <w:r>
              <w:rPr>
                <w:rFonts w:hint="eastAsia"/>
                <w:bCs/>
                <w:color w:val="auto"/>
                <w:szCs w:val="21"/>
                <w:lang w:val="en-US" w:eastAsia="zh-CN"/>
              </w:rPr>
              <w:t>、废布袋</w:t>
            </w:r>
            <w:r>
              <w:rPr>
                <w:rFonts w:eastAsia="宋体"/>
                <w:bCs/>
                <w:color w:val="auto"/>
                <w:szCs w:val="21"/>
                <w:lang w:val="en-US" w:eastAsia="zh-CN"/>
              </w:rPr>
              <w:t>收集后暂存一般固废间，外售综合利用；废反渗透膜由厂家回收；废过滤棉、废活性炭、废润滑油、废润滑油桶、废油墨瓶收集后暂存危废间，定期交由有资质单位处置；污泥</w:t>
            </w:r>
            <w:r>
              <w:rPr>
                <w:rFonts w:hint="eastAsia"/>
                <w:bCs/>
                <w:color w:val="auto"/>
                <w:szCs w:val="21"/>
                <w:lang w:val="en-US" w:eastAsia="zh-CN"/>
              </w:rPr>
              <w:t>、</w:t>
            </w:r>
            <w:r>
              <w:rPr>
                <w:rFonts w:eastAsia="宋体"/>
                <w:bCs/>
                <w:color w:val="auto"/>
                <w:szCs w:val="21"/>
                <w:lang w:val="en-US" w:eastAsia="zh-CN"/>
              </w:rPr>
              <w:t>杂质、浮油、除尘灰、生活垃圾收集后统一由环卫部门处理。</w:t>
            </w:r>
          </w:p>
          <w:p>
            <w:pPr>
              <w:spacing w:line="360" w:lineRule="auto"/>
              <w:rPr>
                <w:rFonts w:eastAsia="宋体"/>
                <w:bCs/>
                <w:color w:val="auto"/>
                <w:szCs w:val="21"/>
                <w:lang w:val="en-US" w:eastAsia="zh-CN"/>
              </w:rPr>
            </w:pPr>
            <w:r>
              <w:rPr>
                <w:rFonts w:eastAsia="宋体"/>
                <w:bCs/>
                <w:color w:val="auto"/>
                <w:szCs w:val="21"/>
                <w:lang w:val="en-US" w:eastAsia="zh-CN"/>
              </w:rPr>
              <w:t>（4）噪声</w:t>
            </w:r>
          </w:p>
          <w:p>
            <w:pPr>
              <w:spacing w:line="360" w:lineRule="auto"/>
              <w:rPr>
                <w:rFonts w:eastAsia="宋体"/>
                <w:bCs/>
                <w:color w:val="auto"/>
                <w:szCs w:val="21"/>
                <w:lang w:val="en-US" w:eastAsia="zh-CN"/>
              </w:rPr>
            </w:pPr>
            <w:r>
              <w:rPr>
                <w:rFonts w:eastAsia="宋体"/>
                <w:bCs/>
                <w:color w:val="auto"/>
                <w:szCs w:val="21"/>
                <w:lang w:val="en-US" w:eastAsia="zh-CN"/>
              </w:rPr>
              <w:t>东、南、西厂界昼间噪声值范围为53.4dB(A)-64.5dB(A)，均符合《工业企业厂界环境噪声排放标准》（GB12348-2008）表1中3类标准。</w:t>
            </w:r>
          </w:p>
          <w:p>
            <w:pPr>
              <w:spacing w:line="360" w:lineRule="auto"/>
              <w:rPr>
                <w:rFonts w:eastAsia="宋体"/>
                <w:bCs/>
                <w:color w:val="auto"/>
                <w:szCs w:val="21"/>
                <w:lang w:val="en-US" w:eastAsia="zh-CN"/>
              </w:rPr>
            </w:pPr>
            <w:r>
              <w:rPr>
                <w:rFonts w:eastAsia="宋体"/>
                <w:bCs/>
                <w:color w:val="auto"/>
                <w:szCs w:val="21"/>
                <w:lang w:val="en-US" w:eastAsia="zh-CN"/>
              </w:rPr>
              <w:t>2、现有工程污染物排放量</w:t>
            </w:r>
          </w:p>
          <w:p>
            <w:pPr>
              <w:spacing w:line="360" w:lineRule="auto"/>
              <w:rPr>
                <w:rFonts w:eastAsia="宋体"/>
                <w:bCs/>
                <w:color w:val="auto"/>
                <w:szCs w:val="21"/>
                <w:lang w:val="en-US" w:eastAsia="zh-CN"/>
              </w:rPr>
            </w:pPr>
            <w:r>
              <w:rPr>
                <w:rFonts w:eastAsia="宋体"/>
                <w:bCs/>
                <w:color w:val="auto"/>
                <w:szCs w:val="21"/>
                <w:lang w:val="en-US" w:eastAsia="zh-CN"/>
              </w:rPr>
              <w:t>根据企业自行检测报告数据计算，企业现有污染物排放情况见</w:t>
            </w:r>
            <w:r>
              <w:rPr>
                <w:rFonts w:hint="eastAsia"/>
                <w:bCs/>
                <w:color w:val="auto"/>
                <w:szCs w:val="21"/>
                <w:lang w:val="en-US" w:eastAsia="zh-CN"/>
              </w:rPr>
              <w:t>下</w:t>
            </w:r>
            <w:r>
              <w:rPr>
                <w:rFonts w:eastAsia="宋体"/>
                <w:bCs/>
                <w:color w:val="auto"/>
                <w:szCs w:val="21"/>
                <w:lang w:val="en-US" w:eastAsia="zh-CN"/>
              </w:rPr>
              <w:t>表</w:t>
            </w:r>
            <w:r>
              <w:rPr>
                <w:rFonts w:hint="eastAsia"/>
                <w:bCs/>
                <w:color w:val="auto"/>
                <w:szCs w:val="21"/>
                <w:lang w:val="en-US" w:eastAsia="zh-CN"/>
              </w:rPr>
              <w:t>。</w:t>
            </w:r>
          </w:p>
          <w:p>
            <w:pPr>
              <w:pStyle w:val="24"/>
              <w:bidi w:val="0"/>
              <w:rPr>
                <w:color w:val="auto"/>
                <w:lang w:val="en-US" w:eastAsia="zh-CN"/>
              </w:rPr>
            </w:pPr>
            <w:r>
              <w:rPr>
                <w:color w:val="auto"/>
                <w:lang w:val="en-US" w:eastAsia="zh-CN"/>
              </w:rPr>
              <w:t>表2-</w:t>
            </w:r>
            <w:r>
              <w:rPr>
                <w:rFonts w:hint="eastAsia"/>
                <w:color w:val="auto"/>
                <w:lang w:val="en-US" w:eastAsia="zh-CN"/>
              </w:rPr>
              <w:t>10</w:t>
            </w:r>
            <w:r>
              <w:rPr>
                <w:color w:val="auto"/>
                <w:lang w:val="en-US" w:eastAsia="zh-CN"/>
              </w:rPr>
              <w:t xml:space="preserve">  现有工程污染物排放情况一览表</w:t>
            </w:r>
          </w:p>
          <w:tbl>
            <w:tblPr>
              <w:jc w:val="left"/>
              <w:tblInd w:w="0" w:type="dxa"/>
              <w:tblW w:w="48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567"/>
              <w:gridCol w:w="2568"/>
              <w:gridCol w:w="3001"/>
            </w:tblGrid>
            <w:tr>
              <w:trPr>
                <w:trHeight w:val="23"/>
              </w:trPr>
              <w:tc>
                <w:tcPr>
                  <w:tcW w:w="1577" w:type="pct"/>
                  <w:vAlign w:val="center"/>
                </w:tcPr>
                <w:p>
                  <w:pPr>
                    <w:pStyle w:val="23"/>
                    <w:bidi w:val="0"/>
                    <w:rPr>
                      <w:color w:val="auto"/>
                      <w:lang w:val="en-US" w:eastAsia="zh-CN"/>
                    </w:rPr>
                  </w:pPr>
                  <w:r>
                    <w:rPr>
                      <w:color w:val="auto"/>
                      <w:lang w:val="en-US" w:eastAsia="zh-CN"/>
                    </w:rPr>
                    <w:t>污染物类别</w:t>
                  </w:r>
                </w:p>
              </w:tc>
              <w:tc>
                <w:tcPr>
                  <w:tcW w:w="1578" w:type="pct"/>
                  <w:vAlign w:val="center"/>
                </w:tcPr>
                <w:p>
                  <w:pPr>
                    <w:pStyle w:val="23"/>
                    <w:bidi w:val="0"/>
                    <w:rPr>
                      <w:color w:val="auto"/>
                      <w:lang w:val="en-US" w:eastAsia="zh-CN"/>
                    </w:rPr>
                  </w:pPr>
                  <w:r>
                    <w:rPr>
                      <w:color w:val="auto"/>
                      <w:lang w:val="en-US" w:eastAsia="zh-CN"/>
                    </w:rPr>
                    <w:t>污染物名称</w:t>
                  </w:r>
                </w:p>
              </w:tc>
              <w:tc>
                <w:tcPr>
                  <w:tcW w:w="1844" w:type="pct"/>
                  <w:vAlign w:val="center"/>
                </w:tcPr>
                <w:p>
                  <w:pPr>
                    <w:pStyle w:val="23"/>
                    <w:bidi w:val="0"/>
                    <w:rPr>
                      <w:color w:val="auto"/>
                      <w:lang w:val="en-US" w:eastAsia="zh-CN"/>
                    </w:rPr>
                  </w:pPr>
                  <w:r>
                    <w:rPr>
                      <w:color w:val="auto"/>
                      <w:lang w:val="en-US" w:eastAsia="zh-CN"/>
                    </w:rPr>
                    <w:t>排放量（t/a）</w:t>
                  </w:r>
                </w:p>
              </w:tc>
            </w:tr>
            <w:tr>
              <w:trPr>
                <w:trHeight w:val="23"/>
              </w:trPr>
              <w:tc>
                <w:tcPr>
                  <w:tcW w:w="1577" w:type="pct"/>
                  <w:vMerge w:val="restart"/>
                  <w:vAlign w:val="center"/>
                </w:tcPr>
                <w:p>
                  <w:pPr>
                    <w:pStyle w:val="23"/>
                    <w:bidi w:val="0"/>
                    <w:rPr>
                      <w:color w:val="auto"/>
                      <w:lang w:val="en-US" w:eastAsia="zh-CN"/>
                    </w:rPr>
                  </w:pPr>
                  <w:r>
                    <w:rPr>
                      <w:color w:val="auto"/>
                      <w:lang w:val="en-US" w:eastAsia="zh-CN"/>
                    </w:rPr>
                    <w:t>废气</w:t>
                  </w:r>
                </w:p>
              </w:tc>
              <w:tc>
                <w:tcPr>
                  <w:tcW w:w="1578" w:type="pct"/>
                  <w:tcBorders>
                    <w:left w:val="single" w:sz="4" w:space="0" w:color="auto"/>
                  </w:tcBorders>
                  <w:vAlign w:val="center"/>
                </w:tcPr>
                <w:p>
                  <w:pPr>
                    <w:pStyle w:val="23"/>
                    <w:bidi w:val="0"/>
                    <w:rPr>
                      <w:color w:val="auto"/>
                      <w:lang w:val="en-US" w:eastAsia="zh-CN"/>
                    </w:rPr>
                  </w:pPr>
                  <w:r>
                    <w:rPr>
                      <w:color w:val="auto"/>
                      <w:lang w:val="en-US" w:eastAsia="zh-CN"/>
                    </w:rPr>
                    <w:t>非甲烷总烃</w:t>
                  </w:r>
                </w:p>
              </w:tc>
              <w:tc>
                <w:tcPr>
                  <w:tcW w:w="1844" w:type="pct"/>
                  <w:tcBorders>
                    <w:left w:val="single" w:sz="4" w:space="0" w:color="auto"/>
                  </w:tcBorders>
                  <w:vAlign w:val="center"/>
                </w:tcPr>
                <w:p>
                  <w:pPr>
                    <w:pStyle w:val="23"/>
                    <w:bidi w:val="0"/>
                    <w:rPr>
                      <w:color w:val="auto"/>
                      <w:lang w:val="en-US" w:eastAsia="zh-CN"/>
                    </w:rPr>
                  </w:pPr>
                  <w:r>
                    <w:rPr>
                      <w:color w:val="auto"/>
                      <w:lang w:val="en-US" w:eastAsia="zh-CN"/>
                    </w:rPr>
                    <w:t>0.055</w:t>
                  </w:r>
                </w:p>
              </w:tc>
            </w:tr>
            <w:tr>
              <w:trPr>
                <w:trHeight w:val="23"/>
              </w:trPr>
              <w:tc>
                <w:tcPr>
                  <w:tcW w:w="1577" w:type="pct"/>
                  <w:vMerge/>
                  <w:vAlign w:val="center"/>
                </w:tcPr>
                <w:p/>
              </w:tc>
              <w:tc>
                <w:tcPr>
                  <w:tcW w:w="1578" w:type="pct"/>
                  <w:tcBorders>
                    <w:left w:val="single" w:sz="4" w:space="0" w:color="auto"/>
                  </w:tcBorders>
                  <w:vAlign w:val="center"/>
                </w:tcPr>
                <w:p>
                  <w:pPr>
                    <w:pStyle w:val="23"/>
                    <w:bidi w:val="0"/>
                    <w:rPr>
                      <w:color w:val="auto"/>
                      <w:lang w:val="en-US" w:eastAsia="zh-CN"/>
                    </w:rPr>
                  </w:pPr>
                  <w:r>
                    <w:rPr>
                      <w:color w:val="auto"/>
                      <w:lang w:val="en-US" w:eastAsia="zh-CN"/>
                    </w:rPr>
                    <w:t>颗粒物</w:t>
                  </w:r>
                </w:p>
              </w:tc>
              <w:tc>
                <w:tcPr>
                  <w:tcW w:w="1844" w:type="pct"/>
                  <w:tcBorders>
                    <w:left w:val="single" w:sz="4" w:space="0" w:color="auto"/>
                  </w:tcBorders>
                  <w:vAlign w:val="center"/>
                </w:tcPr>
                <w:p>
                  <w:pPr>
                    <w:pStyle w:val="23"/>
                    <w:bidi w:val="0"/>
                    <w:rPr>
                      <w:color w:val="auto"/>
                      <w:lang w:val="en-US" w:eastAsia="zh-CN"/>
                    </w:rPr>
                  </w:pPr>
                  <w:r>
                    <w:rPr>
                      <w:color w:val="auto"/>
                      <w:lang w:val="en-US" w:eastAsia="zh-CN"/>
                    </w:rPr>
                    <w:t>0.033</w:t>
                  </w:r>
                </w:p>
              </w:tc>
            </w:tr>
            <w:tr>
              <w:trPr>
                <w:trHeight w:val="23"/>
              </w:trPr>
              <w:tc>
                <w:tcPr>
                  <w:tcW w:w="1577" w:type="pct"/>
                  <w:vMerge/>
                  <w:vAlign w:val="center"/>
                </w:tcPr>
                <w:p/>
              </w:tc>
              <w:tc>
                <w:tcPr>
                  <w:tcW w:w="1578" w:type="pct"/>
                  <w:tcBorders>
                    <w:left w:val="single" w:sz="4" w:space="0" w:color="auto"/>
                  </w:tcBorders>
                  <w:vAlign w:val="center"/>
                </w:tcPr>
                <w:p>
                  <w:pPr>
                    <w:pStyle w:val="23"/>
                    <w:bidi w:val="0"/>
                    <w:rPr>
                      <w:color w:val="auto"/>
                      <w:lang w:val="en-US" w:eastAsia="zh-CN"/>
                    </w:rPr>
                  </w:pPr>
                  <w:r>
                    <w:rPr>
                      <w:color w:val="auto"/>
                      <w:lang w:val="en-US" w:eastAsia="zh-CN"/>
                    </w:rPr>
                    <w:t>硫化氢</w:t>
                  </w:r>
                </w:p>
              </w:tc>
              <w:tc>
                <w:tcPr>
                  <w:tcW w:w="1844" w:type="pct"/>
                  <w:tcBorders>
                    <w:left w:val="single" w:sz="4" w:space="0" w:color="auto"/>
                  </w:tcBorders>
                  <w:vAlign w:val="center"/>
                </w:tcPr>
                <w:p>
                  <w:pPr>
                    <w:pStyle w:val="23"/>
                    <w:bidi w:val="0"/>
                    <w:rPr>
                      <w:color w:val="auto"/>
                      <w:lang w:val="en-US" w:eastAsia="zh-CN"/>
                    </w:rPr>
                  </w:pPr>
                  <w:r>
                    <w:rPr>
                      <w:color w:val="auto"/>
                      <w:lang w:val="en-US" w:eastAsia="zh-CN"/>
                    </w:rPr>
                    <w:t>0.00</w:t>
                  </w:r>
                  <w:r>
                    <w:rPr>
                      <w:rFonts w:hint="eastAsia"/>
                      <w:color w:val="auto"/>
                      <w:lang w:val="en-US" w:eastAsia="zh-CN"/>
                    </w:rPr>
                    <w:t>0</w:t>
                  </w:r>
                  <w:r>
                    <w:rPr>
                      <w:color w:val="auto"/>
                      <w:lang w:val="en-US" w:eastAsia="zh-CN"/>
                    </w:rPr>
                    <w:t>1</w:t>
                  </w:r>
                </w:p>
              </w:tc>
            </w:tr>
            <w:tr>
              <w:trPr>
                <w:trHeight w:val="23"/>
              </w:trPr>
              <w:tc>
                <w:tcPr>
                  <w:tcW w:w="1577" w:type="pct"/>
                  <w:vMerge/>
                  <w:vAlign w:val="center"/>
                </w:tcPr>
                <w:p/>
              </w:tc>
              <w:tc>
                <w:tcPr>
                  <w:tcW w:w="1578" w:type="pct"/>
                  <w:tcBorders>
                    <w:left w:val="single" w:sz="4" w:space="0" w:color="auto"/>
                  </w:tcBorders>
                  <w:vAlign w:val="center"/>
                </w:tcPr>
                <w:p>
                  <w:pPr>
                    <w:pStyle w:val="23"/>
                    <w:bidi w:val="0"/>
                    <w:rPr>
                      <w:color w:val="auto"/>
                      <w:lang w:val="en-US" w:eastAsia="zh-CN"/>
                    </w:rPr>
                  </w:pPr>
                  <w:r>
                    <w:rPr>
                      <w:rFonts w:hint="eastAsia"/>
                      <w:color w:val="auto"/>
                      <w:lang w:val="en-US" w:eastAsia="zh-CN"/>
                    </w:rPr>
                    <w:t>氨</w:t>
                  </w:r>
                </w:p>
              </w:tc>
              <w:tc>
                <w:tcPr>
                  <w:tcW w:w="1844" w:type="pct"/>
                  <w:tcBorders>
                    <w:left w:val="single" w:sz="4" w:space="0" w:color="auto"/>
                  </w:tcBorders>
                  <w:vAlign w:val="center"/>
                </w:tcPr>
                <w:p>
                  <w:pPr>
                    <w:pStyle w:val="23"/>
                    <w:bidi w:val="0"/>
                    <w:rPr>
                      <w:color w:val="auto"/>
                      <w:lang w:val="en-US" w:eastAsia="zh-CN"/>
                    </w:rPr>
                  </w:pPr>
                  <w:r>
                    <w:rPr>
                      <w:color w:val="auto"/>
                      <w:lang w:val="en-US" w:eastAsia="zh-CN"/>
                    </w:rPr>
                    <w:t>0.029</w:t>
                  </w:r>
                </w:p>
              </w:tc>
            </w:tr>
            <w:tr>
              <w:trPr>
                <w:trHeight w:val="23"/>
              </w:trPr>
              <w:tc>
                <w:tcPr>
                  <w:tcW w:w="1577" w:type="pct"/>
                  <w:vMerge w:val="restart"/>
                  <w:vAlign w:val="center"/>
                </w:tcPr>
                <w:p>
                  <w:pPr>
                    <w:pStyle w:val="23"/>
                    <w:bidi w:val="0"/>
                    <w:rPr>
                      <w:color w:val="auto"/>
                      <w:lang w:val="en-US" w:eastAsia="zh-CN"/>
                    </w:rPr>
                  </w:pPr>
                  <w:r>
                    <w:rPr>
                      <w:rFonts w:hint="eastAsia"/>
                      <w:color w:val="auto"/>
                      <w:lang w:val="en-US" w:eastAsia="zh-CN"/>
                    </w:rPr>
                    <w:t>废水</w:t>
                  </w:r>
                </w:p>
              </w:tc>
              <w:tc>
                <w:tcPr>
                  <w:tcW w:w="1578" w:type="pct"/>
                  <w:tcBorders>
                    <w:left w:val="single" w:sz="4" w:space="0" w:color="auto"/>
                  </w:tcBorders>
                  <w:vAlign w:val="center"/>
                </w:tcPr>
                <w:p>
                  <w:pPr>
                    <w:pStyle w:val="23"/>
                    <w:bidi w:val="0"/>
                    <w:rPr>
                      <w:color w:val="auto"/>
                      <w:lang w:val="en-US" w:eastAsia="zh-CN"/>
                    </w:rPr>
                  </w:pPr>
                  <w:r>
                    <w:rPr>
                      <w:rFonts w:hint="eastAsia"/>
                      <w:color w:val="auto"/>
                      <w:lang w:val="en-US" w:eastAsia="zh-CN"/>
                    </w:rPr>
                    <w:t>COD</w:t>
                  </w:r>
                </w:p>
              </w:tc>
              <w:tc>
                <w:tcPr>
                  <w:tcW w:w="1844" w:type="pct"/>
                  <w:tcBorders>
                    <w:left w:val="single" w:sz="4" w:space="0" w:color="auto"/>
                  </w:tcBorders>
                  <w:vAlign w:val="center"/>
                </w:tcPr>
                <w:p>
                  <w:pPr>
                    <w:pStyle w:val="23"/>
                    <w:bidi w:val="0"/>
                    <w:rPr>
                      <w:color w:val="auto"/>
                      <w:lang w:val="en-US" w:eastAsia="zh-CN"/>
                    </w:rPr>
                  </w:pPr>
                  <w:r>
                    <w:rPr>
                      <w:color w:val="auto"/>
                      <w:lang w:val="en-US" w:eastAsia="zh-CN"/>
                    </w:rPr>
                    <w:t>1.423</w:t>
                  </w:r>
                </w:p>
              </w:tc>
            </w:tr>
            <w:tr>
              <w:trPr>
                <w:trHeight w:val="23"/>
              </w:trPr>
              <w:tc>
                <w:tcPr>
                  <w:tcW w:w="1577" w:type="pct"/>
                  <w:vMerge/>
                  <w:vAlign w:val="center"/>
                </w:tcPr>
                <w:p/>
              </w:tc>
              <w:tc>
                <w:tcPr>
                  <w:tcW w:w="1578" w:type="pct"/>
                  <w:tcBorders>
                    <w:left w:val="single" w:sz="4" w:space="0" w:color="auto"/>
                  </w:tcBorders>
                  <w:vAlign w:val="center"/>
                </w:tcPr>
                <w:p>
                  <w:pPr>
                    <w:pStyle w:val="23"/>
                    <w:bidi w:val="0"/>
                    <w:rPr>
                      <w:color w:val="auto"/>
                      <w:lang w:val="en-US" w:eastAsia="zh-CN"/>
                    </w:rPr>
                  </w:pPr>
                  <w:r>
                    <w:rPr>
                      <w:rFonts w:hint="eastAsia"/>
                      <w:color w:val="auto"/>
                      <w:lang w:val="en-US" w:eastAsia="zh-CN"/>
                    </w:rPr>
                    <w:t>NH</w:t>
                  </w:r>
                  <w:r>
                    <w:rPr>
                      <w:rFonts w:hint="eastAsia"/>
                      <w:color w:val="auto"/>
                      <w:vertAlign w:val="subscript"/>
                      <w:lang w:val="en-US" w:eastAsia="zh-CN"/>
                    </w:rPr>
                    <w:t>3</w:t>
                  </w:r>
                  <w:r>
                    <w:rPr>
                      <w:rFonts w:hint="eastAsia"/>
                      <w:color w:val="auto"/>
                      <w:lang w:val="en-US" w:eastAsia="zh-CN"/>
                    </w:rPr>
                    <w:t>-N</w:t>
                  </w:r>
                </w:p>
              </w:tc>
              <w:tc>
                <w:tcPr>
                  <w:tcW w:w="1844" w:type="pct"/>
                  <w:tcBorders>
                    <w:left w:val="single" w:sz="4" w:space="0" w:color="auto"/>
                  </w:tcBorders>
                  <w:vAlign w:val="center"/>
                </w:tcPr>
                <w:p>
                  <w:pPr>
                    <w:pStyle w:val="23"/>
                    <w:bidi w:val="0"/>
                    <w:rPr>
                      <w:color w:val="auto"/>
                      <w:lang w:val="en-US" w:eastAsia="zh-CN"/>
                    </w:rPr>
                  </w:pPr>
                  <w:r>
                    <w:rPr>
                      <w:color w:val="auto"/>
                      <w:lang w:val="en-US" w:eastAsia="zh-CN"/>
                    </w:rPr>
                    <w:t>0.033</w:t>
                  </w:r>
                </w:p>
              </w:tc>
            </w:tr>
            <w:tr>
              <w:trPr>
                <w:trHeight w:val="23"/>
              </w:trPr>
              <w:tc>
                <w:tcPr>
                  <w:tcW w:w="1577" w:type="pct"/>
                  <w:vMerge/>
                  <w:vAlign w:val="center"/>
                </w:tcPr>
                <w:p/>
              </w:tc>
              <w:tc>
                <w:tcPr>
                  <w:tcW w:w="157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BOD</w:t>
                  </w:r>
                  <w:r>
                    <w:rPr>
                      <w:color w:val="auto"/>
                      <w:vertAlign w:val="subscript"/>
                    </w:rPr>
                    <w:t>5</w:t>
                  </w:r>
                </w:p>
              </w:tc>
              <w:tc>
                <w:tcPr>
                  <w:tcW w:w="184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0.251</w:t>
                  </w:r>
                </w:p>
              </w:tc>
            </w:tr>
            <w:tr>
              <w:trPr>
                <w:trHeight w:val="23"/>
              </w:trPr>
              <w:tc>
                <w:tcPr>
                  <w:tcW w:w="1577" w:type="pct"/>
                  <w:vMerge/>
                  <w:vAlign w:val="center"/>
                </w:tcPr>
                <w:p/>
              </w:tc>
              <w:tc>
                <w:tcPr>
                  <w:tcW w:w="157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SS</w:t>
                  </w:r>
                </w:p>
              </w:tc>
              <w:tc>
                <w:tcPr>
                  <w:tcW w:w="184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0.431</w:t>
                  </w:r>
                </w:p>
              </w:tc>
            </w:tr>
            <w:tr>
              <w:trPr>
                <w:trHeight w:val="23"/>
              </w:trPr>
              <w:tc>
                <w:tcPr>
                  <w:tcW w:w="1577" w:type="pct"/>
                  <w:vMerge/>
                  <w:vAlign w:val="center"/>
                </w:tcPr>
                <w:p/>
              </w:tc>
              <w:tc>
                <w:tcPr>
                  <w:tcW w:w="157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TN</w:t>
                  </w:r>
                </w:p>
              </w:tc>
              <w:tc>
                <w:tcPr>
                  <w:tcW w:w="1844" w:type="pct"/>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0.037</w:t>
                  </w:r>
                </w:p>
              </w:tc>
            </w:tr>
            <w:tr>
              <w:trPr>
                <w:trHeight w:val="23"/>
              </w:trPr>
              <w:tc>
                <w:tcPr>
                  <w:tcW w:w="1577" w:type="pct"/>
                  <w:vMerge/>
                  <w:vAlign w:val="center"/>
                </w:tcPr>
                <w:p/>
              </w:tc>
              <w:tc>
                <w:tcPr>
                  <w:tcW w:w="157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TP</w:t>
                  </w:r>
                </w:p>
              </w:tc>
              <w:tc>
                <w:tcPr>
                  <w:tcW w:w="1844" w:type="pct"/>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0.001</w:t>
                  </w:r>
                </w:p>
              </w:tc>
            </w:tr>
            <w:tr>
              <w:trPr>
                <w:trHeight w:val="23"/>
              </w:trPr>
              <w:tc>
                <w:tcPr>
                  <w:tcW w:w="1577" w:type="pct"/>
                  <w:vMerge/>
                  <w:vAlign w:val="center"/>
                </w:tcPr>
                <w:p/>
              </w:tc>
              <w:tc>
                <w:tcPr>
                  <w:tcW w:w="157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动植物油</w:t>
                  </w:r>
                </w:p>
              </w:tc>
              <w:tc>
                <w:tcPr>
                  <w:tcW w:w="1844" w:type="pct"/>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0.059</w:t>
                  </w:r>
                </w:p>
              </w:tc>
            </w:tr>
          </w:tbl>
          <w:p>
            <w:pPr>
              <w:spacing w:line="360" w:lineRule="auto"/>
              <w:rPr>
                <w:rFonts w:eastAsia="宋体"/>
                <w:bCs/>
                <w:color w:val="auto"/>
                <w:szCs w:val="21"/>
                <w:lang w:val="en-US" w:eastAsia="zh-CN"/>
                <w:highlight w:val="none"/>
              </w:rPr>
            </w:pPr>
            <w:r>
              <w:rPr>
                <w:rFonts w:hint="eastAsia"/>
                <w:bCs/>
                <w:color w:val="auto"/>
                <w:szCs w:val="21"/>
                <w:lang w:val="en-US" w:eastAsia="zh-CN"/>
                <w:highlight w:val="none"/>
              </w:rPr>
              <w:t>各污染物排放量满足现有环评总量指标。</w:t>
            </w:r>
          </w:p>
          <w:p>
            <w:pPr>
              <w:spacing w:line="360" w:lineRule="auto"/>
              <w:rPr>
                <w:rFonts w:eastAsia="宋体"/>
                <w:bCs/>
                <w:color w:val="auto"/>
                <w:szCs w:val="21"/>
                <w:lang w:val="en-US" w:eastAsia="zh-CN"/>
                <w:highlight w:val="none"/>
              </w:rPr>
            </w:pPr>
            <w:r>
              <w:rPr>
                <w:rFonts w:eastAsia="宋体"/>
                <w:bCs/>
                <w:color w:val="auto"/>
                <w:szCs w:val="21"/>
                <w:lang w:val="en-US" w:eastAsia="zh-CN"/>
                <w:highlight w:val="none"/>
              </w:rPr>
              <w:t>四、现有工程主要环境问题及整改措施</w:t>
            </w:r>
          </w:p>
          <w:p>
            <w:pPr>
              <w:spacing w:line="360" w:lineRule="auto"/>
              <w:rPr>
                <w:rFonts w:eastAsia="宋体"/>
                <w:bCs/>
                <w:color w:val="auto"/>
                <w:szCs w:val="21"/>
                <w:lang w:val="en-US" w:eastAsia="zh-CN"/>
              </w:rPr>
            </w:pPr>
            <w:r>
              <w:rPr>
                <w:rFonts w:hint="eastAsia"/>
                <w:bCs/>
                <w:color w:val="auto"/>
                <w:szCs w:val="21"/>
                <w:lang w:val="en-US" w:eastAsia="zh-CN"/>
              </w:rPr>
              <w:t>综合</w:t>
            </w:r>
            <w:r>
              <w:rPr>
                <w:rFonts w:eastAsia="宋体"/>
                <w:bCs/>
                <w:color w:val="auto"/>
                <w:szCs w:val="21"/>
                <w:lang w:val="en-US" w:eastAsia="zh-CN"/>
              </w:rPr>
              <w:t>现场调查结果，项目废气及噪声治理措施合理，各污染物均能实现达标排放，固体废物均得到合理处置，满足现行环保要求</w:t>
            </w:r>
            <w:r>
              <w:rPr>
                <w:rFonts w:hint="eastAsia"/>
                <w:bCs/>
                <w:color w:val="auto"/>
                <w:szCs w:val="21"/>
                <w:lang w:val="en-US" w:eastAsia="zh-CN"/>
              </w:rPr>
              <w:t>，无现有工程环境问题</w:t>
            </w:r>
            <w:r>
              <w:rPr>
                <w:rFonts w:eastAsia="宋体"/>
                <w:bCs/>
                <w:color w:val="auto"/>
                <w:szCs w:val="21"/>
                <w:lang w:val="en-US" w:eastAsia="zh-CN"/>
              </w:rPr>
              <w:t>。</w:t>
            </w:r>
          </w:p>
        </w:tc>
      </w:tr>
    </w:tbl>
    <w:p>
      <w:pPr>
        <w:jc w:val="center"/>
        <w:rPr>
          <w:rFonts w:ascii="Times New Roman" w:eastAsia="黑体" w:hAnsi="Times New Roman"/>
          <w:snapToGrid w:val="0"/>
          <w:color w:val="auto"/>
          <w:sz w:val="36"/>
          <w:szCs w:val="36"/>
        </w:rPr>
        <w:sectPr>
          <w:pgSz w:w="11906" w:h="16838"/>
          <w:pgMar w:top="1417" w:right="1417" w:bottom="1417" w:left="1417" w:header="851" w:footer="851" w:gutter="0"/>
          <w:pgNumType/>
          <w:cols w:num="1" w:space="720"/>
          <w:docGrid w:linePitch="312" w:charSpace="0"/>
        </w:sectPr>
      </w:pPr>
    </w:p>
    <w:p>
      <w:pPr>
        <w:jc w:val="center"/>
        <w:outlineLvl w:val="0"/>
        <w:rPr>
          <w:rFonts w:ascii="Times New Roman" w:eastAsia="黑体" w:hAnsi="Times New Roman"/>
          <w:b/>
          <w:bCs/>
          <w:snapToGrid w:val="0"/>
          <w:color w:val="auto"/>
          <w:sz w:val="30"/>
          <w:szCs w:val="30"/>
        </w:rPr>
      </w:pPr>
      <w:r>
        <w:rPr>
          <w:rFonts w:ascii="Times New Roman" w:eastAsia="黑体" w:hAnsi="Times New Roman"/>
          <w:b/>
          <w:bCs/>
          <w:snapToGrid w:val="0"/>
          <w:color w:val="auto"/>
          <w:sz w:val="30"/>
          <w:szCs w:val="30"/>
        </w:rPr>
        <w:t>三、区域环境质量现状、环境保护目标及评价标准</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526"/>
        <w:gridCol w:w="8758"/>
      </w:tblGrid>
      <w:tr>
        <w:trPr>
          <w:trHeight w:val="2715"/>
        </w:trPr>
        <w:tc>
          <w:tcPr>
            <w:tcW w:w="28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kern w:val="0"/>
                <w:szCs w:val="21"/>
              </w:rPr>
            </w:pPr>
            <w:r>
              <w:rPr>
                <w:color w:val="auto"/>
                <w:kern w:val="0"/>
                <w:sz w:val="24"/>
              </w:rPr>
              <w:t>区域环境质量现状</w:t>
            </w:r>
          </w:p>
        </w:tc>
        <w:tc>
          <w:tcPr>
            <w:tcW w:w="4716" w:type="pct"/>
            <w:vAlign w:val="center"/>
          </w:tcPr>
          <w:p>
            <w:pPr>
              <w:spacing w:line="480" w:lineRule="exact"/>
              <w:ind w:firstLineChars="200" w:firstLine="480"/>
              <w:rPr>
                <w:b/>
                <w:bCs/>
                <w:color w:val="auto"/>
                <w:kern w:val="0"/>
                <w:sz w:val="24"/>
              </w:rPr>
            </w:pPr>
            <w:r>
              <w:rPr>
                <w:b/>
                <w:bCs/>
                <w:color w:val="auto"/>
                <w:kern w:val="0"/>
                <w:sz w:val="24"/>
              </w:rPr>
              <w:t>1、环境空气质量现状</w:t>
            </w:r>
          </w:p>
          <w:p>
            <w:pPr>
              <w:spacing w:line="480" w:lineRule="exact"/>
              <w:ind w:firstLineChars="200" w:firstLine="480"/>
              <w:rPr>
                <w:color w:val="auto"/>
                <w:kern w:val="0"/>
                <w:sz w:val="24"/>
              </w:rPr>
            </w:pPr>
            <w:r>
              <w:rPr>
                <w:rFonts w:hint="eastAsia"/>
                <w:color w:val="auto"/>
                <w:sz w:val="24"/>
                <w:szCs w:val="32"/>
              </w:rPr>
              <w:t>本项目</w:t>
            </w:r>
            <w:r>
              <w:rPr>
                <w:color w:val="auto"/>
                <w:kern w:val="0"/>
                <w:sz w:val="24"/>
              </w:rPr>
              <w:t>位于</w:t>
            </w:r>
            <w:r>
              <w:rPr>
                <w:rFonts w:hint="eastAsia"/>
                <w:color w:val="auto"/>
                <w:kern w:val="0"/>
                <w:sz w:val="24"/>
              </w:rPr>
              <w:t>石家庄市栾城区</w:t>
            </w:r>
            <w:r>
              <w:rPr>
                <w:color w:val="auto"/>
                <w:kern w:val="0"/>
                <w:sz w:val="24"/>
              </w:rPr>
              <w:t>，所在区域为环境空气二类区，执行</w:t>
            </w:r>
            <w:r>
              <w:rPr>
                <w:rFonts w:hint="eastAsia"/>
                <w:color w:val="auto"/>
                <w:kern w:val="0"/>
                <w:sz w:val="24"/>
                <w:lang w:val="en-US" w:eastAsia="zh-CN"/>
              </w:rPr>
              <w:t>《环境空气质量标准》(GB3095-2026)过渡阶段</w:t>
            </w:r>
            <w:r>
              <w:rPr>
                <w:color w:val="auto"/>
                <w:kern w:val="0"/>
                <w:sz w:val="24"/>
              </w:rPr>
              <w:t>）二级标准。</w:t>
            </w:r>
          </w:p>
          <w:p>
            <w:pPr>
              <w:spacing w:line="480" w:lineRule="exact"/>
              <w:ind w:firstLineChars="200" w:firstLine="480"/>
              <w:rPr>
                <w:color w:val="auto"/>
                <w:sz w:val="24"/>
                <w:szCs w:val="24"/>
              </w:rPr>
            </w:pPr>
            <w:r>
              <w:rPr>
                <w:color w:val="auto"/>
                <w:sz w:val="24"/>
                <w:szCs w:val="24"/>
              </w:rPr>
              <w:t>（1）本评价引用</w:t>
            </w:r>
            <w:r>
              <w:rPr>
                <w:rFonts w:hint="eastAsia"/>
                <w:color w:val="auto"/>
                <w:sz w:val="24"/>
                <w:szCs w:val="24"/>
                <w:lang w:val="en-US" w:eastAsia="zh-CN"/>
              </w:rPr>
              <w:t>河北省生态环境厅发布的</w:t>
            </w:r>
            <w:r>
              <w:rPr>
                <w:color w:val="auto"/>
                <w:sz w:val="24"/>
                <w:szCs w:val="24"/>
                <w:lang w:val="en-US" w:eastAsia="zh-CN"/>
              </w:rPr>
              <w:t>《</w:t>
            </w:r>
            <w:r>
              <w:rPr>
                <w:rFonts w:hint="eastAsia"/>
                <w:color w:val="auto"/>
                <w:sz w:val="24"/>
                <w:szCs w:val="24"/>
                <w:lang w:val="en-US" w:eastAsia="zh-CN"/>
              </w:rPr>
              <w:t>2025河北省生态环境状况公报</w:t>
            </w:r>
            <w:r>
              <w:rPr>
                <w:color w:val="auto"/>
                <w:sz w:val="24"/>
                <w:szCs w:val="24"/>
                <w:lang w:val="en-US" w:eastAsia="zh-CN"/>
              </w:rPr>
              <w:t>》</w:t>
            </w:r>
            <w:r>
              <w:rPr>
                <w:color w:val="auto"/>
                <w:sz w:val="24"/>
                <w:szCs w:val="24"/>
              </w:rPr>
              <w:t>中</w:t>
            </w:r>
            <w:r>
              <w:rPr>
                <w:rFonts w:hint="eastAsia"/>
                <w:color w:val="auto"/>
                <w:sz w:val="24"/>
                <w:szCs w:val="24"/>
                <w:lang w:val="en-US" w:eastAsia="zh-CN"/>
              </w:rPr>
              <w:t>石家庄市</w:t>
            </w:r>
            <w:r>
              <w:rPr>
                <w:color w:val="auto"/>
                <w:sz w:val="24"/>
                <w:szCs w:val="24"/>
              </w:rPr>
              <w:t>大气常规污染物PM</w:t>
            </w:r>
            <w:r>
              <w:rPr>
                <w:color w:val="auto"/>
                <w:sz w:val="24"/>
                <w:szCs w:val="24"/>
                <w:vertAlign w:val="subscript"/>
              </w:rPr>
              <w:t>10</w:t>
            </w:r>
            <w:r>
              <w:rPr>
                <w:color w:val="auto"/>
                <w:sz w:val="24"/>
                <w:szCs w:val="24"/>
              </w:rPr>
              <w:t>、PM</w:t>
            </w:r>
            <w:r>
              <w:rPr>
                <w:color w:val="auto"/>
                <w:sz w:val="24"/>
                <w:szCs w:val="24"/>
                <w:vertAlign w:val="subscript"/>
              </w:rPr>
              <w:t>2.5</w:t>
            </w:r>
            <w:r>
              <w:rPr>
                <w:color w:val="auto"/>
                <w:sz w:val="24"/>
                <w:szCs w:val="24"/>
              </w:rPr>
              <w:t>、SO</w:t>
            </w:r>
            <w:r>
              <w:rPr>
                <w:color w:val="auto"/>
                <w:sz w:val="24"/>
                <w:szCs w:val="24"/>
                <w:vertAlign w:val="subscript"/>
              </w:rPr>
              <w:t>2</w:t>
            </w:r>
            <w:r>
              <w:rPr>
                <w:color w:val="auto"/>
                <w:sz w:val="24"/>
                <w:szCs w:val="24"/>
              </w:rPr>
              <w:t>、NO</w:t>
            </w:r>
            <w:r>
              <w:rPr>
                <w:color w:val="auto"/>
                <w:sz w:val="24"/>
                <w:szCs w:val="24"/>
                <w:vertAlign w:val="subscript"/>
              </w:rPr>
              <w:t>2</w:t>
            </w:r>
            <w:r>
              <w:rPr>
                <w:color w:val="auto"/>
                <w:sz w:val="24"/>
                <w:szCs w:val="24"/>
              </w:rPr>
              <w:t>、CO和O</w:t>
            </w:r>
            <w:r>
              <w:rPr>
                <w:color w:val="auto"/>
                <w:sz w:val="24"/>
                <w:szCs w:val="24"/>
                <w:vertAlign w:val="subscript"/>
              </w:rPr>
              <w:t>3</w:t>
            </w:r>
            <w:r>
              <w:rPr>
                <w:color w:val="auto"/>
                <w:sz w:val="24"/>
                <w:szCs w:val="24"/>
                <w:vertAlign w:val="baseline"/>
              </w:rPr>
              <w:t>的</w:t>
            </w:r>
            <w:r>
              <w:rPr>
                <w:color w:val="auto"/>
                <w:sz w:val="24"/>
                <w:szCs w:val="24"/>
                <w:lang w:val="en-US" w:eastAsia="zh-CN"/>
              </w:rPr>
              <w:t>现状监测</w:t>
            </w:r>
            <w:r>
              <w:rPr>
                <w:rFonts w:hint="eastAsia"/>
                <w:color w:val="auto"/>
                <w:sz w:val="24"/>
                <w:szCs w:val="24"/>
                <w:lang w:val="en-US" w:eastAsia="zh-CN"/>
              </w:rPr>
              <w:t>数据</w:t>
            </w:r>
            <w:r>
              <w:rPr>
                <w:color w:val="auto"/>
                <w:sz w:val="24"/>
                <w:szCs w:val="24"/>
              </w:rPr>
              <w:t>。</w:t>
            </w:r>
          </w:p>
          <w:p>
            <w:pPr>
              <w:spacing w:line="480" w:lineRule="exact"/>
              <w:ind w:firstLineChars="200" w:firstLine="480"/>
              <w:rPr>
                <w:color w:val="auto"/>
                <w:kern w:val="0"/>
                <w:sz w:val="24"/>
              </w:rPr>
            </w:pPr>
            <w:r>
              <w:rPr>
                <w:color w:val="auto"/>
                <w:kern w:val="0"/>
                <w:sz w:val="24"/>
              </w:rPr>
              <w:t>202</w:t>
            </w:r>
            <w:r>
              <w:rPr>
                <w:rFonts w:hint="eastAsia"/>
                <w:color w:val="auto"/>
                <w:kern w:val="0"/>
                <w:sz w:val="24"/>
                <w:lang w:val="en-US" w:eastAsia="zh-CN"/>
              </w:rPr>
              <w:t>5</w:t>
            </w:r>
            <w:r>
              <w:rPr>
                <w:color w:val="auto"/>
                <w:kern w:val="0"/>
                <w:sz w:val="24"/>
              </w:rPr>
              <w:t>年度，石家庄市环境空气中</w:t>
            </w:r>
            <w:r>
              <w:rPr>
                <w:rFonts w:hint="eastAsia"/>
                <w:color w:val="auto"/>
                <w:kern w:val="0"/>
                <w:sz w:val="24"/>
              </w:rPr>
              <w:t>常规污染物具体现状监测浓度见表3-1</w:t>
            </w:r>
            <w:r>
              <w:rPr>
                <w:color w:val="auto"/>
                <w:kern w:val="0"/>
                <w:sz w:val="24"/>
              </w:rPr>
              <w:t>。</w:t>
            </w:r>
          </w:p>
          <w:p>
            <w:pPr>
              <w:spacing w:line="240" w:lineRule="auto"/>
              <w:ind w:firstLineChars="200" w:firstLine="480"/>
              <w:jc w:val="center"/>
              <w:rPr>
                <w:b/>
                <w:bCs/>
                <w:color w:val="auto"/>
                <w:sz w:val="24"/>
              </w:rPr>
            </w:pPr>
            <w:r>
              <w:rPr>
                <w:b/>
                <w:bCs/>
                <w:color w:val="auto"/>
                <w:sz w:val="24"/>
              </w:rPr>
              <w:t>表3-1</w:t>
            </w:r>
            <w:r>
              <w:rPr>
                <w:rFonts w:hint="eastAsia"/>
                <w:b/>
                <w:bCs/>
                <w:color w:val="auto"/>
                <w:sz w:val="24"/>
              </w:rPr>
              <w:t xml:space="preserve">  </w:t>
            </w:r>
            <w:r>
              <w:rPr>
                <w:b/>
                <w:bCs/>
                <w:color w:val="auto"/>
                <w:sz w:val="24"/>
              </w:rPr>
              <w:t>202</w:t>
            </w:r>
            <w:r>
              <w:rPr>
                <w:rFonts w:hint="eastAsia"/>
                <w:b/>
                <w:bCs/>
                <w:color w:val="auto"/>
                <w:sz w:val="24"/>
                <w:lang w:val="en-US" w:eastAsia="zh-CN"/>
              </w:rPr>
              <w:t>5</w:t>
            </w:r>
            <w:r>
              <w:rPr>
                <w:b/>
                <w:bCs/>
                <w:color w:val="auto"/>
                <w:sz w:val="24"/>
              </w:rPr>
              <w:t>年石家庄市环境空气中常规污染物浓度</w:t>
            </w:r>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643"/>
              <w:gridCol w:w="2653"/>
              <w:gridCol w:w="1860"/>
              <w:gridCol w:w="1653"/>
              <w:gridCol w:w="868"/>
              <w:gridCol w:w="846"/>
            </w:tblGrid>
            <w:tr>
              <w:trPr>
                <w:trHeight w:val="397"/>
              </w:trPr>
              <w:tc>
                <w:tcPr>
                  <w:tcBorders>
                    <w:tl2br w:val="nil"/>
                    <w:tr2bl w:val="nil"/>
                  </w:tcBorders>
                  <w:vAlign w:val="center"/>
                </w:tcPr>
                <w:p>
                  <w:pPr>
                    <w:pStyle w:val="23"/>
                    <w:bidi w:val="0"/>
                    <w:rPr>
                      <w:color w:val="auto"/>
                    </w:rPr>
                  </w:pPr>
                  <w:r>
                    <w:rPr>
                      <w:color w:val="auto"/>
                    </w:rPr>
                    <w:t>污染物</w:t>
                  </w:r>
                </w:p>
              </w:tc>
              <w:tc>
                <w:tcPr>
                  <w:tcBorders>
                    <w:tl2br w:val="nil"/>
                    <w:tr2bl w:val="nil"/>
                  </w:tcBorders>
                  <w:vAlign w:val="center"/>
                </w:tcPr>
                <w:p>
                  <w:pPr>
                    <w:pStyle w:val="23"/>
                    <w:bidi w:val="0"/>
                    <w:rPr>
                      <w:color w:val="auto"/>
                    </w:rPr>
                  </w:pPr>
                  <w:r>
                    <w:rPr>
                      <w:rFonts w:hint="eastAsia"/>
                      <w:color w:val="auto"/>
                      <w:lang w:eastAsia="zh-CN"/>
                    </w:rPr>
                    <w:t>年度</w:t>
                  </w:r>
                  <w:r>
                    <w:rPr>
                      <w:color w:val="auto"/>
                    </w:rPr>
                    <w:t>评价指标</w:t>
                  </w:r>
                </w:p>
              </w:tc>
              <w:tc>
                <w:tcPr>
                  <w:tcBorders>
                    <w:tl2br w:val="nil"/>
                    <w:tr2bl w:val="nil"/>
                  </w:tcBorders>
                  <w:vAlign w:val="center"/>
                </w:tcPr>
                <w:p>
                  <w:pPr>
                    <w:pStyle w:val="23"/>
                    <w:bidi w:val="0"/>
                    <w:rPr>
                      <w:color w:val="auto"/>
                    </w:rPr>
                  </w:pPr>
                  <w:r>
                    <w:rPr>
                      <w:color w:val="auto"/>
                    </w:rPr>
                    <w:t>现状浓度/（μg/</w:t>
                  </w:r>
                  <w:r>
                    <w:rPr>
                      <w:rFonts w:hint="eastAsia"/>
                      <w:color w:val="auto"/>
                      <w:lang w:val="en-US" w:eastAsia="zh-CN"/>
                    </w:rPr>
                    <w:t>m³</w:t>
                  </w:r>
                  <w:r>
                    <w:rPr>
                      <w:color w:val="auto"/>
                    </w:rPr>
                    <w:t>）</w:t>
                  </w:r>
                </w:p>
              </w:tc>
              <w:tc>
                <w:tcPr>
                  <w:tcBorders>
                    <w:tl2br w:val="nil"/>
                    <w:tr2bl w:val="nil"/>
                  </w:tcBorders>
                  <w:vAlign w:val="center"/>
                </w:tcPr>
                <w:p>
                  <w:pPr>
                    <w:pStyle w:val="23"/>
                    <w:bidi w:val="0"/>
                    <w:rPr>
                      <w:color w:val="auto"/>
                    </w:rPr>
                  </w:pPr>
                  <w:r>
                    <w:rPr>
                      <w:color w:val="auto"/>
                    </w:rPr>
                    <w:t>标准值/（μg/</w:t>
                  </w:r>
                  <w:r>
                    <w:rPr>
                      <w:rFonts w:hint="eastAsia"/>
                      <w:color w:val="auto"/>
                      <w:lang w:val="en-US" w:eastAsia="zh-CN"/>
                    </w:rPr>
                    <w:t>m³</w:t>
                  </w:r>
                  <w:r>
                    <w:rPr>
                      <w:color w:val="auto"/>
                    </w:rPr>
                    <w:t>）</w:t>
                  </w:r>
                </w:p>
              </w:tc>
              <w:tc>
                <w:tcPr>
                  <w:tcBorders>
                    <w:tl2br w:val="nil"/>
                    <w:tr2bl w:val="nil"/>
                  </w:tcBorders>
                  <w:vAlign w:val="center"/>
                </w:tcPr>
                <w:p>
                  <w:pPr>
                    <w:pStyle w:val="23"/>
                    <w:bidi w:val="0"/>
                    <w:rPr>
                      <w:color w:val="auto"/>
                    </w:rPr>
                  </w:pPr>
                  <w:r>
                    <w:rPr>
                      <w:color w:val="auto"/>
                    </w:rPr>
                    <w:t>占标率/%</w:t>
                  </w:r>
                </w:p>
              </w:tc>
              <w:tc>
                <w:tcPr>
                  <w:tcBorders>
                    <w:tl2br w:val="nil"/>
                    <w:tr2bl w:val="nil"/>
                  </w:tcBorders>
                  <w:vAlign w:val="center"/>
                </w:tcPr>
                <w:p>
                  <w:pPr>
                    <w:pStyle w:val="23"/>
                    <w:bidi w:val="0"/>
                    <w:rPr>
                      <w:color w:val="auto"/>
                    </w:rPr>
                  </w:pPr>
                  <w:r>
                    <w:rPr>
                      <w:color w:val="auto"/>
                    </w:rPr>
                    <w:t>达标情况</w:t>
                  </w:r>
                </w:p>
              </w:tc>
            </w:tr>
            <w:tr>
              <w:trPr>
                <w:trHeight w:val="394"/>
              </w:trPr>
              <w:tc>
                <w:tcPr>
                  <w:tcBorders>
                    <w:tl2br w:val="nil"/>
                    <w:tr2bl w:val="nil"/>
                  </w:tcBorders>
                  <w:shd w:val="clear" w:color="auto" w:fill="auto"/>
                  <w:vAlign w:val="center"/>
                </w:tcPr>
                <w:p>
                  <w:pPr>
                    <w:pStyle w:val="23"/>
                    <w:bidi w:val="0"/>
                    <w:rPr>
                      <w:color w:val="auto"/>
                      <w:lang w:val="en-US" w:eastAsia="zh-CN"/>
                    </w:rPr>
                  </w:pPr>
                  <w:r>
                    <w:rPr>
                      <w:color w:val="auto"/>
                    </w:rPr>
                    <w:t>PM</w:t>
                  </w:r>
                  <w:r>
                    <w:rPr>
                      <w:color w:val="auto"/>
                      <w:vertAlign w:val="subscript"/>
                    </w:rPr>
                    <w:t>10</w:t>
                  </w:r>
                </w:p>
              </w:tc>
              <w:tc>
                <w:tcPr>
                  <w:tcBorders>
                    <w:tl2br w:val="nil"/>
                    <w:tr2bl w:val="nil"/>
                  </w:tcBorders>
                  <w:shd w:val="clear" w:color="auto" w:fill="auto"/>
                  <w:vAlign w:val="center"/>
                </w:tcPr>
                <w:p>
                  <w:pPr>
                    <w:pStyle w:val="23"/>
                    <w:bidi w:val="0"/>
                    <w:rPr>
                      <w:color w:val="auto"/>
                      <w:lang w:val="en-US" w:eastAsia="zh-CN"/>
                    </w:rPr>
                  </w:pPr>
                  <w:r>
                    <w:rPr>
                      <w:color w:val="auto"/>
                    </w:rPr>
                    <w:t>年平均质量浓度</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67</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60</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111.7</w:t>
                  </w:r>
                </w:p>
              </w:tc>
              <w:tc>
                <w:tcPr>
                  <w:tcBorders>
                    <w:tl2br w:val="nil"/>
                    <w:tr2bl w:val="nil"/>
                  </w:tcBorders>
                  <w:shd w:val="clear" w:color="auto" w:fill="auto"/>
                  <w:vAlign w:val="center"/>
                </w:tcPr>
                <w:p>
                  <w:pPr>
                    <w:pStyle w:val="23"/>
                    <w:bidi w:val="0"/>
                    <w:rPr>
                      <w:color w:val="auto"/>
                      <w:lang w:val="en-US" w:eastAsia="zh-CN"/>
                    </w:rPr>
                  </w:pPr>
                  <w:r>
                    <w:rPr>
                      <w:color w:val="auto"/>
                    </w:rPr>
                    <w:t>不达标</w:t>
                  </w:r>
                </w:p>
              </w:tc>
            </w:tr>
            <w:tr>
              <w:trPr>
                <w:trHeight w:val="379"/>
              </w:trPr>
              <w:tc>
                <w:tcPr>
                  <w:tcBorders>
                    <w:tl2br w:val="nil"/>
                    <w:tr2bl w:val="nil"/>
                  </w:tcBorders>
                  <w:shd w:val="clear" w:color="auto" w:fill="auto"/>
                  <w:vAlign w:val="center"/>
                </w:tcPr>
                <w:p>
                  <w:pPr>
                    <w:pStyle w:val="23"/>
                    <w:bidi w:val="0"/>
                    <w:rPr>
                      <w:color w:val="auto"/>
                      <w:lang w:val="en-US" w:eastAsia="zh-CN"/>
                    </w:rPr>
                  </w:pPr>
                  <w:r>
                    <w:rPr>
                      <w:color w:val="auto"/>
                    </w:rPr>
                    <w:t>PM</w:t>
                  </w:r>
                  <w:r>
                    <w:rPr>
                      <w:color w:val="auto"/>
                      <w:vertAlign w:val="subscript"/>
                    </w:rPr>
                    <w:t>2.5</w:t>
                  </w:r>
                </w:p>
              </w:tc>
              <w:tc>
                <w:tcPr>
                  <w:tcBorders>
                    <w:tl2br w:val="nil"/>
                    <w:tr2bl w:val="nil"/>
                  </w:tcBorders>
                  <w:shd w:val="clear" w:color="auto" w:fill="auto"/>
                  <w:vAlign w:val="center"/>
                </w:tcPr>
                <w:p>
                  <w:pPr>
                    <w:pStyle w:val="23"/>
                    <w:bidi w:val="0"/>
                    <w:rPr>
                      <w:color w:val="auto"/>
                      <w:lang w:val="en-US" w:eastAsia="zh-CN"/>
                    </w:rPr>
                  </w:pPr>
                  <w:r>
                    <w:rPr>
                      <w:color w:val="auto"/>
                    </w:rPr>
                    <w:t>年平均质量浓度</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37</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30</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123.3</w:t>
                  </w:r>
                </w:p>
              </w:tc>
              <w:tc>
                <w:tcPr>
                  <w:tcBorders>
                    <w:tl2br w:val="nil"/>
                    <w:tr2bl w:val="nil"/>
                  </w:tcBorders>
                  <w:shd w:val="clear" w:color="auto" w:fill="auto"/>
                  <w:vAlign w:val="center"/>
                </w:tcPr>
                <w:p>
                  <w:pPr>
                    <w:pStyle w:val="23"/>
                    <w:bidi w:val="0"/>
                    <w:rPr>
                      <w:color w:val="auto"/>
                      <w:lang w:val="en-US" w:eastAsia="zh-CN"/>
                    </w:rPr>
                  </w:pPr>
                  <w:r>
                    <w:rPr>
                      <w:color w:val="auto"/>
                    </w:rPr>
                    <w:t>不达标</w:t>
                  </w:r>
                </w:p>
              </w:tc>
            </w:tr>
            <w:tr>
              <w:trPr>
                <w:trHeight w:val="364"/>
              </w:trPr>
              <w:tc>
                <w:tcPr>
                  <w:tcBorders>
                    <w:tl2br w:val="nil"/>
                    <w:tr2bl w:val="nil"/>
                  </w:tcBorders>
                  <w:shd w:val="clear" w:color="auto" w:fill="auto"/>
                  <w:vAlign w:val="center"/>
                </w:tcPr>
                <w:p>
                  <w:pPr>
                    <w:pStyle w:val="23"/>
                    <w:bidi w:val="0"/>
                    <w:rPr>
                      <w:color w:val="auto"/>
                      <w:lang w:val="en-US" w:eastAsia="zh-CN"/>
                    </w:rPr>
                  </w:pPr>
                  <w:r>
                    <w:rPr>
                      <w:color w:val="auto"/>
                    </w:rPr>
                    <w:t>SO</w:t>
                  </w:r>
                  <w:r>
                    <w:rPr>
                      <w:color w:val="auto"/>
                      <w:vertAlign w:val="subscript"/>
                    </w:rPr>
                    <w:t>2</w:t>
                  </w:r>
                </w:p>
              </w:tc>
              <w:tc>
                <w:tcPr>
                  <w:tcBorders>
                    <w:tl2br w:val="nil"/>
                    <w:tr2bl w:val="nil"/>
                  </w:tcBorders>
                  <w:shd w:val="clear" w:color="auto" w:fill="auto"/>
                  <w:vAlign w:val="center"/>
                </w:tcPr>
                <w:p>
                  <w:pPr>
                    <w:pStyle w:val="23"/>
                    <w:bidi w:val="0"/>
                    <w:rPr>
                      <w:color w:val="auto"/>
                      <w:lang w:val="en-US" w:eastAsia="zh-CN"/>
                    </w:rPr>
                  </w:pPr>
                  <w:r>
                    <w:rPr>
                      <w:color w:val="auto"/>
                    </w:rPr>
                    <w:t>年平均质量浓度</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5</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60</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8.3</w:t>
                  </w:r>
                </w:p>
              </w:tc>
              <w:tc>
                <w:tcPr>
                  <w:tcBorders>
                    <w:tl2br w:val="nil"/>
                    <w:tr2bl w:val="nil"/>
                  </w:tcBorders>
                  <w:shd w:val="clear" w:color="auto" w:fill="auto"/>
                  <w:vAlign w:val="center"/>
                </w:tcPr>
                <w:p>
                  <w:pPr>
                    <w:pStyle w:val="23"/>
                    <w:bidi w:val="0"/>
                    <w:rPr>
                      <w:color w:val="auto"/>
                      <w:lang w:val="en-US" w:eastAsia="zh-CN"/>
                    </w:rPr>
                  </w:pPr>
                  <w:r>
                    <w:rPr>
                      <w:color w:val="auto"/>
                    </w:rPr>
                    <w:t>达标</w:t>
                  </w:r>
                </w:p>
              </w:tc>
            </w:tr>
            <w:tr>
              <w:trPr>
                <w:trHeight w:val="364"/>
              </w:trPr>
              <w:tc>
                <w:tcPr>
                  <w:tcBorders>
                    <w:tl2br w:val="nil"/>
                    <w:tr2bl w:val="nil"/>
                  </w:tcBorders>
                  <w:shd w:val="clear" w:color="auto" w:fill="auto"/>
                  <w:vAlign w:val="center"/>
                </w:tcPr>
                <w:p>
                  <w:pPr>
                    <w:pStyle w:val="23"/>
                    <w:bidi w:val="0"/>
                    <w:rPr>
                      <w:color w:val="auto"/>
                      <w:lang w:val="en-US" w:eastAsia="zh-CN"/>
                    </w:rPr>
                  </w:pPr>
                  <w:r>
                    <w:rPr>
                      <w:color w:val="auto"/>
                    </w:rPr>
                    <w:t>NO</w:t>
                  </w:r>
                  <w:r>
                    <w:rPr>
                      <w:color w:val="auto"/>
                      <w:vertAlign w:val="subscript"/>
                    </w:rPr>
                    <w:t>2</w:t>
                  </w:r>
                </w:p>
              </w:tc>
              <w:tc>
                <w:tcPr>
                  <w:tcBorders>
                    <w:tl2br w:val="nil"/>
                    <w:tr2bl w:val="nil"/>
                  </w:tcBorders>
                  <w:shd w:val="clear" w:color="auto" w:fill="auto"/>
                  <w:vAlign w:val="center"/>
                </w:tcPr>
                <w:p>
                  <w:pPr>
                    <w:pStyle w:val="23"/>
                    <w:bidi w:val="0"/>
                    <w:rPr>
                      <w:color w:val="auto"/>
                      <w:lang w:val="en-US" w:eastAsia="zh-CN"/>
                    </w:rPr>
                  </w:pPr>
                  <w:r>
                    <w:rPr>
                      <w:color w:val="auto"/>
                    </w:rPr>
                    <w:t>年平均质量浓度</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24</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40</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60</w:t>
                  </w:r>
                </w:p>
              </w:tc>
              <w:tc>
                <w:tcPr>
                  <w:tcBorders>
                    <w:tl2br w:val="nil"/>
                    <w:tr2bl w:val="nil"/>
                  </w:tcBorders>
                  <w:shd w:val="clear" w:color="auto" w:fill="auto"/>
                  <w:vAlign w:val="center"/>
                </w:tcPr>
                <w:p>
                  <w:pPr>
                    <w:pStyle w:val="23"/>
                    <w:bidi w:val="0"/>
                    <w:rPr>
                      <w:color w:val="auto"/>
                      <w:lang w:val="en-US" w:eastAsia="zh-CN"/>
                    </w:rPr>
                  </w:pPr>
                  <w:r>
                    <w:rPr>
                      <w:color w:val="auto"/>
                    </w:rPr>
                    <w:t>达标</w:t>
                  </w:r>
                </w:p>
              </w:tc>
            </w:tr>
            <w:tr>
              <w:trPr>
                <w:trHeight w:val="346"/>
              </w:trPr>
              <w:tc>
                <w:tcPr>
                  <w:tcBorders>
                    <w:tl2br w:val="nil"/>
                    <w:tr2bl w:val="nil"/>
                  </w:tcBorders>
                  <w:shd w:val="clear" w:color="auto" w:fill="auto"/>
                  <w:vAlign w:val="center"/>
                </w:tcPr>
                <w:p>
                  <w:pPr>
                    <w:pStyle w:val="23"/>
                    <w:bidi w:val="0"/>
                    <w:rPr>
                      <w:color w:val="auto"/>
                      <w:lang w:val="en-US" w:eastAsia="zh-CN"/>
                    </w:rPr>
                  </w:pPr>
                  <w:r>
                    <w:rPr>
                      <w:color w:val="auto"/>
                    </w:rPr>
                    <w:t>CO</w:t>
                  </w:r>
                </w:p>
              </w:tc>
              <w:tc>
                <w:tcPr>
                  <w:tcBorders>
                    <w:tl2br w:val="nil"/>
                    <w:tr2bl w:val="nil"/>
                  </w:tcBorders>
                  <w:shd w:val="clear" w:color="auto" w:fill="auto"/>
                  <w:vAlign w:val="center"/>
                </w:tcPr>
                <w:p>
                  <w:pPr>
                    <w:pStyle w:val="23"/>
                    <w:bidi w:val="0"/>
                    <w:rPr>
                      <w:color w:val="auto"/>
                      <w:lang w:val="en-US" w:eastAsia="zh-CN"/>
                    </w:rPr>
                  </w:pPr>
                  <w:r>
                    <w:rPr>
                      <w:color w:val="auto"/>
                    </w:rPr>
                    <w:t>24小时平均第95位百分位数</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1000</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4000</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25</w:t>
                  </w:r>
                </w:p>
              </w:tc>
              <w:tc>
                <w:tcPr>
                  <w:tcBorders>
                    <w:tl2br w:val="nil"/>
                    <w:tr2bl w:val="nil"/>
                  </w:tcBorders>
                  <w:shd w:val="clear" w:color="auto" w:fill="auto"/>
                  <w:vAlign w:val="center"/>
                </w:tcPr>
                <w:p>
                  <w:pPr>
                    <w:pStyle w:val="23"/>
                    <w:bidi w:val="0"/>
                    <w:rPr>
                      <w:color w:val="auto"/>
                      <w:lang w:val="en-US" w:eastAsia="zh-CN"/>
                    </w:rPr>
                  </w:pPr>
                  <w:r>
                    <w:rPr>
                      <w:color w:val="auto"/>
                    </w:rPr>
                    <w:t>达标</w:t>
                  </w:r>
                </w:p>
              </w:tc>
            </w:tr>
            <w:tr>
              <w:trPr>
                <w:trHeight w:val="389"/>
              </w:trPr>
              <w:tc>
                <w:tcPr>
                  <w:tcBorders>
                    <w:tl2br w:val="nil"/>
                    <w:tr2bl w:val="nil"/>
                  </w:tcBorders>
                  <w:shd w:val="clear" w:color="auto" w:fill="auto"/>
                  <w:vAlign w:val="center"/>
                </w:tcPr>
                <w:p>
                  <w:pPr>
                    <w:pStyle w:val="23"/>
                    <w:bidi w:val="0"/>
                    <w:rPr>
                      <w:color w:val="auto"/>
                      <w:lang w:val="en-US" w:eastAsia="zh-CN"/>
                    </w:rPr>
                  </w:pPr>
                  <w:r>
                    <w:rPr>
                      <w:color w:val="auto"/>
                    </w:rPr>
                    <w:t>O</w:t>
                  </w:r>
                  <w:r>
                    <w:rPr>
                      <w:color w:val="auto"/>
                      <w:vertAlign w:val="subscript"/>
                    </w:rPr>
                    <w:t>3</w:t>
                  </w:r>
                </w:p>
              </w:tc>
              <w:tc>
                <w:tcPr>
                  <w:tcBorders>
                    <w:tl2br w:val="nil"/>
                    <w:tr2bl w:val="nil"/>
                  </w:tcBorders>
                  <w:shd w:val="clear" w:color="auto" w:fill="auto"/>
                  <w:vAlign w:val="center"/>
                </w:tcPr>
                <w:p>
                  <w:pPr>
                    <w:pStyle w:val="23"/>
                    <w:bidi w:val="0"/>
                    <w:rPr>
                      <w:color w:val="auto"/>
                      <w:lang w:val="en-US" w:eastAsia="zh-CN"/>
                    </w:rPr>
                  </w:pPr>
                  <w:r>
                    <w:rPr>
                      <w:color w:val="auto"/>
                    </w:rPr>
                    <w:t>8小时平均第90位百分位数</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171</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160</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106.9</w:t>
                  </w:r>
                </w:p>
              </w:tc>
              <w:tc>
                <w:tcPr>
                  <w:tcBorders>
                    <w:tl2br w:val="nil"/>
                    <w:tr2bl w:val="nil"/>
                  </w:tcBorders>
                  <w:shd w:val="clear" w:color="auto" w:fill="auto"/>
                  <w:vAlign w:val="center"/>
                </w:tcPr>
                <w:p>
                  <w:pPr>
                    <w:pStyle w:val="23"/>
                    <w:bidi w:val="0"/>
                    <w:rPr>
                      <w:color w:val="auto"/>
                      <w:lang w:val="en-US" w:eastAsia="zh-CN"/>
                    </w:rPr>
                  </w:pPr>
                  <w:r>
                    <w:rPr>
                      <w:color w:val="auto"/>
                    </w:rPr>
                    <w:t>不达标</w:t>
                  </w:r>
                </w:p>
              </w:tc>
            </w:tr>
          </w:tbl>
          <w:p>
            <w:pPr>
              <w:keepNext w:val="0"/>
              <w:keepLines w:val="0"/>
              <w:pageBreakBefore w:val="0"/>
              <w:widowControl w:val="0"/>
              <w:kinsoku/>
              <w:wordWrap/>
              <w:overflowPunct/>
              <w:topLinePunct w:val="0"/>
              <w:autoSpaceDE/>
              <w:autoSpaceDN/>
              <w:bidi w:val="0"/>
              <w:adjustRightInd/>
              <w:snapToGrid w:val="0"/>
              <w:spacing w:line="360" w:lineRule="auto"/>
              <w:ind w:firstLineChars="200" w:firstLine="480"/>
              <w:textAlignment w:val="auto"/>
              <w:rPr>
                <w:color w:val="auto"/>
                <w:sz w:val="24"/>
                <w:highlight w:val="none"/>
              </w:rPr>
            </w:pPr>
            <w:r>
              <w:rPr>
                <w:color w:val="auto"/>
                <w:sz w:val="24"/>
              </w:rPr>
              <w:t>项目所在区域环境空气中，SO</w:t>
            </w:r>
            <w:r>
              <w:rPr>
                <w:color w:val="auto"/>
                <w:sz w:val="24"/>
                <w:vertAlign w:val="subscript"/>
              </w:rPr>
              <w:t>2</w:t>
            </w:r>
            <w:r>
              <w:rPr>
                <w:rFonts w:hint="eastAsia"/>
                <w:color w:val="auto"/>
                <w:sz w:val="24"/>
              </w:rPr>
              <w:t>年平均值、</w:t>
            </w:r>
            <w:r>
              <w:rPr>
                <w:color w:val="auto"/>
                <w:sz w:val="24"/>
              </w:rPr>
              <w:t>NO</w:t>
            </w:r>
            <w:r>
              <w:rPr>
                <w:color w:val="auto"/>
                <w:sz w:val="24"/>
                <w:vertAlign w:val="subscript"/>
              </w:rPr>
              <w:t>2</w:t>
            </w:r>
            <w:r>
              <w:rPr>
                <w:rFonts w:hint="eastAsia"/>
                <w:color w:val="auto"/>
                <w:sz w:val="24"/>
              </w:rPr>
              <w:t>年平均值</w:t>
            </w:r>
            <w:r>
              <w:rPr>
                <w:color w:val="auto"/>
                <w:sz w:val="24"/>
              </w:rPr>
              <w:t>和CO24小时均值达标，但PM</w:t>
            </w:r>
            <w:r>
              <w:rPr>
                <w:color w:val="auto"/>
                <w:sz w:val="24"/>
                <w:vertAlign w:val="subscript"/>
              </w:rPr>
              <w:t>10</w:t>
            </w:r>
            <w:r>
              <w:rPr>
                <w:rFonts w:hint="eastAsia"/>
                <w:color w:val="auto"/>
                <w:sz w:val="24"/>
              </w:rPr>
              <w:t>年平均</w:t>
            </w:r>
            <w:r>
              <w:rPr>
                <w:color w:val="auto"/>
                <w:sz w:val="24"/>
              </w:rPr>
              <w:t>值、PM</w:t>
            </w:r>
            <w:r>
              <w:rPr>
                <w:color w:val="auto"/>
                <w:sz w:val="24"/>
                <w:vertAlign w:val="subscript"/>
              </w:rPr>
              <w:t>2.5</w:t>
            </w:r>
            <w:r>
              <w:rPr>
                <w:rFonts w:hint="eastAsia"/>
                <w:color w:val="auto"/>
                <w:sz w:val="24"/>
              </w:rPr>
              <w:t>年平均值</w:t>
            </w:r>
            <w:r>
              <w:rPr>
                <w:color w:val="auto"/>
                <w:sz w:val="24"/>
              </w:rPr>
              <w:t>和O</w:t>
            </w:r>
            <w:r>
              <w:rPr>
                <w:color w:val="auto"/>
                <w:sz w:val="24"/>
                <w:vertAlign w:val="subscript"/>
              </w:rPr>
              <w:t>3</w:t>
            </w:r>
            <w:r>
              <w:rPr>
                <w:color w:val="auto"/>
                <w:sz w:val="24"/>
              </w:rPr>
              <w:t>最大8小时平均值均高于</w:t>
            </w:r>
            <w:r>
              <w:rPr>
                <w:color w:val="auto"/>
                <w:sz w:val="24"/>
                <w:lang w:val="zh-CN"/>
                <w:highlight w:val="none"/>
              </w:rPr>
              <w:t>《环境空气质量标准》(GB3095-20</w:t>
            </w:r>
            <w:r>
              <w:rPr>
                <w:color w:val="auto"/>
                <w:sz w:val="24"/>
                <w:highlight w:val="none"/>
              </w:rPr>
              <w:t>26</w:t>
            </w:r>
            <w:r>
              <w:rPr>
                <w:color w:val="auto"/>
                <w:sz w:val="24"/>
                <w:lang w:val="zh-CN"/>
                <w:highlight w:val="none"/>
              </w:rPr>
              <w:t>)</w:t>
            </w:r>
            <w:r>
              <w:rPr>
                <w:rFonts w:hint="eastAsia"/>
                <w:color w:val="auto"/>
                <w:sz w:val="24"/>
                <w:lang w:val="en-US" w:eastAsia="zh-CN"/>
                <w:highlight w:val="none"/>
              </w:rPr>
              <w:t>过度阶段</w:t>
            </w:r>
            <w:r>
              <w:rPr>
                <w:color w:val="auto"/>
                <w:sz w:val="24"/>
                <w:lang w:val="zh-CN"/>
                <w:highlight w:val="none"/>
              </w:rPr>
              <w:t>二级</w:t>
            </w:r>
            <w:r>
              <w:rPr>
                <w:color w:val="auto"/>
                <w:sz w:val="24"/>
                <w:highlight w:val="none"/>
              </w:rPr>
              <w:t>浓度限值</w:t>
            </w:r>
            <w:r>
              <w:rPr>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rPr>
            </w:pPr>
            <w:r>
              <w:rPr>
                <w:color w:val="auto"/>
              </w:rPr>
              <w:t>根据《环境影响评价技术导则大气环境》（HJ2.2-2018）相关规定，</w:t>
            </w:r>
            <w:r>
              <w:rPr>
                <w:rFonts w:hint="eastAsia"/>
                <w:color w:val="auto"/>
                <w:lang w:val="en-US" w:eastAsia="zh-CN"/>
              </w:rPr>
              <w:t>石家庄市</w:t>
            </w:r>
            <w:r>
              <w:rPr>
                <w:color w:val="auto"/>
              </w:rPr>
              <w:t>为不达标区。</w:t>
            </w:r>
          </w:p>
          <w:p>
            <w:pPr>
              <w:wordWrap w:val="0"/>
              <w:topLinePunct/>
              <w:spacing w:line="480" w:lineRule="exact"/>
              <w:ind w:firstLineChars="200" w:firstLine="480"/>
              <w:jc w:val="left"/>
              <w:rPr>
                <w:rFonts w:hint="eastAsia"/>
                <w:color w:val="auto"/>
                <w:sz w:val="24"/>
              </w:rPr>
            </w:pPr>
            <w:r>
              <w:rPr>
                <w:rFonts w:hint="eastAsia"/>
                <w:color w:val="auto"/>
                <w:sz w:val="24"/>
              </w:rPr>
              <w:t>（</w:t>
            </w:r>
            <w:r>
              <w:rPr>
                <w:rFonts w:hint="eastAsia"/>
                <w:color w:val="auto"/>
                <w:sz w:val="24"/>
                <w:lang w:val="en-US" w:eastAsia="zh-CN"/>
              </w:rPr>
              <w:t>2</w:t>
            </w:r>
            <w:r>
              <w:rPr>
                <w:rFonts w:hint="eastAsia"/>
                <w:color w:val="auto"/>
                <w:sz w:val="24"/>
              </w:rPr>
              <w:t>）其他污染物环境质量现状数据引</w:t>
            </w:r>
            <w:r>
              <w:rPr>
                <w:rFonts w:hint="eastAsia"/>
                <w:color w:val="auto"/>
                <w:sz w:val="24"/>
                <w:lang w:val="en-US" w:eastAsia="zh-CN"/>
              </w:rPr>
              <w:t>用河北工院云环境检测技术有限公司出具的</w:t>
            </w:r>
            <w:r>
              <w:rPr>
                <w:rFonts w:hint="eastAsia"/>
                <w:color w:val="auto"/>
                <w:sz w:val="24"/>
              </w:rPr>
              <w:t>《</w:t>
            </w:r>
            <w:r>
              <w:rPr>
                <w:rFonts w:hint="eastAsia"/>
                <w:color w:val="auto"/>
                <w:sz w:val="24"/>
                <w:lang w:val="en-US" w:eastAsia="zh-CN"/>
              </w:rPr>
              <w:t>石</w:t>
            </w:r>
            <w:r>
              <w:rPr>
                <w:rFonts w:hint="eastAsia"/>
                <w:color w:val="auto"/>
                <w:sz w:val="24"/>
              </w:rPr>
              <w:t>药集团圣雪葡萄糖有限责任公司母乳低聚糖生产线项目环境质量现状监测</w:t>
            </w:r>
            <w:r>
              <w:rPr>
                <w:rFonts w:hint="eastAsia"/>
                <w:color w:val="auto"/>
                <w:sz w:val="24"/>
                <w:lang w:val="en-US" w:eastAsia="zh-CN"/>
              </w:rPr>
              <w:t>报告</w:t>
            </w:r>
            <w:r>
              <w:rPr>
                <w:rFonts w:hint="eastAsia"/>
                <w:color w:val="auto"/>
                <w:sz w:val="24"/>
              </w:rPr>
              <w:t>》（报告编号：云环检字[2024]第0317号）中数据，取样日期为202</w:t>
            </w:r>
            <w:r>
              <w:rPr>
                <w:rFonts w:hint="eastAsia"/>
                <w:color w:val="auto"/>
                <w:sz w:val="24"/>
                <w:lang w:val="en-US" w:eastAsia="zh-CN"/>
              </w:rPr>
              <w:t>4.4.19</w:t>
            </w:r>
            <w:r>
              <w:rPr>
                <w:rFonts w:hint="eastAsia"/>
                <w:color w:val="auto"/>
                <w:sz w:val="24"/>
              </w:rPr>
              <w:t>-</w:t>
            </w:r>
            <w:r>
              <w:rPr>
                <w:rFonts w:hint="eastAsia"/>
                <w:color w:val="auto"/>
                <w:sz w:val="24"/>
                <w:lang w:val="en-US" w:eastAsia="zh-CN"/>
              </w:rPr>
              <w:t>2024.4.26</w:t>
            </w:r>
            <w:r>
              <w:rPr>
                <w:rFonts w:hint="eastAsia"/>
                <w:color w:val="auto"/>
                <w:sz w:val="24"/>
              </w:rPr>
              <w:t>，引用因子为</w:t>
            </w:r>
            <w:r>
              <w:rPr>
                <w:rFonts w:hint="eastAsia"/>
                <w:color w:val="auto"/>
                <w:sz w:val="24"/>
                <w:lang w:val="en-US" w:eastAsia="zh-CN"/>
              </w:rPr>
              <w:t>TSP、非甲烷总烃</w:t>
            </w:r>
            <w:r>
              <w:rPr>
                <w:rFonts w:hint="eastAsia"/>
                <w:color w:val="auto"/>
                <w:sz w:val="24"/>
              </w:rPr>
              <w:t>。</w:t>
            </w:r>
          </w:p>
          <w:p>
            <w:pPr>
              <w:wordWrap w:val="0"/>
              <w:topLinePunct/>
              <w:spacing w:line="480" w:lineRule="exact"/>
              <w:ind w:firstLineChars="200" w:firstLine="480"/>
              <w:jc w:val="left"/>
              <w:rPr>
                <w:color w:val="auto"/>
                <w:sz w:val="24"/>
              </w:rPr>
            </w:pPr>
            <w:r>
              <w:rPr>
                <w:rFonts w:hint="eastAsia"/>
                <w:color w:val="auto"/>
                <w:sz w:val="24"/>
              </w:rPr>
              <w:t>根据《建设项目环境影响报告表编制技术指南（污染影响类）（试行）》可知，排放国家、地方环境空气质量标准中有标准限值要求的特征污染物时，引用建设项目周边5千米范围内近3年的现有监测数据，本项目</w:t>
            </w:r>
            <w:r>
              <w:rPr>
                <w:rFonts w:hint="eastAsia"/>
                <w:color w:val="auto"/>
                <w:sz w:val="24"/>
                <w:lang w:val="en-US" w:eastAsia="zh-CN"/>
              </w:rPr>
              <w:t>距监测点930</w:t>
            </w:r>
            <w:r>
              <w:rPr>
                <w:rFonts w:hint="eastAsia"/>
                <w:color w:val="auto"/>
                <w:sz w:val="24"/>
              </w:rPr>
              <w:t>米，具体位置见</w:t>
            </w:r>
            <w:r>
              <w:rPr>
                <w:rFonts w:hint="eastAsia"/>
                <w:color w:val="auto"/>
                <w:sz w:val="24"/>
                <w:lang w:val="en-US" w:eastAsia="zh-CN"/>
              </w:rPr>
              <w:t>附图8</w:t>
            </w:r>
            <w:r>
              <w:rPr>
                <w:rFonts w:hint="eastAsia"/>
                <w:color w:val="auto"/>
                <w:sz w:val="24"/>
              </w:rPr>
              <w:t>，因此，可满足引用要求。</w:t>
            </w:r>
          </w:p>
          <w:p>
            <w:pPr>
              <w:wordWrap w:val="0"/>
              <w:topLinePunct/>
              <w:spacing w:line="480" w:lineRule="exact"/>
              <w:ind w:firstLineChars="200" w:firstLine="480"/>
              <w:jc w:val="left"/>
              <w:rPr>
                <w:color w:val="auto"/>
                <w:sz w:val="24"/>
              </w:rPr>
            </w:pPr>
            <w:r>
              <w:rPr>
                <w:rFonts w:hint="eastAsia"/>
                <w:color w:val="auto"/>
                <w:sz w:val="24"/>
              </w:rPr>
              <w:t>1）</w:t>
            </w:r>
            <w:r>
              <w:rPr>
                <w:color w:val="auto"/>
                <w:sz w:val="24"/>
              </w:rPr>
              <w:t>监测因子：</w:t>
            </w:r>
            <w:r>
              <w:rPr>
                <w:rFonts w:hint="eastAsia"/>
                <w:color w:val="auto"/>
                <w:sz w:val="24"/>
                <w:lang w:val="en-US" w:eastAsia="zh-CN"/>
              </w:rPr>
              <w:t>TSP、非甲烷总烃</w:t>
            </w:r>
            <w:r>
              <w:rPr>
                <w:color w:val="auto"/>
                <w:sz w:val="24"/>
              </w:rPr>
              <w:t>。</w:t>
            </w:r>
          </w:p>
          <w:p>
            <w:pPr>
              <w:wordWrap w:val="0"/>
              <w:topLinePunct/>
              <w:spacing w:line="480" w:lineRule="exact"/>
              <w:ind w:firstLineChars="200" w:firstLine="480"/>
              <w:jc w:val="left"/>
              <w:rPr>
                <w:color w:val="auto"/>
                <w:sz w:val="24"/>
              </w:rPr>
            </w:pPr>
            <w:r>
              <w:rPr>
                <w:rFonts w:hint="eastAsia"/>
                <w:color w:val="auto"/>
                <w:sz w:val="24"/>
              </w:rPr>
              <w:t>2）</w:t>
            </w:r>
            <w:r>
              <w:rPr>
                <w:color w:val="auto"/>
                <w:sz w:val="24"/>
              </w:rPr>
              <w:t>监测布点：</w:t>
            </w:r>
            <w:r>
              <w:rPr>
                <w:rFonts w:hint="eastAsia"/>
                <w:color w:val="auto"/>
                <w:sz w:val="24"/>
                <w:lang w:val="en-US" w:eastAsia="zh-CN"/>
              </w:rPr>
              <w:t>石</w:t>
            </w:r>
            <w:r>
              <w:rPr>
                <w:rFonts w:hint="eastAsia"/>
                <w:color w:val="auto"/>
                <w:sz w:val="24"/>
              </w:rPr>
              <w:t>药集团圣雪葡萄糖有限责任公司</w:t>
            </w:r>
            <w:r>
              <w:rPr>
                <w:rFonts w:hint="eastAsia"/>
                <w:color w:val="auto"/>
                <w:sz w:val="24"/>
                <w:lang w:val="en-US" w:eastAsia="zh-CN"/>
              </w:rPr>
              <w:t>厂区北侧</w:t>
            </w:r>
          </w:p>
          <w:p>
            <w:pPr>
              <w:wordWrap w:val="0"/>
              <w:topLinePunct/>
              <w:spacing w:line="480" w:lineRule="exact"/>
              <w:ind w:firstLineChars="200" w:firstLine="480"/>
              <w:jc w:val="center"/>
              <w:rPr>
                <w:b/>
                <w:bCs/>
                <w:color w:val="auto"/>
                <w:sz w:val="24"/>
              </w:rPr>
            </w:pPr>
            <w:r>
              <w:rPr>
                <w:b/>
                <w:bCs/>
                <w:color w:val="auto"/>
                <w:sz w:val="24"/>
              </w:rPr>
              <w:t>表3-</w:t>
            </w:r>
            <w:r>
              <w:rPr>
                <w:rFonts w:hint="eastAsia"/>
                <w:b/>
                <w:bCs/>
                <w:color w:val="auto"/>
                <w:sz w:val="24"/>
                <w:lang w:val="en-US" w:eastAsia="zh-CN"/>
              </w:rPr>
              <w:t>2</w:t>
            </w:r>
            <w:r>
              <w:rPr>
                <w:b/>
                <w:bCs/>
                <w:color w:val="auto"/>
                <w:sz w:val="24"/>
              </w:rPr>
              <w:t xml:space="preserve">   大气现状监测点位布设情况表</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600" w:firstRow="0" w:lastRow="0" w:firstColumn="0" w:lastColumn="0" w:noHBand="1" w:noVBand="1"/>
            </w:tblPr>
            <w:tblGrid>
              <w:gridCol w:w="3888"/>
              <w:gridCol w:w="1739"/>
              <w:gridCol w:w="1453"/>
              <w:gridCol w:w="1435"/>
            </w:tblGrid>
            <w:tr>
              <w:trPr>
                <w:trHeight w:val="443"/>
              </w:trPr>
              <w:tc>
                <w:tcPr>
                  <w:tcW w:w="2282" w:type="pct"/>
                  <w:tcBorders>
                    <w:tl2br w:val="nil"/>
                    <w:tr2bl w:val="nil"/>
                  </w:tcBorders>
                  <w:vAlign w:val="center"/>
                </w:tcPr>
                <w:p>
                  <w:pPr>
                    <w:pStyle w:val="23"/>
                    <w:bidi w:val="0"/>
                    <w:rPr>
                      <w:color w:val="auto"/>
                    </w:rPr>
                  </w:pPr>
                  <w:r>
                    <w:rPr>
                      <w:color w:val="auto"/>
                    </w:rPr>
                    <w:t>监测点名称</w:t>
                  </w:r>
                </w:p>
              </w:tc>
              <w:tc>
                <w:tcPr>
                  <w:tcW w:w="1021" w:type="pct"/>
                  <w:tcBorders>
                    <w:tl2br w:val="nil"/>
                    <w:tr2bl w:val="nil"/>
                  </w:tcBorders>
                  <w:vAlign w:val="center"/>
                </w:tcPr>
                <w:p>
                  <w:pPr>
                    <w:pStyle w:val="23"/>
                    <w:bidi w:val="0"/>
                    <w:rPr>
                      <w:color w:val="auto"/>
                    </w:rPr>
                  </w:pPr>
                  <w:r>
                    <w:rPr>
                      <w:color w:val="auto"/>
                    </w:rPr>
                    <w:t>监测因子</w:t>
                  </w:r>
                </w:p>
              </w:tc>
              <w:tc>
                <w:tcPr>
                  <w:tcW w:w="853" w:type="pct"/>
                  <w:tcBorders>
                    <w:tl2br w:val="nil"/>
                    <w:tr2bl w:val="nil"/>
                  </w:tcBorders>
                  <w:vAlign w:val="center"/>
                </w:tcPr>
                <w:p>
                  <w:pPr>
                    <w:pStyle w:val="23"/>
                    <w:bidi w:val="0"/>
                    <w:rPr>
                      <w:color w:val="auto"/>
                    </w:rPr>
                  </w:pPr>
                  <w:r>
                    <w:rPr>
                      <w:color w:val="auto"/>
                    </w:rPr>
                    <w:t>相对厂址方位</w:t>
                  </w:r>
                </w:p>
              </w:tc>
              <w:tc>
                <w:tcPr>
                  <w:tcW w:w="842" w:type="pct"/>
                  <w:tcBorders>
                    <w:tl2br w:val="nil"/>
                    <w:tr2bl w:val="nil"/>
                  </w:tcBorders>
                  <w:vAlign w:val="center"/>
                </w:tcPr>
                <w:p>
                  <w:pPr>
                    <w:pStyle w:val="23"/>
                    <w:bidi w:val="0"/>
                    <w:rPr>
                      <w:color w:val="auto"/>
                    </w:rPr>
                  </w:pPr>
                  <w:r>
                    <w:rPr>
                      <w:color w:val="auto"/>
                    </w:rPr>
                    <w:t>相对厂址距离</w:t>
                  </w:r>
                </w:p>
              </w:tc>
            </w:tr>
            <w:tr>
              <w:tc>
                <w:tcPr>
                  <w:tcW w:w="2282"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石</w:t>
                  </w:r>
                  <w:r>
                    <w:rPr>
                      <w:rFonts w:hint="eastAsia"/>
                      <w:color w:val="auto"/>
                    </w:rPr>
                    <w:t>药集团圣雪葡萄糖有限责任公司</w:t>
                  </w:r>
                  <w:r>
                    <w:rPr>
                      <w:rFonts w:hint="eastAsia"/>
                      <w:color w:val="auto"/>
                      <w:lang w:val="en-US" w:eastAsia="zh-CN"/>
                    </w:rPr>
                    <w:t>厂区</w:t>
                  </w:r>
                </w:p>
              </w:tc>
              <w:tc>
                <w:tcPr>
                  <w:tcW w:w="1021"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TSP、非甲烷总烃</w:t>
                  </w:r>
                </w:p>
              </w:tc>
              <w:tc>
                <w:tcPr>
                  <w:tcW w:w="853"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NE</w:t>
                  </w:r>
                </w:p>
              </w:tc>
              <w:tc>
                <w:tcPr>
                  <w:tcW w:w="842"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930m</w:t>
                  </w:r>
                </w:p>
              </w:tc>
            </w:tr>
          </w:tbl>
          <w:p>
            <w:pPr>
              <w:wordWrap w:val="0"/>
              <w:topLinePunct/>
              <w:spacing w:line="480" w:lineRule="exact"/>
              <w:ind w:firstLineChars="200" w:firstLine="480"/>
              <w:jc w:val="left"/>
              <w:rPr>
                <w:color w:val="auto"/>
                <w:sz w:val="24"/>
              </w:rPr>
            </w:pPr>
            <w:r>
              <w:rPr>
                <w:rFonts w:hint="eastAsia"/>
                <w:color w:val="auto"/>
                <w:sz w:val="24"/>
              </w:rPr>
              <w:t>3）</w:t>
            </w:r>
            <w:r>
              <w:rPr>
                <w:color w:val="auto"/>
                <w:sz w:val="24"/>
              </w:rPr>
              <w:t>监测</w:t>
            </w:r>
            <w:r>
              <w:rPr>
                <w:rFonts w:hint="eastAsia"/>
                <w:color w:val="auto"/>
                <w:sz w:val="24"/>
              </w:rPr>
              <w:t>因子</w:t>
            </w:r>
            <w:r>
              <w:rPr>
                <w:color w:val="auto"/>
                <w:sz w:val="24"/>
              </w:rPr>
              <w:t xml:space="preserve">与频次 </w:t>
            </w:r>
          </w:p>
          <w:p>
            <w:pPr>
              <w:wordWrap w:val="0"/>
              <w:topLinePunct/>
              <w:spacing w:line="480" w:lineRule="exact"/>
              <w:ind w:firstLineChars="200" w:firstLine="480"/>
              <w:jc w:val="center"/>
              <w:rPr>
                <w:b/>
                <w:bCs/>
                <w:color w:val="auto"/>
                <w:sz w:val="24"/>
              </w:rPr>
            </w:pPr>
            <w:r>
              <w:rPr>
                <w:b/>
                <w:bCs/>
                <w:color w:val="auto"/>
                <w:sz w:val="24"/>
              </w:rPr>
              <w:t>表3-</w:t>
            </w:r>
            <w:r>
              <w:rPr>
                <w:rFonts w:hint="eastAsia"/>
                <w:b/>
                <w:bCs/>
                <w:color w:val="auto"/>
                <w:sz w:val="24"/>
                <w:lang w:val="en-US" w:eastAsia="zh-CN"/>
              </w:rPr>
              <w:t>3</w:t>
            </w:r>
            <w:r>
              <w:rPr>
                <w:rFonts w:hint="eastAsia"/>
                <w:b/>
                <w:bCs/>
                <w:color w:val="auto"/>
                <w:sz w:val="24"/>
              </w:rPr>
              <w:t xml:space="preserve">   </w:t>
            </w:r>
            <w:r>
              <w:rPr>
                <w:b/>
                <w:bCs/>
                <w:color w:val="auto"/>
                <w:sz w:val="24"/>
              </w:rPr>
              <w:t>项目环境空气监测点位、监测因子及监测频次</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833"/>
              <w:gridCol w:w="1424"/>
              <w:gridCol w:w="3268"/>
            </w:tblGrid>
            <w:tr>
              <w:trPr>
                <w:trHeight w:val="23"/>
              </w:trPr>
              <w:tc>
                <w:tcPr>
                  <w:tcW w:w="2247" w:type="pct"/>
                  <w:vAlign w:val="center"/>
                </w:tcPr>
                <w:p>
                  <w:pPr>
                    <w:pStyle w:val="23"/>
                    <w:bidi w:val="0"/>
                    <w:rPr>
                      <w:color w:val="auto"/>
                    </w:rPr>
                  </w:pPr>
                  <w:r>
                    <w:rPr>
                      <w:color w:val="auto"/>
                    </w:rPr>
                    <w:t>采样点位</w:t>
                  </w:r>
                </w:p>
              </w:tc>
              <w:tc>
                <w:tcPr>
                  <w:tcW w:w="835" w:type="pct"/>
                  <w:vAlign w:val="center"/>
                </w:tcPr>
                <w:p>
                  <w:pPr>
                    <w:pStyle w:val="23"/>
                    <w:bidi w:val="0"/>
                    <w:rPr>
                      <w:color w:val="auto"/>
                    </w:rPr>
                  </w:pPr>
                  <w:r>
                    <w:rPr>
                      <w:color w:val="auto"/>
                    </w:rPr>
                    <w:t>检测因子</w:t>
                  </w:r>
                </w:p>
              </w:tc>
              <w:tc>
                <w:tcPr>
                  <w:tcW w:w="1916" w:type="pct"/>
                  <w:vAlign w:val="center"/>
                </w:tcPr>
                <w:p>
                  <w:pPr>
                    <w:pStyle w:val="23"/>
                    <w:bidi w:val="0"/>
                    <w:rPr>
                      <w:color w:val="auto"/>
                    </w:rPr>
                  </w:pPr>
                  <w:r>
                    <w:rPr>
                      <w:color w:val="auto"/>
                    </w:rPr>
                    <w:t>检测频次</w:t>
                  </w:r>
                </w:p>
              </w:tc>
            </w:tr>
            <w:tr>
              <w:trPr>
                <w:trHeight w:val="23"/>
              </w:trPr>
              <w:tc>
                <w:tcPr>
                  <w:tcW w:w="2247" w:type="pct"/>
                  <w:vMerge w:val="restart"/>
                  <w:vAlign w:val="center"/>
                </w:tcPr>
                <w:p>
                  <w:pPr>
                    <w:pStyle w:val="23"/>
                    <w:bidi w:val="0"/>
                    <w:rPr>
                      <w:color w:val="auto"/>
                    </w:rPr>
                  </w:pPr>
                  <w:r>
                    <w:rPr>
                      <w:rFonts w:hint="eastAsia"/>
                      <w:color w:val="auto"/>
                      <w:lang w:val="en-US" w:eastAsia="zh-CN"/>
                    </w:rPr>
                    <w:t>石</w:t>
                  </w:r>
                  <w:r>
                    <w:rPr>
                      <w:rFonts w:hint="eastAsia"/>
                      <w:color w:val="auto"/>
                    </w:rPr>
                    <w:t>药集团圣雪葡萄糖有限责任公司</w:t>
                  </w:r>
                  <w:r>
                    <w:rPr>
                      <w:rFonts w:hint="eastAsia"/>
                      <w:color w:val="auto"/>
                      <w:lang w:val="en-US" w:eastAsia="zh-CN"/>
                    </w:rPr>
                    <w:t>厂区</w:t>
                  </w:r>
                </w:p>
              </w:tc>
              <w:tc>
                <w:tcPr>
                  <w:tcW w:w="835"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非甲烷总烃</w:t>
                  </w:r>
                </w:p>
              </w:tc>
              <w:tc>
                <w:tcPr>
                  <w:tcW w:w="1916"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每天采样45分钟，监测7天</w:t>
                  </w:r>
                </w:p>
              </w:tc>
            </w:tr>
            <w:tr>
              <w:trPr>
                <w:trHeight w:val="23"/>
              </w:trPr>
              <w:tc>
                <w:tcPr>
                  <w:tcW w:w="2247" w:type="pct"/>
                  <w:vMerge/>
                  <w:vAlign w:val="center"/>
                </w:tcPr>
                <w:p/>
              </w:tc>
              <w:tc>
                <w:tcPr>
                  <w:tcW w:w="835" w:type="pct"/>
                  <w:tcBorders>
                    <w:left w:val="single" w:sz="4" w:space="0" w:color="auto"/>
                  </w:tcBorders>
                  <w:vAlign w:val="center"/>
                </w:tcPr>
                <w:p>
                  <w:pPr>
                    <w:pStyle w:val="23"/>
                    <w:bidi w:val="0"/>
                    <w:rPr>
                      <w:rFonts w:hint="eastAsia"/>
                      <w:color w:val="auto"/>
                    </w:rPr>
                  </w:pPr>
                  <w:r>
                    <w:rPr>
                      <w:rFonts w:hint="eastAsia"/>
                      <w:color w:val="auto"/>
                      <w:lang w:val="en-US" w:eastAsia="zh-CN"/>
                    </w:rPr>
                    <w:t>TSP</w:t>
                  </w:r>
                </w:p>
              </w:tc>
              <w:tc>
                <w:tcPr>
                  <w:tcW w:w="1916"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每天采样24小时，连续检测7天</w:t>
                  </w:r>
                </w:p>
              </w:tc>
            </w:tr>
          </w:tbl>
          <w:p>
            <w:pPr>
              <w:wordWrap w:val="0"/>
              <w:topLinePunct/>
              <w:spacing w:line="480" w:lineRule="exact"/>
              <w:ind w:firstLineChars="200" w:firstLine="480"/>
              <w:jc w:val="left"/>
              <w:rPr>
                <w:color w:val="auto"/>
                <w:sz w:val="24"/>
              </w:rPr>
            </w:pPr>
            <w:r>
              <w:rPr>
                <w:rFonts w:hint="eastAsia"/>
                <w:color w:val="auto"/>
                <w:sz w:val="24"/>
              </w:rPr>
              <w:t>4）</w:t>
            </w:r>
            <w:r>
              <w:rPr>
                <w:color w:val="auto"/>
                <w:sz w:val="24"/>
              </w:rPr>
              <w:t xml:space="preserve">环境空气质量现状评价 </w:t>
            </w:r>
          </w:p>
          <w:p>
            <w:pPr>
              <w:wordWrap w:val="0"/>
              <w:topLinePunct/>
              <w:spacing w:line="480" w:lineRule="exact"/>
              <w:ind w:firstLineChars="200" w:firstLine="480"/>
              <w:jc w:val="left"/>
              <w:rPr>
                <w:color w:val="auto"/>
                <w:sz w:val="24"/>
                <w:lang w:val="en-US"/>
              </w:rPr>
            </w:pPr>
            <w:r>
              <w:rPr>
                <w:color w:val="auto"/>
                <w:sz w:val="24"/>
              </w:rPr>
              <w:t>①评价因子：</w:t>
            </w:r>
            <w:r>
              <w:rPr>
                <w:rFonts w:hint="eastAsia"/>
                <w:color w:val="auto"/>
                <w:sz w:val="24"/>
                <w:lang w:val="en-US" w:eastAsia="zh-CN"/>
              </w:rPr>
              <w:t>TSP、非甲烷总烃</w:t>
            </w:r>
          </w:p>
          <w:p>
            <w:pPr>
              <w:wordWrap w:val="0"/>
              <w:topLinePunct/>
              <w:spacing w:line="480" w:lineRule="exact"/>
              <w:ind w:firstLineChars="200" w:firstLine="480"/>
              <w:jc w:val="left"/>
              <w:rPr>
                <w:color w:val="auto"/>
                <w:sz w:val="24"/>
              </w:rPr>
            </w:pPr>
            <w:r>
              <w:rPr>
                <w:color w:val="auto"/>
                <w:sz w:val="24"/>
              </w:rPr>
              <w:t>②评价标准：</w:t>
            </w:r>
            <w:r>
              <w:rPr>
                <w:rFonts w:hint="eastAsia"/>
                <w:color w:val="auto"/>
                <w:sz w:val="24"/>
                <w:lang w:val="zh-CN" w:eastAsia="zh-CN"/>
              </w:rPr>
              <w:t>《环境空气质量标准》(GB3095-2026)表2环境空气污染物其他项目浓度限值</w:t>
            </w:r>
            <w:r>
              <w:rPr>
                <w:rFonts w:hint="eastAsia"/>
                <w:color w:val="auto"/>
                <w:sz w:val="24"/>
                <w:lang w:eastAsia="zh-CN"/>
              </w:rPr>
              <w:t>、《环境空气质量非甲烷总烃限值》（DB13/1577-2012）表1二级标准</w:t>
            </w:r>
            <w:r>
              <w:rPr>
                <w:color w:val="auto"/>
                <w:sz w:val="24"/>
              </w:rPr>
              <w:t>。</w:t>
            </w:r>
          </w:p>
          <w:p>
            <w:pPr>
              <w:wordWrap w:val="0"/>
              <w:topLinePunct/>
              <w:spacing w:line="480" w:lineRule="exact"/>
              <w:ind w:firstLineChars="200" w:firstLine="480"/>
              <w:jc w:val="left"/>
              <w:rPr>
                <w:color w:val="auto"/>
                <w:sz w:val="24"/>
              </w:rPr>
            </w:pPr>
            <w:r>
              <w:rPr>
                <w:color w:val="auto"/>
                <w:sz w:val="24"/>
              </w:rPr>
              <w:t xml:space="preserve">③评价方法：采用单因子污染指数法，计算模式如下： </w:t>
            </w:r>
          </w:p>
          <w:p>
            <w:pPr>
              <w:wordWrap w:val="0"/>
              <w:topLinePunct/>
              <w:spacing w:line="480" w:lineRule="exact"/>
              <w:ind w:firstLineChars="200" w:firstLine="480"/>
              <w:jc w:val="center"/>
              <w:rPr>
                <w:color w:val="auto"/>
                <w:sz w:val="24"/>
              </w:rPr>
            </w:pPr>
            <w:r>
              <w:rPr>
                <w:color w:val="auto"/>
                <w:sz w:val="24"/>
              </w:rPr>
              <w:t>P</w:t>
            </w:r>
            <w:r>
              <w:rPr>
                <w:color w:val="auto"/>
                <w:sz w:val="24"/>
                <w:vertAlign w:val="subscript"/>
              </w:rPr>
              <w:t>i</w:t>
            </w:r>
            <w:r>
              <w:rPr>
                <w:color w:val="auto"/>
                <w:sz w:val="24"/>
              </w:rPr>
              <w:t>＝C</w:t>
            </w:r>
            <w:r>
              <w:rPr>
                <w:color w:val="auto"/>
                <w:sz w:val="24"/>
                <w:vertAlign w:val="subscript"/>
              </w:rPr>
              <w:t>i</w:t>
            </w:r>
            <w:r>
              <w:rPr>
                <w:color w:val="auto"/>
                <w:sz w:val="24"/>
              </w:rPr>
              <w:t>/C</w:t>
            </w:r>
            <w:r>
              <w:rPr>
                <w:color w:val="auto"/>
                <w:sz w:val="24"/>
                <w:vertAlign w:val="subscript"/>
              </w:rPr>
              <w:t>0i</w:t>
            </w:r>
          </w:p>
          <w:p>
            <w:pPr>
              <w:wordWrap w:val="0"/>
              <w:topLinePunct/>
              <w:spacing w:line="480" w:lineRule="exact"/>
              <w:ind w:firstLineChars="200" w:firstLine="480"/>
              <w:rPr>
                <w:color w:val="auto"/>
                <w:sz w:val="24"/>
              </w:rPr>
            </w:pPr>
            <w:r>
              <w:rPr>
                <w:color w:val="auto"/>
                <w:sz w:val="24"/>
              </w:rPr>
              <w:t>式中：</w:t>
            </w:r>
          </w:p>
          <w:p>
            <w:pPr>
              <w:wordWrap w:val="0"/>
              <w:topLinePunct/>
              <w:spacing w:line="480" w:lineRule="exact"/>
              <w:ind w:firstLineChars="200" w:firstLine="480"/>
              <w:rPr>
                <w:color w:val="auto"/>
                <w:sz w:val="24"/>
              </w:rPr>
            </w:pPr>
            <w:r>
              <w:rPr>
                <w:color w:val="auto"/>
                <w:sz w:val="24"/>
              </w:rPr>
              <w:t>P</w:t>
            </w:r>
            <w:r>
              <w:rPr>
                <w:color w:val="auto"/>
                <w:sz w:val="24"/>
                <w:vertAlign w:val="subscript"/>
              </w:rPr>
              <w:t>i</w:t>
            </w:r>
            <w:r>
              <w:rPr>
                <w:color w:val="auto"/>
                <w:sz w:val="24"/>
              </w:rPr>
              <w:t>—i 污染物污染指数；</w:t>
            </w:r>
          </w:p>
          <w:p>
            <w:pPr>
              <w:wordWrap w:val="0"/>
              <w:topLinePunct/>
              <w:spacing w:line="480" w:lineRule="exact"/>
              <w:ind w:firstLineChars="200" w:firstLine="480"/>
              <w:rPr>
                <w:color w:val="auto"/>
                <w:sz w:val="24"/>
              </w:rPr>
            </w:pPr>
            <w:r>
              <w:rPr>
                <w:color w:val="auto"/>
                <w:sz w:val="24"/>
              </w:rPr>
              <w:t>C</w:t>
            </w:r>
            <w:r>
              <w:rPr>
                <w:color w:val="auto"/>
                <w:sz w:val="24"/>
                <w:vertAlign w:val="subscript"/>
              </w:rPr>
              <w:t>i</w:t>
            </w:r>
            <w:r>
              <w:rPr>
                <w:color w:val="auto"/>
                <w:sz w:val="24"/>
              </w:rPr>
              <w:t>—i 污染物现状监测浓度，mg/</w:t>
            </w:r>
            <w:r>
              <w:rPr>
                <w:rFonts w:hint="eastAsia"/>
                <w:color w:val="auto"/>
                <w:sz w:val="24"/>
                <w:lang w:eastAsia="zh-CN"/>
              </w:rPr>
              <w:t>m³</w:t>
            </w:r>
            <w:r>
              <w:rPr>
                <w:color w:val="auto"/>
                <w:sz w:val="24"/>
              </w:rPr>
              <w:t>；</w:t>
            </w:r>
          </w:p>
          <w:p>
            <w:pPr>
              <w:wordWrap w:val="0"/>
              <w:topLinePunct/>
              <w:spacing w:line="480" w:lineRule="exact"/>
              <w:ind w:firstLineChars="200" w:firstLine="480"/>
              <w:rPr>
                <w:color w:val="auto"/>
                <w:sz w:val="24"/>
              </w:rPr>
            </w:pPr>
            <w:r>
              <w:rPr>
                <w:color w:val="auto"/>
                <w:sz w:val="24"/>
              </w:rPr>
              <w:t>C</w:t>
            </w:r>
            <w:r>
              <w:rPr>
                <w:color w:val="auto"/>
                <w:sz w:val="24"/>
                <w:vertAlign w:val="subscript"/>
              </w:rPr>
              <w:t>oi</w:t>
            </w:r>
            <w:r>
              <w:rPr>
                <w:color w:val="auto"/>
                <w:sz w:val="24"/>
              </w:rPr>
              <w:t>—i 污染物评价标准，mg/</w:t>
            </w:r>
            <w:r>
              <w:rPr>
                <w:rFonts w:hint="eastAsia"/>
                <w:color w:val="auto"/>
                <w:sz w:val="24"/>
                <w:lang w:eastAsia="zh-CN"/>
              </w:rPr>
              <w:t>m³</w:t>
            </w:r>
            <w:r>
              <w:rPr>
                <w:color w:val="auto"/>
                <w:sz w:val="24"/>
              </w:rPr>
              <w:t>。</w:t>
            </w:r>
          </w:p>
          <w:p>
            <w:pPr>
              <w:wordWrap w:val="0"/>
              <w:topLinePunct/>
              <w:spacing w:line="480" w:lineRule="exact"/>
              <w:ind w:firstLineChars="200" w:firstLine="480"/>
              <w:jc w:val="left"/>
              <w:rPr>
                <w:color w:val="auto"/>
                <w:sz w:val="24"/>
              </w:rPr>
            </w:pPr>
            <w:r>
              <w:rPr>
                <w:rFonts w:hint="eastAsia"/>
                <w:color w:val="auto"/>
                <w:sz w:val="24"/>
              </w:rPr>
              <w:t>5）</w:t>
            </w:r>
            <w:r>
              <w:rPr>
                <w:color w:val="auto"/>
                <w:sz w:val="24"/>
              </w:rPr>
              <w:t>监测</w:t>
            </w:r>
            <w:r>
              <w:rPr>
                <w:rFonts w:hint="eastAsia"/>
                <w:color w:val="auto"/>
                <w:sz w:val="24"/>
              </w:rPr>
              <w:t>及评价</w:t>
            </w:r>
            <w:r>
              <w:rPr>
                <w:color w:val="auto"/>
                <w:sz w:val="24"/>
              </w:rPr>
              <w:t xml:space="preserve">结果 </w:t>
            </w:r>
          </w:p>
          <w:p>
            <w:pPr>
              <w:wordWrap w:val="0"/>
              <w:topLinePunct/>
              <w:spacing w:line="480" w:lineRule="exact"/>
              <w:ind w:firstLineChars="200" w:firstLine="480"/>
              <w:jc w:val="left"/>
              <w:rPr>
                <w:color w:val="auto"/>
                <w:sz w:val="24"/>
              </w:rPr>
            </w:pPr>
            <w:r>
              <w:rPr>
                <w:color w:val="auto"/>
                <w:sz w:val="24"/>
              </w:rPr>
              <w:t>大气环境质量现状监测统计结果见表3-</w:t>
            </w:r>
            <w:r>
              <w:rPr>
                <w:rFonts w:hint="eastAsia"/>
                <w:color w:val="auto"/>
                <w:sz w:val="24"/>
                <w:lang w:val="en-US" w:eastAsia="zh-CN"/>
              </w:rPr>
              <w:t>4</w:t>
            </w:r>
            <w:r>
              <w:rPr>
                <w:color w:val="auto"/>
                <w:sz w:val="24"/>
              </w:rPr>
              <w:t>。</w:t>
            </w:r>
          </w:p>
          <w:p>
            <w:pPr>
              <w:pStyle w:val="24"/>
              <w:bidi w:val="0"/>
              <w:rPr>
                <w:rFonts w:eastAsia="宋体" w:hint="eastAsia"/>
                <w:color w:val="auto"/>
                <w:lang w:val="en-US" w:eastAsia="zh-CN"/>
              </w:rPr>
            </w:pPr>
            <w:r>
              <w:rPr>
                <w:color w:val="auto"/>
              </w:rPr>
              <w:t>表3-</w:t>
            </w:r>
            <w:r>
              <w:rPr>
                <w:rFonts w:hint="eastAsia"/>
                <w:color w:val="auto"/>
                <w:lang w:val="en-US" w:eastAsia="zh-CN"/>
              </w:rPr>
              <w:t>4</w:t>
            </w:r>
            <w:r>
              <w:rPr>
                <w:color w:val="auto"/>
              </w:rPr>
              <w:t xml:space="preserve">  大气环境质量现状监测结果分析</w:t>
            </w:r>
          </w:p>
          <w:tbl>
            <w:tblPr>
              <w:jc w:val="left"/>
              <w:tblInd w:w="0" w:type="dxa"/>
              <w:tblW w:w="499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2416"/>
              <w:gridCol w:w="1680"/>
              <w:gridCol w:w="2982"/>
              <w:gridCol w:w="1438"/>
            </w:tblGrid>
            <w:tr>
              <w:trPr>
                <w:trHeight w:val="153"/>
              </w:trPr>
              <w:tc>
                <w:tcPr>
                  <w:tcW w:w="1418" w:type="pct"/>
                  <w:tcBorders>
                    <w:tl2br w:val="nil"/>
                    <w:tr2bl w:val="nil"/>
                  </w:tcBorders>
                  <w:vAlign w:val="center"/>
                </w:tcPr>
                <w:p>
                  <w:pPr>
                    <w:pStyle w:val="23"/>
                    <w:bidi w:val="0"/>
                    <w:rPr>
                      <w:color w:val="auto"/>
                    </w:rPr>
                  </w:pPr>
                  <w:r>
                    <w:rPr>
                      <w:rFonts w:hint="eastAsia"/>
                      <w:color w:val="auto"/>
                    </w:rPr>
                    <w:t>因子</w:t>
                  </w:r>
                </w:p>
              </w:tc>
              <w:tc>
                <w:tcPr>
                  <w:tcW w:w="986" w:type="pct"/>
                  <w:tcBorders>
                    <w:tl2br w:val="nil"/>
                    <w:tr2bl w:val="nil"/>
                  </w:tcBorders>
                  <w:vAlign w:val="center"/>
                </w:tcPr>
                <w:p>
                  <w:pPr>
                    <w:pStyle w:val="23"/>
                    <w:bidi w:val="0"/>
                    <w:rPr>
                      <w:color w:val="auto"/>
                    </w:rPr>
                  </w:pPr>
                  <w:r>
                    <w:rPr>
                      <w:color w:val="auto"/>
                    </w:rPr>
                    <w:t>评价标准</w:t>
                  </w:r>
                </w:p>
                <w:p>
                  <w:pPr>
                    <w:pStyle w:val="23"/>
                    <w:bidi w:val="0"/>
                    <w:rPr>
                      <w:color w:val="auto"/>
                    </w:rPr>
                  </w:pPr>
                  <w:r>
                    <w:rPr>
                      <w:color w:val="auto"/>
                    </w:rPr>
                    <w:t>(</w:t>
                  </w:r>
                  <w:r>
                    <w:rPr>
                      <w:rFonts w:hint="eastAsia"/>
                      <w:color w:val="auto"/>
                    </w:rPr>
                    <w:t>m</w:t>
                  </w:r>
                  <w:r>
                    <w:rPr>
                      <w:color w:val="auto"/>
                    </w:rPr>
                    <w:t>g/</w:t>
                  </w:r>
                  <w:r>
                    <w:rPr>
                      <w:rFonts w:hint="eastAsia"/>
                      <w:color w:val="auto"/>
                      <w:lang w:val="en-US" w:eastAsia="zh-CN"/>
                    </w:rPr>
                    <w:t>m³</w:t>
                  </w:r>
                  <w:r>
                    <w:rPr>
                      <w:color w:val="auto"/>
                    </w:rPr>
                    <w:t>)</w:t>
                  </w:r>
                </w:p>
              </w:tc>
              <w:tc>
                <w:tcPr>
                  <w:tcW w:w="1750" w:type="pct"/>
                  <w:tcBorders>
                    <w:tl2br w:val="nil"/>
                    <w:tr2bl w:val="nil"/>
                  </w:tcBorders>
                  <w:vAlign w:val="center"/>
                </w:tcPr>
                <w:p>
                  <w:pPr>
                    <w:pStyle w:val="23"/>
                    <w:bidi w:val="0"/>
                    <w:rPr>
                      <w:rFonts w:hint="eastAsia"/>
                      <w:color w:val="auto"/>
                    </w:rPr>
                  </w:pPr>
                  <w:r>
                    <w:rPr>
                      <w:rFonts w:hint="eastAsia"/>
                      <w:color w:val="auto"/>
                    </w:rPr>
                    <w:t>浓度范围</w:t>
                  </w:r>
                </w:p>
                <w:p>
                  <w:pPr>
                    <w:pStyle w:val="23"/>
                    <w:bidi w:val="0"/>
                    <w:rPr>
                      <w:rFonts w:eastAsia="宋体" w:hint="eastAsia"/>
                      <w:color w:val="auto"/>
                      <w:lang w:eastAsia="zh-CN"/>
                    </w:rPr>
                  </w:pPr>
                  <w:r>
                    <w:rPr>
                      <w:rFonts w:hint="eastAsia"/>
                      <w:color w:val="auto"/>
                      <w:lang w:eastAsia="zh-CN"/>
                    </w:rPr>
                    <w:t>（</w:t>
                  </w:r>
                  <w:r>
                    <w:rPr>
                      <w:rFonts w:hint="eastAsia"/>
                      <w:color w:val="auto"/>
                      <w:lang w:val="en-US" w:eastAsia="zh-CN"/>
                    </w:rPr>
                    <w:t>mg/m³</w:t>
                  </w:r>
                  <w:r>
                    <w:rPr>
                      <w:rFonts w:hint="eastAsia"/>
                      <w:color w:val="auto"/>
                      <w:lang w:eastAsia="zh-CN"/>
                    </w:rPr>
                    <w:t>）</w:t>
                  </w:r>
                </w:p>
              </w:tc>
              <w:tc>
                <w:tcPr>
                  <w:tcW w:w="844" w:type="pct"/>
                  <w:tcBorders>
                    <w:tl2br w:val="nil"/>
                    <w:tr2bl w:val="nil"/>
                  </w:tcBorders>
                  <w:vAlign w:val="center"/>
                </w:tcPr>
                <w:p>
                  <w:pPr>
                    <w:pStyle w:val="23"/>
                    <w:bidi w:val="0"/>
                    <w:rPr>
                      <w:color w:val="auto"/>
                    </w:rPr>
                  </w:pPr>
                  <w:r>
                    <w:rPr>
                      <w:rFonts w:hint="eastAsia"/>
                      <w:color w:val="auto"/>
                    </w:rPr>
                    <w:t>污染指数</w:t>
                  </w:r>
                </w:p>
              </w:tc>
            </w:tr>
            <w:tr>
              <w:trPr>
                <w:trHeight w:val="285"/>
              </w:trPr>
              <w:tc>
                <w:tcPr>
                  <w:tcW w:w="1418"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TSP</w:t>
                  </w:r>
                </w:p>
              </w:tc>
              <w:tc>
                <w:tcPr>
                  <w:tcW w:w="986"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0.3</w:t>
                  </w:r>
                </w:p>
              </w:tc>
              <w:tc>
                <w:tcPr>
                  <w:tcW w:w="1750"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0.233-0.267</w:t>
                  </w:r>
                </w:p>
              </w:tc>
              <w:tc>
                <w:tcPr>
                  <w:tcW w:w="844"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0.78~0.89</w:t>
                  </w:r>
                </w:p>
              </w:tc>
            </w:tr>
            <w:tr>
              <w:trPr>
                <w:trHeight w:val="285"/>
              </w:trPr>
              <w:tc>
                <w:tcPr>
                  <w:tcW w:w="1418" w:type="pct"/>
                  <w:tcBorders>
                    <w:tl2br w:val="nil"/>
                    <w:tr2bl w:val="nil"/>
                  </w:tcBorders>
                  <w:vAlign w:val="center"/>
                </w:tcPr>
                <w:p>
                  <w:pPr>
                    <w:pStyle w:val="23"/>
                    <w:bidi w:val="0"/>
                    <w:rPr>
                      <w:color w:val="auto"/>
                      <w:lang w:val="en-US" w:eastAsia="zh-CN"/>
                    </w:rPr>
                  </w:pPr>
                  <w:r>
                    <w:rPr>
                      <w:rFonts w:hint="eastAsia"/>
                      <w:color w:val="auto"/>
                      <w:lang w:val="en-US" w:eastAsia="zh-CN"/>
                    </w:rPr>
                    <w:t>非甲烷总烃</w:t>
                  </w:r>
                </w:p>
              </w:tc>
              <w:tc>
                <w:tcPr>
                  <w:tcW w:w="986" w:type="pct"/>
                  <w:tcBorders>
                    <w:tl2br w:val="nil"/>
                    <w:tr2bl w:val="nil"/>
                  </w:tcBorders>
                  <w:vAlign w:val="center"/>
                </w:tcPr>
                <w:p>
                  <w:pPr>
                    <w:pStyle w:val="23"/>
                    <w:bidi w:val="0"/>
                    <w:rPr>
                      <w:color w:val="auto"/>
                      <w:lang w:val="en-US" w:eastAsia="zh-CN"/>
                    </w:rPr>
                  </w:pPr>
                  <w:r>
                    <w:rPr>
                      <w:rFonts w:hint="eastAsia"/>
                      <w:color w:val="auto"/>
                      <w:lang w:val="en-US" w:eastAsia="zh-CN"/>
                    </w:rPr>
                    <w:t>2</w:t>
                  </w:r>
                </w:p>
              </w:tc>
              <w:tc>
                <w:tcPr>
                  <w:tcW w:w="1750"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0.54~0.58</w:t>
                  </w:r>
                </w:p>
              </w:tc>
              <w:tc>
                <w:tcPr>
                  <w:tcW w:w="844"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0.27~0.29</w:t>
                  </w:r>
                </w:p>
              </w:tc>
            </w:tr>
          </w:tbl>
          <w:p>
            <w:pPr>
              <w:wordWrap w:val="0"/>
              <w:topLinePunct/>
              <w:spacing w:line="480" w:lineRule="exact"/>
              <w:ind w:firstLineChars="200" w:firstLine="480"/>
              <w:jc w:val="left"/>
              <w:rPr>
                <w:color w:val="auto"/>
                <w:sz w:val="24"/>
                <w:highlight w:val="none"/>
              </w:rPr>
            </w:pPr>
            <w:r>
              <w:rPr>
                <w:color w:val="auto"/>
                <w:sz w:val="24"/>
                <w:highlight w:val="none"/>
              </w:rPr>
              <w:t>根据评价结果可知，</w:t>
            </w:r>
            <w:r>
              <w:rPr>
                <w:rFonts w:hint="eastAsia"/>
                <w:color w:val="auto"/>
                <w:sz w:val="24"/>
                <w:lang w:val="en-US" w:eastAsia="zh-CN"/>
                <w:highlight w:val="none"/>
              </w:rPr>
              <w:t>TSP 24h均值符合《环境空气质量标准》(GB3095-2026)表2环境空气污染物其他项目浓度限值</w:t>
            </w:r>
            <w:r>
              <w:rPr>
                <w:rFonts w:hint="eastAsia"/>
                <w:color w:val="auto"/>
                <w:sz w:val="24"/>
                <w:lang w:eastAsia="zh-CN"/>
                <w:highlight w:val="none"/>
              </w:rPr>
              <w:t>；</w:t>
            </w:r>
            <w:r>
              <w:rPr>
                <w:rFonts w:hint="eastAsia"/>
                <w:color w:val="auto"/>
                <w:sz w:val="24"/>
                <w:lang w:val="en-US" w:eastAsia="zh-CN"/>
                <w:highlight w:val="none"/>
              </w:rPr>
              <w:t>非甲烷总烃监测值浓度符合《环境空气质量标准 非甲烷总烃限值》（</w:t>
            </w:r>
            <w:r>
              <w:rPr>
                <w:color w:val="auto"/>
                <w:sz w:val="24"/>
                <w:lang w:val="en-US" w:eastAsia="zh-CN"/>
                <w:highlight w:val="none"/>
              </w:rPr>
              <w:t>DB13/1577-2012</w:t>
            </w:r>
            <w:r>
              <w:rPr>
                <w:rFonts w:hint="eastAsia"/>
                <w:color w:val="auto"/>
                <w:sz w:val="24"/>
                <w:lang w:val="en-US" w:eastAsia="zh-CN"/>
                <w:highlight w:val="none"/>
              </w:rPr>
              <w:t>）二级标准。</w:t>
            </w:r>
          </w:p>
          <w:p>
            <w:pPr>
              <w:spacing w:line="480" w:lineRule="exact"/>
              <w:ind w:firstLineChars="200" w:firstLine="480"/>
              <w:rPr>
                <w:b/>
                <w:bCs/>
                <w:color w:val="auto"/>
                <w:kern w:val="0"/>
                <w:sz w:val="24"/>
                <w:highlight w:val="none"/>
              </w:rPr>
            </w:pPr>
            <w:r>
              <w:rPr>
                <w:b/>
                <w:bCs/>
                <w:color w:val="auto"/>
                <w:kern w:val="0"/>
                <w:sz w:val="24"/>
                <w:highlight w:val="none"/>
              </w:rPr>
              <w:t>2、水环境质量现状</w:t>
            </w:r>
          </w:p>
          <w:p>
            <w:pPr>
              <w:spacing w:line="360" w:lineRule="auto"/>
              <w:ind w:firstLineChars="200" w:firstLine="480"/>
              <w:rPr>
                <w:color w:val="auto"/>
                <w:highlight w:val="none"/>
              </w:rPr>
            </w:pPr>
            <w:r>
              <w:rPr>
                <w:rFonts w:hint="eastAsia"/>
                <w:color w:val="auto"/>
                <w:lang w:val="en-US" w:eastAsia="zh-CN"/>
                <w:highlight w:val="none"/>
              </w:rPr>
              <w:t>根据石家庄市生态环境局于</w:t>
            </w:r>
            <w:r>
              <w:rPr>
                <w:color w:val="auto"/>
                <w:lang w:val="en-US" w:eastAsia="zh-CN"/>
                <w:highlight w:val="none"/>
              </w:rPr>
              <w:t>2025</w:t>
            </w:r>
            <w:r>
              <w:rPr>
                <w:rFonts w:hint="eastAsia"/>
                <w:color w:val="auto"/>
                <w:lang w:val="en-US" w:eastAsia="zh-CN"/>
                <w:highlight w:val="none"/>
              </w:rPr>
              <w:t>年</w:t>
            </w:r>
            <w:r>
              <w:rPr>
                <w:color w:val="auto"/>
                <w:lang w:val="en-US" w:eastAsia="zh-CN"/>
                <w:highlight w:val="none"/>
              </w:rPr>
              <w:t>6</w:t>
            </w:r>
            <w:r>
              <w:rPr>
                <w:rFonts w:hint="eastAsia"/>
                <w:color w:val="auto"/>
                <w:lang w:val="en-US" w:eastAsia="zh-CN"/>
                <w:highlight w:val="none"/>
              </w:rPr>
              <w:t>月发布的《</w:t>
            </w:r>
            <w:r>
              <w:rPr>
                <w:color w:val="auto"/>
                <w:lang w:val="en-US" w:eastAsia="zh-CN"/>
                <w:highlight w:val="none"/>
              </w:rPr>
              <w:t>2024</w:t>
            </w:r>
            <w:r>
              <w:rPr>
                <w:rFonts w:hint="eastAsia"/>
                <w:color w:val="auto"/>
                <w:lang w:val="en-US" w:eastAsia="zh-CN"/>
                <w:highlight w:val="none"/>
              </w:rPr>
              <w:t>年石家庄市生态环境质量公报》中相关数据可知：洨河水质状况为轻度污染；汪洋沟水质状况为轻度污染。</w:t>
            </w:r>
          </w:p>
          <w:p>
            <w:pPr>
              <w:spacing w:line="360" w:lineRule="auto"/>
              <w:ind w:firstLineChars="200" w:firstLine="480"/>
              <w:rPr>
                <w:b/>
                <w:bCs/>
                <w:color w:val="auto"/>
                <w:kern w:val="0"/>
                <w:sz w:val="24"/>
              </w:rPr>
            </w:pPr>
            <w:r>
              <w:rPr>
                <w:b/>
                <w:bCs/>
                <w:color w:val="auto"/>
                <w:kern w:val="0"/>
                <w:sz w:val="24"/>
              </w:rPr>
              <w:t>3、声环境质量现状</w:t>
            </w:r>
          </w:p>
          <w:p>
            <w:pPr>
              <w:spacing w:line="360" w:lineRule="auto"/>
              <w:ind w:firstLineChars="200" w:firstLine="480"/>
              <w:rPr>
                <w:color w:val="auto"/>
                <w:kern w:val="0"/>
                <w:sz w:val="24"/>
              </w:rPr>
            </w:pPr>
            <w:r>
              <w:rPr>
                <w:color w:val="auto"/>
                <w:kern w:val="0"/>
                <w:sz w:val="24"/>
              </w:rPr>
              <w:t>根据现场调查，本项目厂界外50m范围内不存在声环境保护目标，根据《建设项目环境影响报告表编制技术指南（污染影响类）（试行）》，本项目不需要进行声环境现状监测。</w:t>
            </w:r>
          </w:p>
          <w:p>
            <w:pPr>
              <w:spacing w:line="360" w:lineRule="auto"/>
              <w:ind w:firstLineChars="200" w:firstLine="480"/>
              <w:rPr>
                <w:b/>
                <w:bCs/>
                <w:color w:val="auto"/>
                <w:kern w:val="0"/>
                <w:sz w:val="24"/>
              </w:rPr>
            </w:pPr>
            <w:r>
              <w:rPr>
                <w:b/>
                <w:bCs/>
                <w:color w:val="auto"/>
                <w:kern w:val="0"/>
                <w:sz w:val="24"/>
              </w:rPr>
              <w:t>4、生态环境</w:t>
            </w:r>
          </w:p>
          <w:p>
            <w:pPr>
              <w:spacing w:line="360" w:lineRule="auto"/>
              <w:ind w:firstLineChars="200" w:firstLine="480"/>
              <w:rPr>
                <w:b/>
                <w:bCs/>
                <w:color w:val="auto"/>
                <w:kern w:val="0"/>
                <w:sz w:val="24"/>
              </w:rPr>
            </w:pPr>
            <w:r>
              <w:rPr>
                <w:color w:val="auto"/>
                <w:kern w:val="0"/>
                <w:sz w:val="24"/>
              </w:rPr>
              <w:t>本项目</w:t>
            </w:r>
            <w:r>
              <w:rPr>
                <w:rFonts w:hint="eastAsia"/>
                <w:color w:val="auto"/>
                <w:kern w:val="0"/>
                <w:sz w:val="24"/>
                <w:lang w:val="en-US" w:eastAsia="zh-CN"/>
              </w:rPr>
              <w:t>位于河北石家庄装备制造产业园内，用地性质为工业用地，用地范围内不含有生态环境保护目标，</w:t>
            </w:r>
            <w:r>
              <w:rPr>
                <w:color w:val="auto"/>
                <w:kern w:val="0"/>
                <w:sz w:val="24"/>
              </w:rPr>
              <w:t>根据《建设项目环境影响报告表编制技术指南（污染影响类）（试行）》，本项目无需进行生态现状调查。</w:t>
            </w:r>
          </w:p>
          <w:p>
            <w:pPr>
              <w:spacing w:line="360" w:lineRule="auto"/>
              <w:ind w:firstLineChars="200" w:firstLine="480"/>
              <w:rPr>
                <w:b/>
                <w:bCs/>
                <w:color w:val="auto"/>
                <w:kern w:val="0"/>
                <w:sz w:val="24"/>
              </w:rPr>
            </w:pPr>
            <w:r>
              <w:rPr>
                <w:b/>
                <w:bCs/>
                <w:color w:val="auto"/>
                <w:kern w:val="0"/>
                <w:sz w:val="24"/>
              </w:rPr>
              <w:t>5、地下水、土壤环境</w:t>
            </w:r>
          </w:p>
          <w:p>
            <w:pPr>
              <w:bidi w:val="0"/>
              <w:rPr>
                <w:rFonts w:hint="eastAsia"/>
                <w:color w:val="auto"/>
              </w:rPr>
            </w:pPr>
            <w:r>
              <w:rPr>
                <w:rFonts w:hint="eastAsia"/>
                <w:color w:val="auto"/>
                <w:lang w:val="en-US" w:eastAsia="zh-CN"/>
              </w:rPr>
              <w:t>本项目厂界外500米范围内无地下水集中式饮用水水源和热水、矿泉水、温泉等特殊地下水资源，且不存在地下水污染物途径，因此，本次评价不再开展地下水、土壤调查。</w:t>
            </w:r>
          </w:p>
          <w:p>
            <w:pPr>
              <w:spacing w:line="360" w:lineRule="auto"/>
              <w:ind w:firstLineChars="200" w:firstLine="480"/>
              <w:rPr>
                <w:rFonts w:ascii="Times New Roman" w:eastAsia="宋体" w:cs="Times New Roman" w:hAnsi="Times New Roman" w:hint="eastAsia"/>
                <w:b/>
                <w:bCs/>
                <w:color w:val="auto"/>
                <w:kern w:val="0"/>
                <w:sz w:val="24"/>
                <w:lang w:val="en-US" w:eastAsia="zh-CN"/>
              </w:rPr>
            </w:pPr>
            <w:r>
              <w:rPr>
                <w:rFonts w:ascii="Times New Roman" w:eastAsia="宋体" w:cs="Times New Roman" w:hAnsi="Times New Roman" w:hint="eastAsia"/>
                <w:b/>
                <w:bCs/>
                <w:color w:val="auto"/>
                <w:kern w:val="0"/>
                <w:sz w:val="24"/>
                <w:lang w:val="en-US" w:eastAsia="zh-CN"/>
              </w:rPr>
              <w:t>6、电磁辐射</w:t>
            </w:r>
          </w:p>
          <w:p>
            <w:pPr>
              <w:spacing w:line="360" w:lineRule="auto"/>
              <w:ind w:firstLineChars="200" w:firstLine="480"/>
              <w:rPr>
                <w:rFonts w:hint="eastAsia"/>
                <w:color w:val="auto"/>
                <w:sz w:val="24"/>
              </w:rPr>
            </w:pPr>
            <w:r>
              <w:rPr>
                <w:rFonts w:hint="eastAsia"/>
                <w:color w:val="auto"/>
                <w:sz w:val="24"/>
                <w:lang w:val="en-US" w:eastAsia="zh-CN"/>
              </w:rPr>
              <w:t>本项目不涉及电磁辐射，无需进行现状调查。</w:t>
            </w:r>
          </w:p>
        </w:tc>
      </w:tr>
      <w:tr>
        <w:trPr>
          <w:trHeight w:val="5390"/>
        </w:trPr>
        <w:tc>
          <w:tcPr>
            <w:tcW w:w="28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kern w:val="0"/>
                <w:sz w:val="24"/>
              </w:rPr>
            </w:pPr>
            <w:r>
              <w:rPr>
                <w:color w:val="auto"/>
                <w:kern w:val="0"/>
                <w:sz w:val="24"/>
              </w:rPr>
              <w:t>环境</w:t>
            </w:r>
          </w:p>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kern w:val="0"/>
                <w:sz w:val="24"/>
              </w:rPr>
            </w:pPr>
            <w:r>
              <w:rPr>
                <w:color w:val="auto"/>
                <w:kern w:val="0"/>
                <w:sz w:val="24"/>
              </w:rPr>
              <w:t>保护</w:t>
            </w:r>
          </w:p>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kern w:val="0"/>
                <w:szCs w:val="21"/>
              </w:rPr>
            </w:pPr>
            <w:r>
              <w:rPr>
                <w:color w:val="auto"/>
                <w:kern w:val="0"/>
                <w:sz w:val="24"/>
              </w:rPr>
              <w:t>目标</w:t>
            </w:r>
          </w:p>
        </w:tc>
        <w:tc>
          <w:tcPr>
            <w:tcW w:w="4716" w:type="pct"/>
            <w:tcBorders>
              <w:left w:val="single" w:sz="4" w:space="0" w:color="auto"/>
            </w:tcBorders>
            <w:vAlign w:val="center"/>
          </w:tcPr>
          <w:p>
            <w:pPr>
              <w:spacing w:line="360" w:lineRule="auto"/>
              <w:ind w:firstLineChars="200" w:firstLine="480"/>
              <w:rPr>
                <w:b/>
                <w:bCs/>
                <w:color w:val="auto"/>
                <w:sz w:val="24"/>
              </w:rPr>
            </w:pPr>
            <w:r>
              <w:rPr>
                <w:rFonts w:hint="eastAsia"/>
                <w:b/>
                <w:bCs/>
                <w:color w:val="auto"/>
                <w:sz w:val="24"/>
              </w:rPr>
              <w:t>1、大气环境保护目标</w:t>
            </w:r>
          </w:p>
          <w:p>
            <w:pPr>
              <w:adjustRightInd w:val="0"/>
              <w:snapToGrid w:val="0"/>
              <w:spacing w:line="360" w:lineRule="auto"/>
              <w:ind w:firstLineChars="200" w:firstLine="480"/>
              <w:rPr>
                <w:color w:val="auto"/>
                <w:sz w:val="24"/>
              </w:rPr>
            </w:pPr>
            <w:r>
              <w:rPr>
                <w:rFonts w:hint="eastAsia"/>
                <w:color w:val="auto"/>
                <w:sz w:val="24"/>
              </w:rPr>
              <w:t>经现场踏勘，项目周边500m范围的大气环境保护目标为厂界</w:t>
            </w:r>
            <w:r>
              <w:rPr>
                <w:rFonts w:hint="eastAsia"/>
                <w:color w:val="auto"/>
                <w:sz w:val="24"/>
                <w:lang w:val="en-US" w:eastAsia="zh-CN"/>
              </w:rPr>
              <w:t>北</w:t>
            </w:r>
            <w:r>
              <w:rPr>
                <w:rFonts w:hint="eastAsia"/>
                <w:color w:val="auto"/>
                <w:sz w:val="24"/>
              </w:rPr>
              <w:t>侧</w:t>
            </w:r>
            <w:r>
              <w:rPr>
                <w:rFonts w:hint="eastAsia"/>
                <w:color w:val="auto"/>
                <w:sz w:val="24"/>
                <w:lang w:val="en-US" w:eastAsia="zh-CN"/>
              </w:rPr>
              <w:t>290</w:t>
            </w:r>
            <w:r>
              <w:rPr>
                <w:rFonts w:hint="eastAsia"/>
                <w:color w:val="auto"/>
                <w:sz w:val="24"/>
              </w:rPr>
              <w:t>m处的前彪冢村，具体位置关系见表3-</w:t>
            </w:r>
            <w:r>
              <w:rPr>
                <w:rFonts w:hint="eastAsia"/>
                <w:color w:val="auto"/>
                <w:sz w:val="24"/>
                <w:lang w:val="en-US" w:eastAsia="zh-CN"/>
              </w:rPr>
              <w:t>5</w:t>
            </w:r>
            <w:r>
              <w:rPr>
                <w:rFonts w:hint="eastAsia"/>
                <w:color w:val="auto"/>
                <w:sz w:val="24"/>
              </w:rPr>
              <w:t>。</w:t>
            </w:r>
          </w:p>
          <w:p>
            <w:pPr>
              <w:pStyle w:val="24"/>
              <w:bidi w:val="0"/>
              <w:rPr>
                <w:color w:val="auto"/>
              </w:rPr>
            </w:pPr>
            <w:r>
              <w:rPr>
                <w:color w:val="auto"/>
              </w:rPr>
              <w:t>表</w:t>
            </w:r>
            <w:r>
              <w:rPr>
                <w:rFonts w:hint="eastAsia"/>
                <w:color w:val="auto"/>
              </w:rPr>
              <w:t>3-</w:t>
            </w:r>
            <w:r>
              <w:rPr>
                <w:rFonts w:hint="eastAsia"/>
                <w:color w:val="auto"/>
                <w:lang w:val="en-US" w:eastAsia="zh-CN"/>
              </w:rPr>
              <w:t>5</w:t>
            </w:r>
            <w:r>
              <w:rPr>
                <w:rFonts w:hint="eastAsia"/>
                <w:color w:val="auto"/>
              </w:rPr>
              <w:t xml:space="preserve"> </w:t>
            </w:r>
            <w:r>
              <w:rPr>
                <w:color w:val="auto"/>
              </w:rPr>
              <w:t xml:space="preserve"> 环境</w:t>
            </w:r>
            <w:r>
              <w:rPr>
                <w:rFonts w:hint="eastAsia"/>
                <w:color w:val="auto"/>
              </w:rPr>
              <w:t>空气</w:t>
            </w:r>
            <w:r>
              <w:rPr>
                <w:color w:val="auto"/>
              </w:rPr>
              <w:t>保护目标</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537"/>
              <w:gridCol w:w="1568"/>
              <w:gridCol w:w="1333"/>
              <w:gridCol w:w="974"/>
              <w:gridCol w:w="609"/>
              <w:gridCol w:w="532"/>
              <w:gridCol w:w="580"/>
              <w:gridCol w:w="756"/>
              <w:gridCol w:w="1636"/>
            </w:tblGrid>
            <w:tr>
              <w:tc>
                <w:tcPr>
                  <w:tcW w:w="315" w:type="pct"/>
                  <w:vMerge w:val="restart"/>
                  <w:vAlign w:val="center"/>
                </w:tcPr>
                <w:p>
                  <w:pPr>
                    <w:pStyle w:val="23"/>
                    <w:bidi w:val="0"/>
                    <w:rPr>
                      <w:color w:val="auto"/>
                    </w:rPr>
                  </w:pPr>
                  <w:r>
                    <w:rPr>
                      <w:color w:val="auto"/>
                    </w:rPr>
                    <w:t>名称</w:t>
                  </w:r>
                </w:p>
              </w:tc>
              <w:tc>
                <w:tcPr>
                  <w:tcW w:w="1700" w:type="pct"/>
                  <w:gridSpan w:val="2"/>
                  <w:vAlign w:val="center"/>
                </w:tcPr>
                <w:p>
                  <w:pPr>
                    <w:pStyle w:val="23"/>
                    <w:bidi w:val="0"/>
                    <w:rPr>
                      <w:color w:val="auto"/>
                    </w:rPr>
                  </w:pPr>
                  <w:r>
                    <w:rPr>
                      <w:color w:val="auto"/>
                    </w:rPr>
                    <w:t>坐标</w:t>
                  </w:r>
                </w:p>
              </w:tc>
              <w:tc>
                <w:tcPr>
                  <w:tcW w:w="571" w:type="pct"/>
                  <w:vMerge w:val="restart"/>
                  <w:vAlign w:val="center"/>
                </w:tcPr>
                <w:p>
                  <w:pPr>
                    <w:pStyle w:val="23"/>
                    <w:bidi w:val="0"/>
                    <w:rPr>
                      <w:color w:val="auto"/>
                    </w:rPr>
                  </w:pPr>
                  <w:r>
                    <w:rPr>
                      <w:color w:val="auto"/>
                    </w:rPr>
                    <w:t>保护对象</w:t>
                  </w:r>
                </w:p>
              </w:tc>
              <w:tc>
                <w:tcPr>
                  <w:tcW w:w="357" w:type="pct"/>
                  <w:vMerge w:val="restart"/>
                  <w:vAlign w:val="center"/>
                </w:tcPr>
                <w:p>
                  <w:pPr>
                    <w:pStyle w:val="23"/>
                    <w:bidi w:val="0"/>
                    <w:rPr>
                      <w:color w:val="auto"/>
                    </w:rPr>
                  </w:pPr>
                  <w:r>
                    <w:rPr>
                      <w:color w:val="auto"/>
                    </w:rPr>
                    <w:t>保护</w:t>
                  </w:r>
                </w:p>
                <w:p>
                  <w:pPr>
                    <w:pStyle w:val="23"/>
                    <w:bidi w:val="0"/>
                    <w:rPr>
                      <w:color w:val="auto"/>
                    </w:rPr>
                  </w:pPr>
                  <w:r>
                    <w:rPr>
                      <w:color w:val="auto"/>
                    </w:rPr>
                    <w:t>内容</w:t>
                  </w:r>
                </w:p>
              </w:tc>
              <w:tc>
                <w:tcPr>
                  <w:tcW w:w="312" w:type="pct"/>
                  <w:vMerge w:val="restart"/>
                  <w:vAlign w:val="center"/>
                </w:tcPr>
                <w:p>
                  <w:pPr>
                    <w:pStyle w:val="23"/>
                    <w:bidi w:val="0"/>
                    <w:rPr>
                      <w:color w:val="auto"/>
                    </w:rPr>
                  </w:pPr>
                  <w:r>
                    <w:rPr>
                      <w:color w:val="auto"/>
                    </w:rPr>
                    <w:t>环境功能区</w:t>
                  </w:r>
                </w:p>
              </w:tc>
              <w:tc>
                <w:tcPr>
                  <w:tcW w:w="340" w:type="pct"/>
                  <w:vMerge w:val="restart"/>
                  <w:vAlign w:val="center"/>
                </w:tcPr>
                <w:p>
                  <w:pPr>
                    <w:pStyle w:val="23"/>
                    <w:bidi w:val="0"/>
                    <w:rPr>
                      <w:color w:val="auto"/>
                    </w:rPr>
                  </w:pPr>
                  <w:r>
                    <w:rPr>
                      <w:color w:val="auto"/>
                    </w:rPr>
                    <w:t>相对厂址方位</w:t>
                  </w:r>
                </w:p>
              </w:tc>
              <w:tc>
                <w:tcPr>
                  <w:tcW w:w="443" w:type="pct"/>
                  <w:vMerge w:val="restart"/>
                  <w:vAlign w:val="center"/>
                </w:tcPr>
                <w:p>
                  <w:pPr>
                    <w:pStyle w:val="23"/>
                    <w:bidi w:val="0"/>
                    <w:rPr>
                      <w:color w:val="auto"/>
                    </w:rPr>
                  </w:pPr>
                  <w:r>
                    <w:rPr>
                      <w:color w:val="auto"/>
                    </w:rPr>
                    <w:t>相对厂界距离/m</w:t>
                  </w:r>
                </w:p>
              </w:tc>
              <w:tc>
                <w:tcPr>
                  <w:tcW w:w="959" w:type="pct"/>
                  <w:vMerge w:val="restart"/>
                  <w:vAlign w:val="center"/>
                </w:tcPr>
                <w:p>
                  <w:pPr>
                    <w:pStyle w:val="23"/>
                    <w:bidi w:val="0"/>
                    <w:rPr>
                      <w:color w:val="auto"/>
                    </w:rPr>
                  </w:pPr>
                  <w:r>
                    <w:rPr>
                      <w:rFonts w:hint="eastAsia"/>
                      <w:color w:val="auto"/>
                    </w:rPr>
                    <w:t>保护级别</w:t>
                  </w:r>
                </w:p>
              </w:tc>
            </w:tr>
            <w:tr>
              <w:tc>
                <w:tcPr>
                  <w:tcW w:w="315" w:type="pct"/>
                  <w:vMerge/>
                  <w:vAlign w:val="center"/>
                </w:tcPr>
                <w:p/>
              </w:tc>
              <w:tc>
                <w:tcPr>
                  <w:tcW w:w="919" w:type="pct"/>
                  <w:tcBorders>
                    <w:left w:val="single" w:sz="4" w:space="0" w:color="auto"/>
                  </w:tcBorders>
                  <w:vAlign w:val="center"/>
                </w:tcPr>
                <w:p>
                  <w:pPr>
                    <w:pStyle w:val="23"/>
                    <w:bidi w:val="0"/>
                    <w:rPr>
                      <w:color w:val="auto"/>
                    </w:rPr>
                  </w:pPr>
                  <w:r>
                    <w:rPr>
                      <w:rFonts w:hint="eastAsia"/>
                      <w:color w:val="auto"/>
                    </w:rPr>
                    <w:t>E</w:t>
                  </w:r>
                </w:p>
              </w:tc>
              <w:tc>
                <w:tcPr>
                  <w:tcW w:w="781" w:type="pct"/>
                  <w:tcBorders>
                    <w:left w:val="single" w:sz="4" w:space="0" w:color="auto"/>
                  </w:tcBorders>
                  <w:vAlign w:val="center"/>
                </w:tcPr>
                <w:p>
                  <w:pPr>
                    <w:pStyle w:val="23"/>
                    <w:bidi w:val="0"/>
                    <w:rPr>
                      <w:color w:val="auto"/>
                    </w:rPr>
                  </w:pPr>
                  <w:r>
                    <w:rPr>
                      <w:rFonts w:hint="eastAsia"/>
                      <w:color w:val="auto"/>
                    </w:rPr>
                    <w:t>N</w:t>
                  </w:r>
                </w:p>
              </w:tc>
              <w:tc>
                <w:tcPr>
                  <w:tcW w:w="571" w:type="pct"/>
                  <w:vMerge/>
                  <w:tcBorders>
                    <w:left w:val="single" w:sz="4" w:space="0" w:color="auto"/>
                  </w:tcBorders>
                  <w:vAlign w:val="center"/>
                </w:tcPr>
                <w:p/>
              </w:tc>
              <w:tc>
                <w:tcPr>
                  <w:tcW w:w="357" w:type="pct"/>
                  <w:vMerge/>
                  <w:tcBorders>
                    <w:left w:val="single" w:sz="4" w:space="0" w:color="auto"/>
                  </w:tcBorders>
                  <w:vAlign w:val="center"/>
                </w:tcPr>
                <w:p/>
              </w:tc>
              <w:tc>
                <w:tcPr>
                  <w:tcW w:w="312" w:type="pct"/>
                  <w:vMerge/>
                  <w:tcBorders>
                    <w:left w:val="single" w:sz="4" w:space="0" w:color="auto"/>
                  </w:tcBorders>
                  <w:vAlign w:val="center"/>
                </w:tcPr>
                <w:p/>
              </w:tc>
              <w:tc>
                <w:tcPr>
                  <w:tcW w:w="340" w:type="pct"/>
                  <w:vMerge/>
                  <w:tcBorders>
                    <w:left w:val="single" w:sz="4" w:space="0" w:color="auto"/>
                  </w:tcBorders>
                  <w:vAlign w:val="center"/>
                </w:tcPr>
                <w:p/>
              </w:tc>
              <w:tc>
                <w:tcPr>
                  <w:tcW w:w="443" w:type="pct"/>
                  <w:vMerge/>
                  <w:tcBorders>
                    <w:left w:val="single" w:sz="4" w:space="0" w:color="auto"/>
                  </w:tcBorders>
                  <w:vAlign w:val="center"/>
                </w:tcPr>
                <w:p/>
              </w:tc>
              <w:tc>
                <w:tcPr>
                  <w:tcW w:w="959" w:type="pct"/>
                  <w:vMerge/>
                  <w:tcBorders>
                    <w:left w:val="single" w:sz="4" w:space="0" w:color="auto"/>
                  </w:tcBorders>
                  <w:vAlign w:val="center"/>
                </w:tcPr>
                <w:p/>
              </w:tc>
            </w:tr>
            <w:tr>
              <w:trPr>
                <w:trHeight w:val="1089"/>
              </w:trPr>
              <w:tc>
                <w:tcPr>
                  <w:tcW w:w="315" w:type="pct"/>
                  <w:vAlign w:val="center"/>
                </w:tcPr>
                <w:p>
                  <w:pPr>
                    <w:pStyle w:val="23"/>
                    <w:bidi w:val="0"/>
                    <w:rPr>
                      <w:color w:val="auto"/>
                    </w:rPr>
                  </w:pPr>
                  <w:r>
                    <w:rPr>
                      <w:color w:val="auto"/>
                    </w:rPr>
                    <w:t>环境空气</w:t>
                  </w:r>
                </w:p>
              </w:tc>
              <w:tc>
                <w:tcPr>
                  <w:tcW w:w="919" w:type="pct"/>
                  <w:tcBorders>
                    <w:left w:val="single" w:sz="4" w:space="0" w:color="auto"/>
                  </w:tcBorders>
                  <w:vAlign w:val="center"/>
                </w:tcPr>
                <w:p>
                  <w:pPr>
                    <w:pStyle w:val="23"/>
                    <w:bidi w:val="0"/>
                    <w:rPr>
                      <w:color w:val="auto"/>
                    </w:rPr>
                  </w:pPr>
                  <w:r>
                    <w:rPr>
                      <w:color w:val="auto"/>
                    </w:rPr>
                    <w:t>114°38′0.802″</w:t>
                  </w:r>
                </w:p>
              </w:tc>
              <w:tc>
                <w:tcPr>
                  <w:tcW w:w="781" w:type="pct"/>
                  <w:tcBorders>
                    <w:left w:val="single" w:sz="4" w:space="0" w:color="auto"/>
                  </w:tcBorders>
                  <w:vAlign w:val="center"/>
                </w:tcPr>
                <w:p>
                  <w:pPr>
                    <w:pStyle w:val="23"/>
                    <w:bidi w:val="0"/>
                    <w:rPr>
                      <w:color w:val="auto"/>
                    </w:rPr>
                  </w:pPr>
                  <w:r>
                    <w:rPr>
                      <w:color w:val="auto"/>
                    </w:rPr>
                    <w:t>37°52′25.842″</w:t>
                  </w:r>
                </w:p>
              </w:tc>
              <w:tc>
                <w:tcPr>
                  <w:tcW w:w="571" w:type="pct"/>
                  <w:tcBorders>
                    <w:left w:val="single" w:sz="4" w:space="0" w:color="auto"/>
                  </w:tcBorders>
                  <w:vAlign w:val="center"/>
                </w:tcPr>
                <w:p>
                  <w:pPr>
                    <w:pStyle w:val="23"/>
                    <w:bidi w:val="0"/>
                    <w:rPr>
                      <w:color w:val="auto"/>
                    </w:rPr>
                  </w:pPr>
                  <w:r>
                    <w:rPr>
                      <w:rFonts w:hint="eastAsia"/>
                      <w:color w:val="auto"/>
                    </w:rPr>
                    <w:t>前彪冢村</w:t>
                  </w:r>
                </w:p>
              </w:tc>
              <w:tc>
                <w:tcPr>
                  <w:tcW w:w="357" w:type="pct"/>
                  <w:tcBorders>
                    <w:left w:val="single" w:sz="4" w:space="0" w:color="auto"/>
                  </w:tcBorders>
                  <w:vAlign w:val="center"/>
                </w:tcPr>
                <w:p>
                  <w:pPr>
                    <w:pStyle w:val="23"/>
                    <w:bidi w:val="0"/>
                    <w:rPr>
                      <w:color w:val="auto"/>
                    </w:rPr>
                  </w:pPr>
                  <w:r>
                    <w:rPr>
                      <w:color w:val="auto"/>
                    </w:rPr>
                    <w:t>居民</w:t>
                  </w:r>
                </w:p>
              </w:tc>
              <w:tc>
                <w:tcPr>
                  <w:tcW w:w="312" w:type="pct"/>
                  <w:tcBorders>
                    <w:left w:val="single" w:sz="4" w:space="0" w:color="auto"/>
                  </w:tcBorders>
                  <w:vAlign w:val="center"/>
                </w:tcPr>
                <w:p>
                  <w:pPr>
                    <w:pStyle w:val="23"/>
                    <w:bidi w:val="0"/>
                    <w:rPr>
                      <w:color w:val="auto"/>
                    </w:rPr>
                  </w:pPr>
                  <w:r>
                    <w:rPr>
                      <w:color w:val="auto"/>
                    </w:rPr>
                    <w:t>二类</w:t>
                  </w:r>
                </w:p>
              </w:tc>
              <w:tc>
                <w:tcPr>
                  <w:tcW w:w="340"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北</w:t>
                  </w:r>
                </w:p>
              </w:tc>
              <w:tc>
                <w:tcPr>
                  <w:tcW w:w="443"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290</w:t>
                  </w:r>
                </w:p>
              </w:tc>
              <w:tc>
                <w:tcPr>
                  <w:tcW w:w="959" w:type="pct"/>
                  <w:tcBorders>
                    <w:left w:val="single" w:sz="4" w:space="0" w:color="auto"/>
                  </w:tcBorders>
                  <w:vAlign w:val="center"/>
                </w:tcPr>
                <w:p>
                  <w:pPr>
                    <w:pStyle w:val="23"/>
                    <w:bidi w:val="0"/>
                    <w:rPr>
                      <w:color w:val="auto"/>
                    </w:rPr>
                  </w:pPr>
                  <w:r>
                    <w:rPr>
                      <w:rFonts w:hint="eastAsia"/>
                      <w:color w:val="auto"/>
                      <w:lang w:val="en-US" w:eastAsia="zh-CN"/>
                    </w:rPr>
                    <w:t>《环境空气质量标准》(GB3095-2026)过渡阶段</w:t>
                  </w:r>
                  <w:r>
                    <w:rPr>
                      <w:color w:val="auto"/>
                      <w:lang w:val="en-US"/>
                    </w:rPr>
                    <w:t>二级标准</w:t>
                  </w:r>
                </w:p>
              </w:tc>
            </w:tr>
          </w:tbl>
          <w:p>
            <w:pPr>
              <w:spacing w:line="360" w:lineRule="auto"/>
              <w:ind w:firstLineChars="200" w:firstLine="480"/>
              <w:rPr>
                <w:b/>
                <w:bCs/>
                <w:color w:val="auto"/>
                <w:sz w:val="24"/>
              </w:rPr>
            </w:pPr>
            <w:r>
              <w:rPr>
                <w:rFonts w:hint="eastAsia"/>
                <w:b/>
                <w:bCs/>
                <w:color w:val="auto"/>
                <w:sz w:val="24"/>
              </w:rPr>
              <w:t>2、声环境保护目标</w:t>
            </w:r>
          </w:p>
          <w:p>
            <w:pPr>
              <w:spacing w:line="360" w:lineRule="auto"/>
              <w:ind w:firstLineChars="200" w:firstLine="480"/>
              <w:rPr>
                <w:color w:val="auto"/>
                <w:sz w:val="24"/>
              </w:rPr>
            </w:pPr>
            <w:r>
              <w:rPr>
                <w:rFonts w:hint="eastAsia"/>
                <w:color w:val="auto"/>
                <w:sz w:val="24"/>
              </w:rPr>
              <w:t>经现场踏勘，建设项目厂界外50米范围内无声环境保护目标。</w:t>
            </w:r>
          </w:p>
          <w:p>
            <w:pPr>
              <w:spacing w:line="360" w:lineRule="auto"/>
              <w:ind w:firstLineChars="200" w:firstLine="480"/>
              <w:rPr>
                <w:b/>
                <w:bCs/>
                <w:color w:val="auto"/>
                <w:sz w:val="24"/>
              </w:rPr>
            </w:pPr>
            <w:r>
              <w:rPr>
                <w:rFonts w:hint="eastAsia"/>
                <w:b/>
                <w:bCs/>
                <w:color w:val="auto"/>
                <w:sz w:val="24"/>
              </w:rPr>
              <w:t>3、地下水环境保护目标</w:t>
            </w:r>
          </w:p>
          <w:p>
            <w:pPr>
              <w:spacing w:line="360" w:lineRule="auto"/>
              <w:ind w:firstLineChars="200" w:firstLine="480"/>
              <w:rPr>
                <w:color w:val="auto"/>
                <w:sz w:val="24"/>
              </w:rPr>
            </w:pPr>
            <w:r>
              <w:rPr>
                <w:rFonts w:hint="eastAsia"/>
                <w:color w:val="auto"/>
                <w:sz w:val="24"/>
              </w:rPr>
              <w:t>建设项目厂界外500米范围内无地下水集中式饮用水水源和热水、矿泉水、温泉等特殊地下水资源。</w:t>
            </w:r>
          </w:p>
          <w:p>
            <w:pPr>
              <w:numPr>
                <w:ilvl w:val="0"/>
                <w:numId w:val="5"/>
              </w:numPr>
              <w:spacing w:line="360" w:lineRule="auto"/>
              <w:ind w:left="0" w:firstLineChars="200" w:firstLine="480"/>
              <w:rPr>
                <w:b/>
                <w:bCs/>
                <w:color w:val="auto"/>
                <w:sz w:val="24"/>
              </w:rPr>
            </w:pPr>
            <w:r>
              <w:rPr>
                <w:rFonts w:hint="eastAsia"/>
                <w:b/>
                <w:bCs/>
                <w:color w:val="auto"/>
                <w:sz w:val="24"/>
              </w:rPr>
              <w:t>生态环境保护目标</w:t>
            </w:r>
          </w:p>
          <w:p>
            <w:pPr>
              <w:spacing w:line="360" w:lineRule="auto"/>
              <w:ind w:firstLineChars="200" w:firstLine="480"/>
              <w:rPr>
                <w:rFonts w:hint="eastAsia"/>
                <w:color w:val="auto"/>
                <w:sz w:val="24"/>
                <w:szCs w:val="24"/>
              </w:rPr>
            </w:pPr>
            <w:r>
              <w:rPr>
                <w:rFonts w:hint="eastAsia"/>
                <w:color w:val="auto"/>
                <w:sz w:val="24"/>
                <w:szCs w:val="24"/>
              </w:rPr>
              <w:t>项目区域</w:t>
            </w:r>
            <w:r>
              <w:rPr>
                <w:rFonts w:hint="eastAsia"/>
                <w:color w:val="auto"/>
                <w:sz w:val="24"/>
                <w:szCs w:val="24"/>
                <w:lang w:eastAsia="zh-CN"/>
              </w:rPr>
              <w:t>内</w:t>
            </w:r>
            <w:r>
              <w:rPr>
                <w:rFonts w:hint="eastAsia"/>
                <w:color w:val="auto"/>
                <w:sz w:val="24"/>
                <w:szCs w:val="24"/>
              </w:rPr>
              <w:t>无自然保护区、名胜古迹、风景区、重要的文物景观和珍稀动物保护区等生态环境保护目标。</w:t>
            </w:r>
          </w:p>
        </w:tc>
      </w:tr>
      <w:tr>
        <w:trPr>
          <w:trHeight w:val="12797"/>
        </w:trPr>
        <w:tc>
          <w:tcPr>
            <w:tcW w:w="283" w:type="pct"/>
            <w:tcMar>
              <w:left w:w="28"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kern w:val="0"/>
                <w:szCs w:val="21"/>
              </w:rPr>
            </w:pPr>
            <w:r>
              <w:rPr>
                <w:color w:val="auto"/>
                <w:kern w:val="0"/>
                <w:sz w:val="24"/>
              </w:rPr>
              <w:t>污染物排放控制标准</w:t>
            </w:r>
          </w:p>
        </w:tc>
        <w:tc>
          <w:tcPr>
            <w:tcW w:w="4716" w:type="pct"/>
            <w:tcBorders>
              <w:left w:val="single" w:sz="4" w:space="0" w:color="auto"/>
            </w:tcBorders>
            <w:vAlign w:val="center"/>
          </w:tcPr>
          <w:p>
            <w:pPr>
              <w:bidi w:val="0"/>
              <w:spacing w:line="360" w:lineRule="auto"/>
              <w:rPr>
                <w:color w:val="auto"/>
              </w:rPr>
            </w:pPr>
            <w:r>
              <w:rPr>
                <w:color w:val="auto"/>
              </w:rPr>
              <w:t>施工期：</w:t>
            </w:r>
          </w:p>
          <w:p>
            <w:pPr>
              <w:bidi w:val="0"/>
              <w:spacing w:line="360" w:lineRule="auto"/>
              <w:rPr>
                <w:color w:val="auto"/>
              </w:rPr>
            </w:pPr>
            <w:r>
              <w:rPr>
                <w:color w:val="auto"/>
              </w:rPr>
              <w:t>1、废气</w:t>
            </w:r>
          </w:p>
          <w:p>
            <w:pPr>
              <w:bidi w:val="0"/>
              <w:spacing w:line="360" w:lineRule="auto"/>
              <w:rPr>
                <w:color w:val="auto"/>
              </w:rPr>
            </w:pPr>
            <w:r>
              <w:rPr>
                <w:rFonts w:hint="eastAsia"/>
                <w:color w:val="auto"/>
              </w:rPr>
              <w:t>本项目</w:t>
            </w:r>
            <w:r>
              <w:rPr>
                <w:color w:val="auto"/>
              </w:rPr>
              <w:t>施工期颗粒物执行《施工场地扬尘排放标准》（DB13/2934-2019）表1扬尘排放浓度限值要求。具体标准值见表3-</w:t>
            </w:r>
            <w:r>
              <w:rPr>
                <w:rFonts w:hint="eastAsia"/>
                <w:color w:val="auto"/>
                <w:lang w:val="en-US" w:eastAsia="zh-CN"/>
              </w:rPr>
              <w:t>6</w:t>
            </w:r>
            <w:r>
              <w:rPr>
                <w:color w:val="auto"/>
              </w:rPr>
              <w:t>。</w:t>
            </w:r>
          </w:p>
          <w:p>
            <w:pPr>
              <w:spacing w:line="240" w:lineRule="auto"/>
              <w:ind w:firstLineChars="200" w:firstLine="480"/>
              <w:jc w:val="center"/>
              <w:rPr>
                <w:b/>
                <w:bCs/>
                <w:color w:val="auto"/>
                <w:sz w:val="24"/>
              </w:rPr>
            </w:pPr>
            <w:r>
              <w:rPr>
                <w:b/>
                <w:bCs/>
                <w:color w:val="auto"/>
                <w:sz w:val="24"/>
              </w:rPr>
              <w:t>表3-</w:t>
            </w:r>
            <w:r>
              <w:rPr>
                <w:rFonts w:hint="eastAsia"/>
                <w:b/>
                <w:bCs/>
                <w:color w:val="auto"/>
                <w:sz w:val="24"/>
                <w:lang w:val="en-US" w:eastAsia="zh-CN"/>
              </w:rPr>
              <w:t>6</w:t>
            </w:r>
            <w:r>
              <w:rPr>
                <w:rFonts w:hint="eastAsia"/>
                <w:b/>
                <w:bCs/>
                <w:color w:val="auto"/>
                <w:sz w:val="24"/>
              </w:rPr>
              <w:t xml:space="preserve">  </w:t>
            </w:r>
            <w:r>
              <w:rPr>
                <w:b/>
                <w:bCs/>
                <w:color w:val="auto"/>
                <w:sz w:val="24"/>
              </w:rPr>
              <w:t>扬尘排放浓度限值</w:t>
            </w:r>
          </w:p>
          <w:tbl>
            <w:tblPr>
              <w:jc w:val="left"/>
              <w:tblInd w:w="0" w:type="dxa"/>
              <w:tblW w:w="4999" w:type="pct"/>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1937"/>
              <w:gridCol w:w="2909"/>
              <w:gridCol w:w="3674"/>
            </w:tblGrid>
            <w:tr>
              <w:trPr>
                <w:trHeight w:val="340"/>
              </w:trPr>
              <w:tc>
                <w:tcPr>
                  <w:tcW w:w="1137" w:type="pct"/>
                  <w:tcBorders>
                    <w:tl2br w:val="nil"/>
                    <w:tr2bl w:val="nil"/>
                  </w:tcBorders>
                  <w:vAlign w:val="center"/>
                </w:tcPr>
                <w:p>
                  <w:pPr>
                    <w:pStyle w:val="23"/>
                    <w:bidi w:val="0"/>
                    <w:rPr>
                      <w:color w:val="auto"/>
                    </w:rPr>
                  </w:pPr>
                  <w:r>
                    <w:rPr>
                      <w:color w:val="auto"/>
                    </w:rPr>
                    <w:t>控制项目</w:t>
                  </w:r>
                </w:p>
              </w:tc>
              <w:tc>
                <w:tcPr>
                  <w:tcW w:w="1707" w:type="pct"/>
                  <w:tcBorders>
                    <w:tl2br w:val="nil"/>
                    <w:tr2bl w:val="nil"/>
                  </w:tcBorders>
                  <w:vAlign w:val="center"/>
                </w:tcPr>
                <w:p>
                  <w:pPr>
                    <w:pStyle w:val="23"/>
                    <w:bidi w:val="0"/>
                    <w:rPr>
                      <w:color w:val="auto"/>
                    </w:rPr>
                  </w:pPr>
                  <w:r>
                    <w:rPr>
                      <w:color w:val="auto"/>
                    </w:rPr>
                    <w:t>监控点浓度限值a（μg/</w:t>
                  </w:r>
                  <w:r>
                    <w:rPr>
                      <w:rFonts w:hint="eastAsia"/>
                      <w:color w:val="auto"/>
                      <w:lang w:val="en-US" w:eastAsia="zh-CN"/>
                    </w:rPr>
                    <w:t>m³</w:t>
                  </w:r>
                  <w:r>
                    <w:rPr>
                      <w:color w:val="auto"/>
                    </w:rPr>
                    <w:t>）</w:t>
                  </w:r>
                </w:p>
              </w:tc>
              <w:tc>
                <w:tcPr>
                  <w:tcW w:w="2154" w:type="pct"/>
                  <w:tcBorders>
                    <w:tl2br w:val="nil"/>
                    <w:tr2bl w:val="nil"/>
                  </w:tcBorders>
                  <w:vAlign w:val="center"/>
                </w:tcPr>
                <w:p>
                  <w:pPr>
                    <w:pStyle w:val="23"/>
                    <w:bidi w:val="0"/>
                    <w:rPr>
                      <w:color w:val="auto"/>
                    </w:rPr>
                  </w:pPr>
                  <w:r>
                    <w:rPr>
                      <w:color w:val="auto"/>
                    </w:rPr>
                    <w:t>达标判定依据（次/天）</w:t>
                  </w:r>
                </w:p>
              </w:tc>
            </w:tr>
            <w:tr>
              <w:trPr>
                <w:trHeight w:val="340"/>
              </w:trPr>
              <w:tc>
                <w:tcPr>
                  <w:tcW w:w="1137" w:type="pct"/>
                  <w:tcBorders>
                    <w:tl2br w:val="nil"/>
                    <w:tr2bl w:val="nil"/>
                  </w:tcBorders>
                  <w:vAlign w:val="center"/>
                </w:tcPr>
                <w:p>
                  <w:pPr>
                    <w:pStyle w:val="23"/>
                    <w:bidi w:val="0"/>
                    <w:rPr>
                      <w:color w:val="auto"/>
                    </w:rPr>
                  </w:pPr>
                  <w:r>
                    <w:rPr>
                      <w:color w:val="auto"/>
                    </w:rPr>
                    <w:t>PM</w:t>
                  </w:r>
                  <w:r>
                    <w:rPr>
                      <w:color w:val="auto"/>
                      <w:vertAlign w:val="subscript"/>
                    </w:rPr>
                    <w:t>10</w:t>
                  </w:r>
                </w:p>
              </w:tc>
              <w:tc>
                <w:tcPr>
                  <w:tcW w:w="1707" w:type="pct"/>
                  <w:tcBorders>
                    <w:tl2br w:val="nil"/>
                    <w:tr2bl w:val="nil"/>
                  </w:tcBorders>
                  <w:vAlign w:val="center"/>
                </w:tcPr>
                <w:p>
                  <w:pPr>
                    <w:pStyle w:val="23"/>
                    <w:bidi w:val="0"/>
                    <w:rPr>
                      <w:color w:val="auto"/>
                    </w:rPr>
                  </w:pPr>
                  <w:r>
                    <w:rPr>
                      <w:color w:val="auto"/>
                    </w:rPr>
                    <w:t>80</w:t>
                  </w:r>
                </w:p>
              </w:tc>
              <w:tc>
                <w:tcPr>
                  <w:tcW w:w="2154" w:type="pct"/>
                  <w:tcBorders>
                    <w:tl2br w:val="nil"/>
                    <w:tr2bl w:val="nil"/>
                  </w:tcBorders>
                  <w:vAlign w:val="center"/>
                </w:tcPr>
                <w:p>
                  <w:pPr>
                    <w:pStyle w:val="23"/>
                    <w:bidi w:val="0"/>
                    <w:rPr>
                      <w:color w:val="auto"/>
                    </w:rPr>
                  </w:pPr>
                  <w:r>
                    <w:rPr>
                      <w:color w:val="auto"/>
                    </w:rPr>
                    <w:t>≤2</w:t>
                  </w:r>
                </w:p>
              </w:tc>
            </w:tr>
            <w:tr>
              <w:trPr>
                <w:trHeight w:val="90"/>
              </w:trPr>
              <w:tc>
                <w:tcPr>
                  <w:tcW w:w="5000" w:type="pct"/>
                  <w:gridSpan w:val="3"/>
                  <w:tcBorders>
                    <w:tl2br w:val="nil"/>
                    <w:tr2bl w:val="nil"/>
                  </w:tcBorders>
                  <w:vAlign w:val="center"/>
                </w:tcPr>
                <w:p>
                  <w:pPr>
                    <w:pStyle w:val="23"/>
                    <w:bidi w:val="0"/>
                    <w:rPr>
                      <w:color w:val="auto"/>
                    </w:rPr>
                  </w:pPr>
                  <w:r>
                    <w:rPr>
                      <w:color w:val="auto"/>
                    </w:rPr>
                    <w:t>a指监测点PM</w:t>
                  </w:r>
                  <w:r>
                    <w:rPr>
                      <w:color w:val="auto"/>
                      <w:vertAlign w:val="subscript"/>
                    </w:rPr>
                    <w:t>10</w:t>
                  </w:r>
                  <w:r>
                    <w:rPr>
                      <w:color w:val="auto"/>
                    </w:rPr>
                    <w:t>小时平均浓度实测值与同时段所属县（市、区）PM10小时平均浓度的差值。当县（市、区）PM</w:t>
                  </w:r>
                  <w:r>
                    <w:rPr>
                      <w:color w:val="auto"/>
                      <w:vertAlign w:val="subscript"/>
                    </w:rPr>
                    <w:t>10</w:t>
                  </w:r>
                  <w:r>
                    <w:rPr>
                      <w:color w:val="auto"/>
                    </w:rPr>
                    <w:t>小时平均浓度值大于150µg/</w:t>
                  </w:r>
                  <w:r>
                    <w:rPr>
                      <w:rFonts w:hint="eastAsia"/>
                      <w:color w:val="auto"/>
                      <w:lang w:val="en-US" w:eastAsia="zh-CN"/>
                    </w:rPr>
                    <w:t>m³</w:t>
                  </w:r>
                  <w:r>
                    <w:rPr>
                      <w:color w:val="auto"/>
                    </w:rPr>
                    <w:t>时，以150µg/</w:t>
                  </w:r>
                  <w:r>
                    <w:rPr>
                      <w:rFonts w:hint="eastAsia"/>
                      <w:color w:val="auto"/>
                      <w:lang w:val="en-US" w:eastAsia="zh-CN"/>
                    </w:rPr>
                    <w:t>m³</w:t>
                  </w:r>
                  <w:r>
                    <w:rPr>
                      <w:color w:val="auto"/>
                    </w:rPr>
                    <w:t>计。</w:t>
                  </w:r>
                </w:p>
              </w:tc>
            </w:tr>
          </w:tbl>
          <w:p>
            <w:pPr>
              <w:spacing w:line="480" w:lineRule="exact"/>
              <w:ind w:left="0" w:firstLineChars="200" w:firstLine="480"/>
              <w:rPr>
                <w:color w:val="auto"/>
                <w:sz w:val="24"/>
              </w:rPr>
            </w:pPr>
            <w:r>
              <w:rPr>
                <w:rFonts w:ascii="Times New Roman" w:eastAsia="宋体" w:cs="Times New Roman" w:hAnsi="Times New Roman"/>
                <w:color w:val="auto"/>
                <w:kern w:val="2"/>
                <w:sz w:val="24"/>
                <w:szCs w:val="24"/>
                <w:lang w:val="en-US" w:eastAsia="zh-CN" w:bidi="ar-SA"/>
              </w:rPr>
              <w:t>2、</w:t>
            </w:r>
            <w:r>
              <w:rPr>
                <w:color w:val="auto"/>
                <w:sz w:val="24"/>
              </w:rPr>
              <w:t>废水</w:t>
            </w:r>
          </w:p>
          <w:p>
            <w:pPr>
              <w:spacing w:line="480" w:lineRule="exact"/>
              <w:ind w:firstLineChars="200" w:firstLine="480"/>
              <w:rPr>
                <w:color w:val="auto"/>
              </w:rPr>
            </w:pPr>
            <w:r>
              <w:rPr>
                <w:color w:val="auto"/>
                <w:sz w:val="24"/>
              </w:rPr>
              <w:t>本项目施工期无废水外排。</w:t>
            </w:r>
          </w:p>
          <w:p>
            <w:pPr>
              <w:spacing w:line="480" w:lineRule="exact"/>
              <w:ind w:firstLineChars="200" w:firstLine="480"/>
              <w:rPr>
                <w:color w:val="auto"/>
                <w:sz w:val="24"/>
              </w:rPr>
            </w:pPr>
            <w:r>
              <w:rPr>
                <w:color w:val="auto"/>
                <w:sz w:val="24"/>
              </w:rPr>
              <w:t>3、噪声</w:t>
            </w:r>
          </w:p>
          <w:p>
            <w:pPr>
              <w:spacing w:line="480" w:lineRule="exact"/>
              <w:ind w:firstLineChars="200" w:firstLine="480"/>
              <w:rPr>
                <w:color w:val="auto"/>
                <w:sz w:val="24"/>
              </w:rPr>
            </w:pPr>
            <w:r>
              <w:rPr>
                <w:color w:val="auto"/>
                <w:sz w:val="24"/>
              </w:rPr>
              <w:t>本项目施工期噪声执行</w:t>
            </w:r>
            <w:r>
              <w:rPr>
                <w:rFonts w:hint="eastAsia"/>
                <w:color w:val="auto"/>
                <w:sz w:val="24"/>
                <w:lang w:eastAsia="zh-CN"/>
              </w:rPr>
              <w:t>《建筑施工噪声排放标准》（GB 12523-2025）</w:t>
            </w:r>
            <w:r>
              <w:rPr>
                <w:color w:val="auto"/>
                <w:sz w:val="24"/>
              </w:rPr>
              <w:t>表1标准。具体标准值见表3-</w:t>
            </w:r>
            <w:r>
              <w:rPr>
                <w:rFonts w:hint="eastAsia"/>
                <w:color w:val="auto"/>
                <w:sz w:val="24"/>
                <w:lang w:val="en-US" w:eastAsia="zh-CN"/>
              </w:rPr>
              <w:t>7</w:t>
            </w:r>
            <w:r>
              <w:rPr>
                <w:color w:val="auto"/>
                <w:sz w:val="24"/>
              </w:rPr>
              <w:t>。</w:t>
            </w:r>
          </w:p>
          <w:p>
            <w:pPr>
              <w:spacing w:line="480" w:lineRule="exact"/>
              <w:ind w:firstLineChars="200" w:firstLine="480"/>
              <w:jc w:val="center"/>
              <w:rPr>
                <w:b/>
                <w:bCs/>
                <w:color w:val="auto"/>
                <w:szCs w:val="22"/>
              </w:rPr>
            </w:pPr>
            <w:r>
              <w:rPr>
                <w:b/>
                <w:bCs/>
                <w:color w:val="auto"/>
                <w:sz w:val="24"/>
              </w:rPr>
              <w:t>表3-</w:t>
            </w:r>
            <w:r>
              <w:rPr>
                <w:rFonts w:hint="eastAsia"/>
                <w:b/>
                <w:bCs/>
                <w:color w:val="auto"/>
                <w:sz w:val="24"/>
                <w:lang w:val="en-US" w:eastAsia="zh-CN"/>
              </w:rPr>
              <w:t>7</w:t>
            </w:r>
            <w:r>
              <w:rPr>
                <w:rFonts w:hint="eastAsia"/>
                <w:b/>
                <w:bCs/>
                <w:color w:val="auto"/>
                <w:sz w:val="24"/>
              </w:rPr>
              <w:t xml:space="preserve">  </w:t>
            </w:r>
            <w:r>
              <w:rPr>
                <w:b/>
                <w:bCs/>
                <w:color w:val="auto"/>
                <w:sz w:val="24"/>
              </w:rPr>
              <w:t>建筑施工场界环境噪声排放限值</w:t>
            </w:r>
            <w:r>
              <w:rPr>
                <w:rFonts w:hint="eastAsia"/>
                <w:b/>
                <w:bCs/>
                <w:color w:val="auto"/>
                <w:sz w:val="24"/>
                <w:lang w:val="en-US" w:eastAsia="zh-CN"/>
              </w:rPr>
              <w:t xml:space="preserve">       </w:t>
            </w:r>
            <w:r>
              <w:rPr>
                <w:b/>
                <w:bCs/>
                <w:color w:val="auto"/>
                <w:sz w:val="24"/>
              </w:rPr>
              <w:t>单位：dB(A</w:t>
            </w:r>
            <w:r>
              <w:rPr>
                <w:b/>
                <w:bCs/>
                <w:color w:val="auto"/>
                <w:szCs w:val="22"/>
              </w:rPr>
              <w:t>)</w:t>
            </w:r>
          </w:p>
          <w:tbl>
            <w:tblPr>
              <w:jc w:val="left"/>
              <w:tblInd w:w="0" w:type="dxa"/>
              <w:tblW w:w="4999" w:type="pct"/>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4228"/>
              <w:gridCol w:w="4291"/>
            </w:tblGrid>
            <w:tr>
              <w:trPr>
                <w:trHeight w:val="340"/>
              </w:trPr>
              <w:tc>
                <w:tcPr>
                  <w:tcW w:w="2481" w:type="pct"/>
                  <w:tcBorders>
                    <w:tl2br w:val="nil"/>
                    <w:tr2bl w:val="nil"/>
                  </w:tcBorders>
                  <w:vAlign w:val="center"/>
                </w:tcPr>
                <w:p>
                  <w:pPr>
                    <w:pStyle w:val="23"/>
                    <w:bidi w:val="0"/>
                    <w:rPr>
                      <w:color w:val="auto"/>
                    </w:rPr>
                  </w:pPr>
                  <w:r>
                    <w:rPr>
                      <w:color w:val="auto"/>
                    </w:rPr>
                    <w:t>昼间</w:t>
                  </w:r>
                </w:p>
              </w:tc>
              <w:tc>
                <w:tcPr>
                  <w:tcW w:w="2518" w:type="pct"/>
                  <w:tcBorders>
                    <w:tl2br w:val="nil"/>
                    <w:tr2bl w:val="nil"/>
                  </w:tcBorders>
                  <w:vAlign w:val="center"/>
                </w:tcPr>
                <w:p>
                  <w:pPr>
                    <w:pStyle w:val="23"/>
                    <w:bidi w:val="0"/>
                    <w:rPr>
                      <w:color w:val="auto"/>
                    </w:rPr>
                  </w:pPr>
                  <w:r>
                    <w:rPr>
                      <w:color w:val="auto"/>
                    </w:rPr>
                    <w:t>夜间</w:t>
                  </w:r>
                </w:p>
              </w:tc>
            </w:tr>
            <w:tr>
              <w:trPr>
                <w:trHeight w:val="340"/>
              </w:trPr>
              <w:tc>
                <w:tcPr>
                  <w:tcW w:w="2481" w:type="pct"/>
                  <w:tcBorders>
                    <w:tl2br w:val="nil"/>
                    <w:tr2bl w:val="nil"/>
                  </w:tcBorders>
                  <w:vAlign w:val="center"/>
                </w:tcPr>
                <w:p>
                  <w:pPr>
                    <w:pStyle w:val="23"/>
                    <w:bidi w:val="0"/>
                    <w:rPr>
                      <w:color w:val="auto"/>
                    </w:rPr>
                  </w:pPr>
                  <w:r>
                    <w:rPr>
                      <w:color w:val="auto"/>
                    </w:rPr>
                    <w:t>70</w:t>
                  </w:r>
                </w:p>
              </w:tc>
              <w:tc>
                <w:tcPr>
                  <w:tcW w:w="2518" w:type="pct"/>
                  <w:tcBorders>
                    <w:tl2br w:val="nil"/>
                    <w:tr2bl w:val="nil"/>
                  </w:tcBorders>
                  <w:vAlign w:val="center"/>
                </w:tcPr>
                <w:p>
                  <w:pPr>
                    <w:pStyle w:val="23"/>
                    <w:bidi w:val="0"/>
                    <w:rPr>
                      <w:color w:val="auto"/>
                    </w:rPr>
                  </w:pPr>
                  <w:r>
                    <w:rPr>
                      <w:color w:val="auto"/>
                    </w:rPr>
                    <w:t>55</w:t>
                  </w:r>
                </w:p>
              </w:tc>
            </w:tr>
          </w:tbl>
          <w:p>
            <w:pPr>
              <w:spacing w:line="480" w:lineRule="exact"/>
              <w:ind w:firstLineChars="200" w:firstLine="480"/>
              <w:rPr>
                <w:b/>
                <w:bCs/>
                <w:color w:val="auto"/>
              </w:rPr>
            </w:pPr>
            <w:r>
              <w:rPr>
                <w:color w:val="auto"/>
                <w:sz w:val="24"/>
              </w:rPr>
              <w:t>4、固体废物</w:t>
            </w:r>
          </w:p>
          <w:p>
            <w:pPr>
              <w:spacing w:line="480" w:lineRule="exact"/>
              <w:ind w:firstLineChars="200" w:firstLine="480"/>
              <w:rPr>
                <w:color w:val="auto"/>
                <w:sz w:val="24"/>
              </w:rPr>
            </w:pPr>
            <w:r>
              <w:rPr>
                <w:rFonts w:hint="eastAsia"/>
                <w:b w:val="0"/>
                <w:bCs/>
                <w:color w:val="auto"/>
                <w:sz w:val="24"/>
              </w:rPr>
              <w:t>本项目</w:t>
            </w:r>
            <w:r>
              <w:rPr>
                <w:b w:val="0"/>
                <w:bCs/>
                <w:color w:val="auto"/>
                <w:sz w:val="24"/>
              </w:rPr>
              <w:t>施工期固体废物执行《一般工业固体废物贮存和填埋污染控制标准》（GB18599-2020）中相关要求规定</w:t>
            </w:r>
            <w:r>
              <w:rPr>
                <w:rFonts w:hint="eastAsia"/>
                <w:b w:val="0"/>
                <w:bCs/>
                <w:color w:val="auto"/>
                <w:sz w:val="24"/>
                <w:lang w:eastAsia="zh-CN"/>
              </w:rPr>
              <w:t>；</w:t>
            </w:r>
            <w:r>
              <w:rPr>
                <w:rFonts w:hint="eastAsia"/>
                <w:b w:val="0"/>
                <w:bCs/>
                <w:color w:val="auto"/>
                <w:sz w:val="24"/>
                <w:lang w:val="en-US" w:eastAsia="zh-CN"/>
              </w:rPr>
              <w:t>生活垃圾执行《河北省城乡生活垃圾分类管理条例》（2021年1月1日起实施）中相关要求规定</w:t>
            </w:r>
            <w:r>
              <w:rPr>
                <w:b w:val="0"/>
                <w:bCs/>
                <w:color w:val="auto"/>
                <w:sz w:val="24"/>
              </w:rPr>
              <w:t>。</w:t>
            </w:r>
          </w:p>
          <w:p>
            <w:pPr>
              <w:spacing w:line="480" w:lineRule="exact"/>
              <w:ind w:firstLineChars="200" w:firstLine="480"/>
              <w:rPr>
                <w:color w:val="auto"/>
                <w:sz w:val="24"/>
              </w:rPr>
            </w:pPr>
            <w:r>
              <w:rPr>
                <w:color w:val="auto"/>
                <w:sz w:val="24"/>
              </w:rPr>
              <w:t>运营期：</w:t>
            </w:r>
          </w:p>
          <w:p>
            <w:pPr>
              <w:spacing w:line="480" w:lineRule="exact"/>
              <w:ind w:firstLineChars="200" w:firstLine="480"/>
              <w:rPr>
                <w:color w:val="auto"/>
                <w:kern w:val="0"/>
                <w:sz w:val="24"/>
                <w:highlight w:val="none"/>
              </w:rPr>
            </w:pPr>
            <w:r>
              <w:rPr>
                <w:color w:val="auto"/>
                <w:kern w:val="0"/>
                <w:sz w:val="24"/>
                <w:highlight w:val="none"/>
              </w:rPr>
              <w:t>1、废气</w:t>
            </w:r>
          </w:p>
          <w:p>
            <w:pPr>
              <w:spacing w:line="480" w:lineRule="exact"/>
              <w:ind w:firstLineChars="200" w:firstLine="480"/>
              <w:rPr>
                <w:rFonts w:hint="eastAsia"/>
                <w:color w:val="auto"/>
                <w:sz w:val="24"/>
                <w:szCs w:val="32"/>
                <w:lang w:val="en-US" w:eastAsia="zh-CN"/>
                <w:highlight w:val="none"/>
              </w:rPr>
            </w:pPr>
            <w:r>
              <w:rPr>
                <w:rFonts w:hint="eastAsia"/>
                <w:color w:val="auto"/>
                <w:sz w:val="24"/>
                <w:szCs w:val="32"/>
                <w:lang w:val="en-US" w:eastAsia="zh-CN"/>
                <w:highlight w:val="none"/>
              </w:rPr>
              <w:t>本项目运营期：非甲烷总烃有组织排放执行《工业企业挥发性有机物排放控制标准》（DB13/2322-2025）表1其他工业行业排放限值要求，厂界无组织排放执行《大气污染物综合排放标准》（GB16297-1996）表2无组织排放标准，厂区内无组织排放执行《工业企业挥发性有机物排放控制标准》（DB13/2322-2025）表2厂区内挥发性有机物无组织排放限值；</w:t>
            </w:r>
          </w:p>
          <w:p>
            <w:pPr>
              <w:spacing w:line="480" w:lineRule="exact"/>
              <w:ind w:firstLineChars="200" w:firstLine="480"/>
              <w:rPr>
                <w:rFonts w:hint="eastAsia"/>
                <w:color w:val="auto"/>
                <w:sz w:val="24"/>
                <w:szCs w:val="32"/>
                <w:lang w:val="en-US" w:eastAsia="zh-CN"/>
                <w:highlight w:val="none"/>
              </w:rPr>
            </w:pPr>
            <w:r>
              <w:rPr>
                <w:rFonts w:hint="eastAsia"/>
                <w:color w:val="auto"/>
                <w:sz w:val="24"/>
                <w:szCs w:val="32"/>
                <w:lang w:val="en-US" w:eastAsia="zh-CN"/>
                <w:highlight w:val="none"/>
              </w:rPr>
              <w:t>颗粒物有组织排放执行《大气污染物综合排放标准》(GB16297-1996)表2二级限值，无组织排放执行《大气污染物综合排放标准》(GB16297-1996)表2中无组织浓度限值；</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hint="eastAsia"/>
                <w:color w:val="auto"/>
                <w:lang w:val="en-US" w:eastAsia="zh-CN"/>
              </w:rPr>
            </w:pPr>
            <w:r>
              <w:rPr>
                <w:rFonts w:hint="eastAsia"/>
                <w:color w:val="auto"/>
                <w:sz w:val="24"/>
                <w:szCs w:val="32"/>
                <w:lang w:val="en-US" w:eastAsia="zh-CN"/>
                <w:highlight w:val="none"/>
              </w:rPr>
              <w:t>氨、硫化氢、臭气浓度有组织排放执行《恶臭污染物排放标准》（GB14554-93）表2恶臭污染物排放标准值要求，无组织排放执行《恶臭污染物排放标准》（GB14554-93）表1二级新扩改建厂界标准值。</w:t>
            </w:r>
          </w:p>
          <w:p>
            <w:pPr>
              <w:keepNext w:val="0"/>
              <w:keepLines w:val="0"/>
              <w:pageBreakBefore w:val="0"/>
              <w:widowControl w:val="0"/>
              <w:kinsoku/>
              <w:wordWrap/>
              <w:overflowPunct/>
              <w:topLinePunct w:val="0"/>
              <w:autoSpaceDE/>
              <w:autoSpaceDN/>
              <w:bidi w:val="0"/>
              <w:adjustRightInd/>
              <w:snapToGrid/>
              <w:spacing w:line="360" w:lineRule="auto"/>
              <w:textAlignment w:val="auto"/>
              <w:rPr>
                <w:b/>
                <w:color w:val="auto"/>
                <w:sz w:val="24"/>
                <w:highlight w:val="none"/>
              </w:rPr>
            </w:pPr>
            <w:r>
              <w:rPr>
                <w:color w:val="auto"/>
                <w:kern w:val="0"/>
                <w:sz w:val="24"/>
                <w:highlight w:val="none"/>
              </w:rPr>
              <w:t>具体标准值见表3-</w:t>
            </w:r>
            <w:r>
              <w:rPr>
                <w:rFonts w:hint="eastAsia"/>
                <w:color w:val="auto"/>
                <w:kern w:val="0"/>
                <w:sz w:val="24"/>
                <w:lang w:val="en-US" w:eastAsia="zh-CN"/>
                <w:highlight w:val="none"/>
              </w:rPr>
              <w:t>8</w:t>
            </w:r>
            <w:r>
              <w:rPr>
                <w:color w:val="auto"/>
                <w:kern w:val="0"/>
                <w:sz w:val="24"/>
                <w:highlight w:val="none"/>
              </w:rPr>
              <w:t>。</w:t>
            </w:r>
          </w:p>
          <w:p>
            <w:pPr>
              <w:spacing w:line="240" w:lineRule="auto"/>
              <w:ind w:firstLineChars="200" w:firstLine="480"/>
              <w:jc w:val="center"/>
              <w:rPr>
                <w:b/>
                <w:color w:val="auto"/>
                <w:sz w:val="24"/>
                <w:highlight w:val="none"/>
              </w:rPr>
            </w:pPr>
            <w:r>
              <w:rPr>
                <w:rFonts w:hint="eastAsia"/>
                <w:b/>
                <w:color w:val="auto"/>
                <w:sz w:val="24"/>
                <w:highlight w:val="none"/>
              </w:rPr>
              <w:t>表3</w:t>
            </w:r>
            <w:r>
              <w:rPr>
                <w:rFonts w:hint="eastAsia"/>
                <w:b/>
                <w:color w:val="auto"/>
                <w:sz w:val="24"/>
                <w:lang w:val="en-US" w:eastAsia="zh-CN"/>
                <w:highlight w:val="none"/>
              </w:rPr>
              <w:t>-8</w:t>
            </w:r>
            <w:r>
              <w:rPr>
                <w:rFonts w:hint="eastAsia"/>
                <w:b/>
                <w:color w:val="auto"/>
                <w:sz w:val="24"/>
                <w:highlight w:val="none"/>
              </w:rPr>
              <w:t xml:space="preserve">  本项目</w:t>
            </w:r>
            <w:r>
              <w:rPr>
                <w:b/>
                <w:color w:val="auto"/>
                <w:sz w:val="24"/>
                <w:highlight w:val="none"/>
              </w:rPr>
              <w:t>运营期废气污染物排放标准</w:t>
            </w:r>
          </w:p>
          <w:tbl>
            <w:tblPr>
              <w:jc w:val="left"/>
              <w:tblInd w:w="0" w:type="dxa"/>
              <w:tblW w:w="4998" w:type="pct"/>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1779"/>
              <w:gridCol w:w="1855"/>
              <w:gridCol w:w="3067"/>
              <w:gridCol w:w="1817"/>
            </w:tblGrid>
            <w:tr>
              <w:trPr>
                <w:trHeight w:val="23"/>
              </w:trPr>
              <w:tc>
                <w:tcPr>
                  <w:tcW w:w="2500" w:type="pct"/>
                  <w:gridSpan w:val="2"/>
                  <w:vAlign w:val="center"/>
                </w:tcPr>
                <w:p>
                  <w:pPr>
                    <w:pStyle w:val="23"/>
                    <w:bidi w:val="0"/>
                    <w:rPr>
                      <w:color w:val="auto"/>
                    </w:rPr>
                  </w:pPr>
                  <w:r>
                    <w:rPr>
                      <w:color w:val="auto"/>
                    </w:rPr>
                    <w:t>评价因子</w:t>
                  </w:r>
                </w:p>
              </w:tc>
              <w:tc>
                <w:tcPr>
                  <w:tcW w:w="1249" w:type="pct"/>
                  <w:vAlign w:val="center"/>
                </w:tcPr>
                <w:p>
                  <w:pPr>
                    <w:pStyle w:val="23"/>
                    <w:bidi w:val="0"/>
                    <w:rPr>
                      <w:color w:val="auto"/>
                    </w:rPr>
                  </w:pPr>
                  <w:r>
                    <w:rPr>
                      <w:color w:val="auto"/>
                    </w:rPr>
                    <w:t>标准值</w:t>
                  </w:r>
                </w:p>
              </w:tc>
              <w:tc>
                <w:tcPr>
                  <w:tcW w:w="1250" w:type="pct"/>
                  <w:vAlign w:val="center"/>
                </w:tcPr>
                <w:p>
                  <w:pPr>
                    <w:pStyle w:val="23"/>
                    <w:bidi w:val="0"/>
                    <w:rPr>
                      <w:color w:val="auto"/>
                    </w:rPr>
                  </w:pPr>
                  <w:r>
                    <w:rPr>
                      <w:color w:val="auto"/>
                    </w:rPr>
                    <w:t>标准来源</w:t>
                  </w:r>
                </w:p>
              </w:tc>
            </w:tr>
            <w:tr>
              <w:trPr>
                <w:trHeight w:val="23"/>
              </w:trPr>
              <w:tc>
                <w:tcPr>
                  <w:tcW w:w="1224" w:type="pct"/>
                  <w:vMerge w:val="restart"/>
                  <w:shd w:val="clear" w:color="auto" w:fill="auto"/>
                  <w:vAlign w:val="center"/>
                </w:tcPr>
                <w:p>
                  <w:pPr>
                    <w:pStyle w:val="23"/>
                    <w:bidi w:val="0"/>
                    <w:ind w:firstLine="0"/>
                    <w:rPr>
                      <w:rFonts w:hint="eastAsia"/>
                      <w:color w:val="auto"/>
                      <w:lang w:val="en-US" w:eastAsia="zh-CN"/>
                    </w:rPr>
                  </w:pPr>
                  <w:r>
                    <w:rPr>
                      <w:rFonts w:hint="eastAsia"/>
                      <w:color w:val="auto"/>
                      <w:lang w:val="en-US" w:eastAsia="zh-CN"/>
                    </w:rPr>
                    <w:t>打码、热合封口、贴管、饮料灌装、检测实验室、食品添加剂生产、PE包装膜加热废气排气筒DA001（15m）</w:t>
                  </w:r>
                </w:p>
              </w:tc>
              <w:tc>
                <w:tcPr>
                  <w:tcW w:w="1275"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W w:w="1249"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60</w:t>
                  </w:r>
                  <w:r>
                    <w:rPr>
                      <w:color w:val="auto"/>
                      <w:highlight w:val="none"/>
                    </w:rPr>
                    <w:t>mg/</w:t>
                  </w:r>
                  <w:r>
                    <w:rPr>
                      <w:rFonts w:hint="eastAsia"/>
                      <w:color w:val="auto"/>
                      <w:lang w:val="en-US" w:eastAsia="zh-CN"/>
                      <w:highlight w:val="none"/>
                    </w:rPr>
                    <w:t>m³</w:t>
                  </w:r>
                </w:p>
              </w:tc>
              <w:tc>
                <w:tcPr>
                  <w:tcW w:w="1250" w:type="pct"/>
                  <w:tcBorders>
                    <w:left w:val="single" w:sz="4" w:space="0" w:color="000000"/>
                  </w:tcBorders>
                  <w:vAlign w:val="center"/>
                </w:tcPr>
                <w:p>
                  <w:pPr>
                    <w:pStyle w:val="23"/>
                    <w:bidi w:val="0"/>
                    <w:rPr>
                      <w:color w:val="auto"/>
                    </w:rPr>
                  </w:pPr>
                  <w:r>
                    <w:rPr>
                      <w:color w:val="auto"/>
                    </w:rPr>
                    <w:t>《工业企业挥发性有机物排放控制标准》（DB13/2322-20</w:t>
                  </w:r>
                  <w:r>
                    <w:rPr>
                      <w:rFonts w:hint="eastAsia"/>
                      <w:color w:val="auto"/>
                      <w:lang w:val="en-US" w:eastAsia="zh-CN"/>
                    </w:rPr>
                    <w:t>25</w:t>
                  </w:r>
                  <w:r>
                    <w:rPr>
                      <w:color w:val="auto"/>
                    </w:rPr>
                    <w:t>）</w:t>
                  </w:r>
                  <w:r>
                    <w:rPr>
                      <w:rFonts w:hint="eastAsia"/>
                      <w:color w:val="auto"/>
                    </w:rPr>
                    <w:t>表1</w:t>
                  </w:r>
                  <w:r>
                    <w:rPr>
                      <w:rFonts w:hint="eastAsia"/>
                      <w:color w:val="auto"/>
                      <w:lang w:val="en-US" w:eastAsia="zh-CN"/>
                    </w:rPr>
                    <w:t>其他工业行业</w:t>
                  </w:r>
                  <w:r>
                    <w:rPr>
                      <w:rFonts w:hint="eastAsia"/>
                      <w:color w:val="auto"/>
                    </w:rPr>
                    <w:t>排放限值要求</w:t>
                  </w:r>
                </w:p>
              </w:tc>
            </w:tr>
            <w:tr>
              <w:trPr>
                <w:trHeight w:val="23"/>
              </w:trPr>
              <w:tc>
                <w:tcPr>
                  <w:tcW w:w="1224" w:type="pct"/>
                  <w:vMerge/>
                  <w:shd w:val="clear" w:color="auto" w:fill="auto"/>
                  <w:vAlign w:val="center"/>
                </w:tcPr>
                <w:p/>
              </w:tc>
              <w:tc>
                <w:tcPr>
                  <w:tcW w:w="1275"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臭气浓度</w:t>
                  </w:r>
                </w:p>
              </w:tc>
              <w:tc>
                <w:tcPr>
                  <w:tcW w:w="1249"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2000（无量纲）</w:t>
                  </w:r>
                </w:p>
              </w:tc>
              <w:tc>
                <w:tcPr>
                  <w:tcW w:w="1250" w:type="pct"/>
                  <w:tcBorders>
                    <w:left w:val="single" w:sz="4" w:space="0" w:color="000000"/>
                  </w:tcBorders>
                  <w:vAlign w:val="center"/>
                </w:tcPr>
                <w:p>
                  <w:pPr>
                    <w:pStyle w:val="23"/>
                    <w:bidi w:val="0"/>
                    <w:rPr>
                      <w:color w:val="auto"/>
                    </w:rPr>
                  </w:pPr>
                  <w:r>
                    <w:rPr>
                      <w:color w:val="auto"/>
                    </w:rPr>
                    <w:t>《恶臭污染物排放标准》（GB14554-93）</w:t>
                  </w:r>
                </w:p>
                <w:p>
                  <w:pPr>
                    <w:pStyle w:val="23"/>
                    <w:bidi w:val="0"/>
                    <w:rPr>
                      <w:color w:val="auto"/>
                    </w:rPr>
                  </w:pPr>
                  <w:r>
                    <w:rPr>
                      <w:color w:val="auto"/>
                    </w:rPr>
                    <w:t>表2恶臭污染物排放标准值</w:t>
                  </w:r>
                </w:p>
              </w:tc>
            </w:tr>
            <w:tr>
              <w:trPr>
                <w:trHeight w:val="23"/>
              </w:trPr>
              <w:tc>
                <w:tcPr>
                  <w:tcW w:w="1224" w:type="pct"/>
                  <w:shd w:val="clear" w:color="auto" w:fill="auto"/>
                  <w:vAlign w:val="center"/>
                </w:tcPr>
                <w:p>
                  <w:pPr>
                    <w:pStyle w:val="23"/>
                    <w:bidi w:val="0"/>
                    <w:ind w:firstLine="0"/>
                    <w:rPr>
                      <w:color w:val="auto"/>
                      <w:lang w:val="en-US" w:eastAsia="zh-CN"/>
                    </w:rPr>
                  </w:pPr>
                  <w:r>
                    <w:rPr>
                      <w:rFonts w:hint="eastAsia"/>
                      <w:color w:val="auto"/>
                      <w:lang w:val="en-US" w:eastAsia="zh-CN"/>
                    </w:rPr>
                    <w:t>粉料灌装、真空上料、喷雾干燥废气排气筒DA002（15m）</w:t>
                  </w:r>
                </w:p>
              </w:tc>
              <w:tc>
                <w:tcPr>
                  <w:tcW w:w="1275" w:type="pct"/>
                  <w:tcBorders>
                    <w:left w:val="single" w:sz="4" w:space="0" w:color="000000"/>
                  </w:tcBorders>
                  <w:shd w:val="clear" w:color="auto" w:fill="auto"/>
                  <w:vAlign w:val="center"/>
                </w:tcPr>
                <w:p>
                  <w:pPr>
                    <w:pStyle w:val="23"/>
                    <w:bidi w:val="0"/>
                    <w:ind w:firstLine="0"/>
                    <w:rPr>
                      <w:rFonts w:eastAsia="宋体" w:hint="eastAsia"/>
                      <w:color w:val="auto"/>
                      <w:lang w:val="en-US" w:eastAsia="zh-CN"/>
                    </w:rPr>
                  </w:pPr>
                  <w:r>
                    <w:rPr>
                      <w:rFonts w:hint="eastAsia"/>
                      <w:color w:val="auto"/>
                      <w:lang w:val="en-US" w:eastAsia="zh-CN"/>
                    </w:rPr>
                    <w:t>颗粒物</w:t>
                  </w:r>
                </w:p>
              </w:tc>
              <w:tc>
                <w:tcPr>
                  <w:tcW w:w="1249" w:type="pct"/>
                  <w:tcBorders>
                    <w:left w:val="single" w:sz="4" w:space="0" w:color="000000"/>
                  </w:tcBorders>
                  <w:shd w:val="clear" w:color="auto" w:fill="auto"/>
                  <w:vAlign w:val="center"/>
                </w:tcPr>
                <w:p>
                  <w:pPr>
                    <w:pStyle w:val="23"/>
                    <w:bidi w:val="0"/>
                    <w:ind w:firstLine="0"/>
                    <w:rPr>
                      <w:rFonts w:hint="eastAsia"/>
                      <w:color w:val="auto"/>
                      <w:lang w:val="en-US" w:eastAsia="zh-CN"/>
                      <w:highlight w:val="none"/>
                    </w:rPr>
                  </w:pPr>
                  <w:r>
                    <w:rPr>
                      <w:rFonts w:hint="eastAsia"/>
                      <w:color w:val="auto"/>
                      <w:lang w:val="en-US" w:eastAsia="zh-CN"/>
                      <w:highlight w:val="none"/>
                    </w:rPr>
                    <w:t>120mg/m³</w:t>
                  </w:r>
                </w:p>
                <w:p>
                  <w:pPr>
                    <w:pStyle w:val="23"/>
                    <w:bidi w:val="0"/>
                    <w:ind w:firstLine="0"/>
                    <w:rPr>
                      <w:color w:val="auto"/>
                      <w:lang w:val="en-US" w:eastAsia="zh-CN"/>
                      <w:highlight w:val="none"/>
                    </w:rPr>
                  </w:pPr>
                  <w:r>
                    <w:rPr>
                      <w:rFonts w:hint="eastAsia"/>
                      <w:color w:val="auto"/>
                      <w:lang w:val="en-US" w:eastAsia="zh-CN"/>
                      <w:highlight w:val="none"/>
                    </w:rPr>
                    <w:t>1.75kg/h</w:t>
                  </w:r>
                </w:p>
              </w:tc>
              <w:tc>
                <w:tcPr>
                  <w:tcW w:w="1250" w:type="pct"/>
                  <w:tcBorders>
                    <w:left w:val="single" w:sz="4" w:space="0" w:color="000000"/>
                  </w:tcBorders>
                  <w:vAlign w:val="center"/>
                </w:tcPr>
                <w:p>
                  <w:pPr>
                    <w:pStyle w:val="23"/>
                    <w:bidi w:val="0"/>
                    <w:rPr>
                      <w:color w:val="auto"/>
                    </w:rPr>
                  </w:pPr>
                  <w:r>
                    <w:rPr>
                      <w:color w:val="auto"/>
                    </w:rPr>
                    <w:t>《大气污染物综合排放标准》（GB16297-1996）表2二级标准</w:t>
                  </w:r>
                </w:p>
              </w:tc>
            </w:tr>
            <w:tr>
              <w:trPr>
                <w:trHeight w:val="23"/>
              </w:trPr>
              <w:tc>
                <w:tcPr>
                  <w:tcW w:w="1224" w:type="pct"/>
                  <w:vMerge w:val="restar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污水处理站废气排气筒DA003（15m）</w:t>
                  </w:r>
                </w:p>
              </w:tc>
              <w:tc>
                <w:tcPr>
                  <w:tcW w:w="1275"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氨</w:t>
                  </w:r>
                </w:p>
              </w:tc>
              <w:tc>
                <w:tcPr>
                  <w:tcW w:w="1249"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4.9</w:t>
                  </w:r>
                  <w:r>
                    <w:rPr>
                      <w:color w:val="auto"/>
                      <w:highlight w:val="none"/>
                    </w:rPr>
                    <w:t>kg/h</w:t>
                  </w:r>
                </w:p>
              </w:tc>
              <w:tc>
                <w:tcPr>
                  <w:tcW w:w="1250" w:type="pct"/>
                  <w:vMerge w:val="restart"/>
                  <w:tcBorders>
                    <w:left w:val="single" w:sz="4" w:space="0" w:color="000000"/>
                  </w:tcBorders>
                  <w:vAlign w:val="center"/>
                </w:tcPr>
                <w:p>
                  <w:pPr>
                    <w:pStyle w:val="23"/>
                    <w:bidi w:val="0"/>
                    <w:rPr>
                      <w:color w:val="auto"/>
                    </w:rPr>
                  </w:pPr>
                  <w:r>
                    <w:rPr>
                      <w:color w:val="auto"/>
                    </w:rPr>
                    <w:t>《恶臭污染物排放标准》（GB14554-93）</w:t>
                  </w:r>
                </w:p>
                <w:p>
                  <w:pPr>
                    <w:pStyle w:val="23"/>
                    <w:bidi w:val="0"/>
                    <w:rPr>
                      <w:color w:val="auto"/>
                    </w:rPr>
                  </w:pPr>
                  <w:r>
                    <w:rPr>
                      <w:color w:val="auto"/>
                    </w:rPr>
                    <w:t>表2恶臭污染物排放标准值</w:t>
                  </w:r>
                </w:p>
              </w:tc>
            </w:tr>
            <w:tr>
              <w:trPr>
                <w:trHeight w:val="23"/>
              </w:trPr>
              <w:tc>
                <w:tcPr>
                  <w:tcW w:w="1224" w:type="pct"/>
                  <w:vMerge/>
                  <w:vAlign w:val="center"/>
                </w:tcPr>
                <w:p/>
              </w:tc>
              <w:tc>
                <w:tcPr>
                  <w:tcW w:w="1275"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硫化氢</w:t>
                  </w:r>
                </w:p>
              </w:tc>
              <w:tc>
                <w:tcPr>
                  <w:tcW w:w="1249"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0.33</w:t>
                  </w:r>
                  <w:r>
                    <w:rPr>
                      <w:color w:val="auto"/>
                      <w:highlight w:val="none"/>
                    </w:rPr>
                    <w:t>kg/h</w:t>
                  </w:r>
                </w:p>
              </w:tc>
              <w:tc>
                <w:tcPr>
                  <w:tcW w:w="1250" w:type="pct"/>
                  <w:vMerge/>
                  <w:tcBorders>
                    <w:left w:val="single" w:sz="4" w:space="0" w:color="000000"/>
                  </w:tcBorders>
                  <w:vAlign w:val="center"/>
                </w:tcPr>
                <w:p/>
              </w:tc>
            </w:tr>
            <w:tr>
              <w:trPr>
                <w:trHeight w:val="23"/>
              </w:trPr>
              <w:tc>
                <w:tcPr>
                  <w:tcW w:w="1224" w:type="pct"/>
                  <w:vMerge/>
                  <w:vAlign w:val="center"/>
                </w:tcPr>
                <w:p/>
              </w:tc>
              <w:tc>
                <w:tcPr>
                  <w:tcW w:w="1275"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臭气浓度</w:t>
                  </w:r>
                </w:p>
              </w:tc>
              <w:tc>
                <w:tcPr>
                  <w:tcW w:w="1249"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2</w:t>
                  </w:r>
                  <w:r>
                    <w:rPr>
                      <w:rFonts w:hint="eastAsia"/>
                      <w:color w:val="auto"/>
                      <w:highlight w:val="none"/>
                    </w:rPr>
                    <w:t>000</w:t>
                  </w:r>
                  <w:r>
                    <w:rPr>
                      <w:color w:val="auto"/>
                      <w:highlight w:val="none"/>
                    </w:rPr>
                    <w:t>（无量纲）</w:t>
                  </w:r>
                </w:p>
              </w:tc>
              <w:tc>
                <w:tcPr>
                  <w:tcW w:w="1250" w:type="pct"/>
                  <w:vMerge/>
                  <w:tcBorders>
                    <w:left w:val="single" w:sz="4" w:space="0" w:color="000000"/>
                  </w:tcBorders>
                  <w:vAlign w:val="center"/>
                </w:tcPr>
                <w:p/>
              </w:tc>
            </w:tr>
            <w:tr>
              <w:trPr>
                <w:trHeight w:val="23"/>
              </w:trPr>
              <w:tc>
                <w:tcPr>
                  <w:tcW w:w="1224" w:type="pct"/>
                  <w:vMerge w:val="restart"/>
                  <w:vAlign w:val="center"/>
                </w:tcPr>
                <w:p>
                  <w:pPr>
                    <w:pStyle w:val="23"/>
                    <w:bidi w:val="0"/>
                    <w:rPr>
                      <w:color w:val="auto"/>
                      <w:lang w:val="en-US" w:eastAsia="zh-CN"/>
                    </w:rPr>
                  </w:pPr>
                  <w:r>
                    <w:rPr>
                      <w:rFonts w:hint="eastAsia"/>
                      <w:color w:val="auto"/>
                      <w:lang w:val="en-US" w:eastAsia="zh-CN"/>
                    </w:rPr>
                    <w:t>蒸汽发生器废气排气筒DA005（15m）</w:t>
                  </w:r>
                </w:p>
              </w:tc>
              <w:tc>
                <w:tcPr>
                  <w:tcW w:w="1275" w:type="pct"/>
                  <w:tcBorders>
                    <w:left w:val="single" w:sz="4" w:space="0" w:color="000000"/>
                  </w:tcBorders>
                  <w:vAlign w:val="center"/>
                </w:tcPr>
                <w:p>
                  <w:pPr>
                    <w:pStyle w:val="23"/>
                    <w:bidi w:val="0"/>
                    <w:rPr>
                      <w:color w:val="auto"/>
                      <w:lang w:val="en-US" w:eastAsia="zh-CN"/>
                    </w:rPr>
                  </w:pPr>
                  <w:r>
                    <w:rPr>
                      <w:rFonts w:hint="eastAsia"/>
                      <w:color w:val="auto"/>
                      <w:lang w:val="en-US" w:eastAsia="zh-CN"/>
                    </w:rPr>
                    <w:t>NOx</w:t>
                  </w:r>
                </w:p>
              </w:tc>
              <w:tc>
                <w:tcPr>
                  <w:tcW w:w="1249" w:type="pct"/>
                  <w:tcBorders>
                    <w:left w:val="single" w:sz="4" w:space="0" w:color="000000"/>
                  </w:tcBorders>
                  <w:vAlign w:val="center"/>
                </w:tcPr>
                <w:p>
                  <w:pPr>
                    <w:pStyle w:val="23"/>
                    <w:bidi w:val="0"/>
                    <w:rPr>
                      <w:color w:val="auto"/>
                      <w:lang w:val="en-US" w:eastAsia="zh-CN"/>
                      <w:highlight w:val="none"/>
                    </w:rPr>
                  </w:pPr>
                  <w:r>
                    <w:rPr>
                      <w:rFonts w:hint="eastAsia"/>
                      <w:color w:val="auto"/>
                      <w:lang w:val="en-US" w:eastAsia="zh-CN"/>
                      <w:highlight w:val="none"/>
                    </w:rPr>
                    <w:t>50</w:t>
                  </w:r>
                </w:p>
              </w:tc>
              <w:tc>
                <w:tcPr>
                  <w:tcW w:w="1250" w:type="pct"/>
                  <w:vMerge w:val="restart"/>
                  <w:tcBorders>
                    <w:left w:val="single" w:sz="4" w:space="0" w:color="000000"/>
                  </w:tcBorders>
                  <w:vAlign w:val="center"/>
                </w:tcPr>
                <w:p>
                  <w:pPr>
                    <w:pStyle w:val="23"/>
                    <w:bidi w:val="0"/>
                    <w:rPr>
                      <w:color w:val="auto"/>
                    </w:rPr>
                  </w:pPr>
                  <w:r>
                    <w:rPr>
                      <w:rFonts w:hint="eastAsia"/>
                      <w:color w:val="auto"/>
                      <w:lang w:eastAsia="zh-CN"/>
                    </w:rPr>
                    <w:t>《锅炉大气污染物排放标准》（DB13/5161</w:t>
                  </w:r>
                  <w:r>
                    <w:rPr>
                      <w:rFonts w:hint="eastAsia"/>
                      <w:color w:val="auto"/>
                      <w:lang w:val="en-US" w:eastAsia="zh-CN"/>
                    </w:rPr>
                    <w:t>-</w:t>
                  </w:r>
                  <w:r>
                    <w:rPr>
                      <w:rFonts w:hint="eastAsia"/>
                      <w:color w:val="auto"/>
                      <w:lang w:eastAsia="zh-CN"/>
                    </w:rPr>
                    <w:t>2020）</w:t>
                  </w:r>
                  <w:r>
                    <w:rPr>
                      <w:rFonts w:hint="eastAsia"/>
                      <w:color w:val="auto"/>
                      <w:lang w:val="en-US" w:eastAsia="zh-CN"/>
                    </w:rPr>
                    <w:t>表1</w:t>
                  </w:r>
                </w:p>
              </w:tc>
            </w:tr>
            <w:tr>
              <w:trPr>
                <w:trHeight w:val="23"/>
              </w:trPr>
              <w:tc>
                <w:tcPr>
                  <w:tcW w:w="1224" w:type="pct"/>
                  <w:vMerge/>
                  <w:vAlign w:val="center"/>
                </w:tcPr>
                <w:p/>
              </w:tc>
              <w:tc>
                <w:tcPr>
                  <w:tcW w:w="1275" w:type="pct"/>
                  <w:tcBorders>
                    <w:left w:val="single" w:sz="4" w:space="0" w:color="000000"/>
                  </w:tcBorders>
                  <w:vAlign w:val="center"/>
                </w:tcPr>
                <w:p>
                  <w:pPr>
                    <w:pStyle w:val="23"/>
                    <w:bidi w:val="0"/>
                    <w:rPr>
                      <w:color w:val="auto"/>
                      <w:vertAlign w:val="subscript"/>
                      <w:lang w:val="en-US" w:eastAsia="zh-CN"/>
                    </w:rPr>
                  </w:pPr>
                  <w:r>
                    <w:rPr>
                      <w:rFonts w:hint="eastAsia"/>
                      <w:color w:val="auto"/>
                      <w:lang w:val="en-US" w:eastAsia="zh-CN"/>
                    </w:rPr>
                    <w:t>SO</w:t>
                  </w:r>
                  <w:r>
                    <w:rPr>
                      <w:rFonts w:hint="eastAsia"/>
                      <w:color w:val="auto"/>
                      <w:vertAlign w:val="subscript"/>
                      <w:lang w:val="en-US" w:eastAsia="zh-CN"/>
                    </w:rPr>
                    <w:t>2</w:t>
                  </w:r>
                </w:p>
              </w:tc>
              <w:tc>
                <w:tcPr>
                  <w:tcW w:w="1249" w:type="pct"/>
                  <w:tcBorders>
                    <w:left w:val="single" w:sz="4" w:space="0" w:color="000000"/>
                  </w:tcBorders>
                  <w:vAlign w:val="center"/>
                </w:tcPr>
                <w:p>
                  <w:pPr>
                    <w:pStyle w:val="23"/>
                    <w:bidi w:val="0"/>
                    <w:rPr>
                      <w:color w:val="auto"/>
                      <w:lang w:val="en-US" w:eastAsia="zh-CN"/>
                      <w:highlight w:val="none"/>
                    </w:rPr>
                  </w:pPr>
                  <w:r>
                    <w:rPr>
                      <w:rFonts w:hint="eastAsia"/>
                      <w:color w:val="auto"/>
                      <w:lang w:val="en-US" w:eastAsia="zh-CN"/>
                      <w:highlight w:val="none"/>
                    </w:rPr>
                    <w:t>10</w:t>
                  </w:r>
                </w:p>
              </w:tc>
              <w:tc>
                <w:tcPr>
                  <w:tcW w:w="1250" w:type="pct"/>
                  <w:vMerge/>
                  <w:tcBorders>
                    <w:left w:val="single" w:sz="4" w:space="0" w:color="000000"/>
                  </w:tcBorders>
                  <w:vAlign w:val="center"/>
                </w:tcPr>
                <w:p/>
              </w:tc>
            </w:tr>
            <w:tr>
              <w:trPr>
                <w:trHeight w:val="23"/>
              </w:trPr>
              <w:tc>
                <w:tcPr>
                  <w:tcW w:w="1224" w:type="pct"/>
                  <w:vMerge/>
                  <w:vAlign w:val="center"/>
                </w:tcPr>
                <w:p/>
              </w:tc>
              <w:tc>
                <w:tcPr>
                  <w:tcW w:w="1275" w:type="pct"/>
                  <w:tcBorders>
                    <w:left w:val="single" w:sz="4" w:space="0" w:color="000000"/>
                  </w:tcBorders>
                  <w:vAlign w:val="center"/>
                </w:tcPr>
                <w:p>
                  <w:pPr>
                    <w:pStyle w:val="23"/>
                    <w:bidi w:val="0"/>
                    <w:rPr>
                      <w:color w:val="auto"/>
                      <w:lang w:val="en-US" w:eastAsia="zh-CN"/>
                    </w:rPr>
                  </w:pPr>
                  <w:r>
                    <w:rPr>
                      <w:rFonts w:hint="eastAsia"/>
                      <w:color w:val="auto"/>
                      <w:lang w:val="en-US" w:eastAsia="zh-CN"/>
                    </w:rPr>
                    <w:t>颗粒物</w:t>
                  </w:r>
                </w:p>
              </w:tc>
              <w:tc>
                <w:tcPr>
                  <w:tcW w:w="1249" w:type="pct"/>
                  <w:tcBorders>
                    <w:left w:val="single" w:sz="4" w:space="0" w:color="000000"/>
                  </w:tcBorders>
                  <w:vAlign w:val="center"/>
                </w:tcPr>
                <w:p>
                  <w:pPr>
                    <w:pStyle w:val="23"/>
                    <w:bidi w:val="0"/>
                    <w:rPr>
                      <w:color w:val="auto"/>
                      <w:lang w:val="en-US" w:eastAsia="zh-CN"/>
                      <w:highlight w:val="none"/>
                    </w:rPr>
                  </w:pPr>
                  <w:r>
                    <w:rPr>
                      <w:rFonts w:hint="eastAsia"/>
                      <w:color w:val="auto"/>
                      <w:lang w:val="en-US" w:eastAsia="zh-CN"/>
                      <w:highlight w:val="none"/>
                    </w:rPr>
                    <w:t>5</w:t>
                  </w:r>
                </w:p>
              </w:tc>
              <w:tc>
                <w:tcPr>
                  <w:tcW w:w="1250" w:type="pct"/>
                  <w:vMerge/>
                  <w:tcBorders>
                    <w:left w:val="single" w:sz="4" w:space="0" w:color="000000"/>
                  </w:tcBorders>
                  <w:vAlign w:val="center"/>
                </w:tcPr>
                <w:p/>
              </w:tc>
            </w:tr>
            <w:tr>
              <w:trPr>
                <w:trHeight w:val="23"/>
              </w:trPr>
              <w:tc>
                <w:tcPr>
                  <w:tcW w:w="1224" w:type="pct"/>
                  <w:vMerge/>
                  <w:vAlign w:val="center"/>
                </w:tcPr>
                <w:p/>
              </w:tc>
              <w:tc>
                <w:tcPr>
                  <w:tcW w:w="1275" w:type="pct"/>
                  <w:tcBorders>
                    <w:left w:val="single" w:sz="4" w:space="0" w:color="000000"/>
                  </w:tcBorders>
                  <w:vAlign w:val="center"/>
                </w:tcPr>
                <w:p>
                  <w:pPr>
                    <w:pStyle w:val="23"/>
                    <w:bidi w:val="0"/>
                    <w:rPr>
                      <w:color w:val="auto"/>
                      <w:lang w:val="en-US" w:eastAsia="zh-CN"/>
                    </w:rPr>
                  </w:pPr>
                  <w:r>
                    <w:rPr>
                      <w:rFonts w:hint="eastAsia"/>
                      <w:color w:val="auto"/>
                      <w:lang w:val="en-US" w:eastAsia="zh-CN"/>
                    </w:rPr>
                    <w:t>烟气黑度</w:t>
                  </w:r>
                </w:p>
              </w:tc>
              <w:tc>
                <w:tcPr>
                  <w:tcW w:w="1249" w:type="pct"/>
                  <w:tcBorders>
                    <w:left w:val="single" w:sz="4" w:space="0" w:color="000000"/>
                  </w:tcBorders>
                  <w:vAlign w:val="center"/>
                </w:tcPr>
                <w:p>
                  <w:pPr>
                    <w:pStyle w:val="23"/>
                    <w:bidi w:val="0"/>
                    <w:rPr>
                      <w:color w:val="auto"/>
                      <w:lang w:val="en-US" w:eastAsia="zh-CN"/>
                    </w:rPr>
                  </w:pPr>
                  <w:r>
                    <w:rPr>
                      <w:rFonts w:hint="eastAsia"/>
                      <w:color w:val="auto"/>
                      <w:lang w:val="en-US" w:eastAsia="zh-CN"/>
                    </w:rPr>
                    <w:t>＜1</w:t>
                  </w:r>
                </w:p>
              </w:tc>
              <w:tc>
                <w:tcPr>
                  <w:tcW w:w="1250" w:type="pct"/>
                  <w:vMerge/>
                  <w:tcBorders>
                    <w:left w:val="single" w:sz="4" w:space="0" w:color="000000"/>
                  </w:tcBorders>
                  <w:vAlign w:val="center"/>
                </w:tcPr>
                <w:p/>
              </w:tc>
            </w:tr>
            <w:tr>
              <w:trPr>
                <w:trHeight w:val="23"/>
              </w:trPr>
              <w:tc>
                <w:tcPr>
                  <w:tcW w:w="1224" w:type="pct"/>
                  <w:vAlign w:val="center"/>
                </w:tcPr>
                <w:p>
                  <w:pPr>
                    <w:pStyle w:val="23"/>
                    <w:bidi w:val="0"/>
                    <w:rPr>
                      <w:color w:val="auto"/>
                      <w:lang w:val="en-US" w:eastAsia="zh-CN"/>
                    </w:rPr>
                  </w:pPr>
                  <w:r>
                    <w:rPr>
                      <w:rFonts w:hint="eastAsia"/>
                      <w:color w:val="auto"/>
                      <w:lang w:val="en-US" w:eastAsia="zh-CN"/>
                    </w:rPr>
                    <w:t>研发实验室废气排气筒DA006（25m）</w:t>
                  </w:r>
                </w:p>
              </w:tc>
              <w:tc>
                <w:tcPr>
                  <w:tcW w:w="1275" w:type="pct"/>
                  <w:tcBorders>
                    <w:left w:val="single" w:sz="4" w:space="0" w:color="000000"/>
                  </w:tcBorders>
                  <w:vAlign w:val="center"/>
                </w:tcPr>
                <w:p>
                  <w:pPr>
                    <w:pStyle w:val="23"/>
                    <w:bidi w:val="0"/>
                    <w:rPr>
                      <w:color w:val="auto"/>
                      <w:lang w:val="en-US" w:eastAsia="zh-CN"/>
                    </w:rPr>
                  </w:pPr>
                  <w:r>
                    <w:rPr>
                      <w:rFonts w:hint="eastAsia"/>
                      <w:color w:val="auto"/>
                      <w:lang w:val="en-US" w:eastAsia="zh-CN"/>
                    </w:rPr>
                    <w:t>臭气浓度</w:t>
                  </w:r>
                </w:p>
              </w:tc>
              <w:tc>
                <w:tcPr>
                  <w:tcW w:w="1249" w:type="pct"/>
                  <w:tcBorders>
                    <w:left w:val="single" w:sz="4" w:space="0" w:color="000000"/>
                  </w:tcBorders>
                  <w:vAlign w:val="center"/>
                </w:tcPr>
                <w:p>
                  <w:pPr>
                    <w:pStyle w:val="23"/>
                    <w:bidi w:val="0"/>
                    <w:rPr>
                      <w:rFonts w:hint="eastAsia"/>
                      <w:color w:val="auto"/>
                      <w:lang w:val="en-US" w:eastAsia="zh-CN"/>
                    </w:rPr>
                  </w:pPr>
                  <w:r>
                    <w:rPr>
                      <w:rFonts w:hint="eastAsia"/>
                      <w:color w:val="auto"/>
                      <w:lang w:val="en-US" w:eastAsia="zh-CN"/>
                    </w:rPr>
                    <w:t>6000（无量纲）</w:t>
                  </w:r>
                </w:p>
              </w:tc>
              <w:tc>
                <w:tcPr>
                  <w:tcW w:w="1250" w:type="pct"/>
                  <w:tcBorders>
                    <w:left w:val="single" w:sz="4" w:space="0" w:color="000000"/>
                  </w:tcBorders>
                  <w:shd w:val="clear" w:color="auto" w:fill="auto"/>
                  <w:vAlign w:val="center"/>
                </w:tcPr>
                <w:p>
                  <w:pPr>
                    <w:pStyle w:val="23"/>
                    <w:bidi w:val="0"/>
                    <w:rPr>
                      <w:color w:val="auto"/>
                    </w:rPr>
                  </w:pPr>
                  <w:r>
                    <w:rPr>
                      <w:color w:val="auto"/>
                    </w:rPr>
                    <w:t>《恶臭污染物排放标准》（GB14554-93）</w:t>
                  </w:r>
                </w:p>
                <w:p>
                  <w:pPr>
                    <w:pStyle w:val="23"/>
                    <w:bidi w:val="0"/>
                    <w:ind w:firstLine="0"/>
                    <w:rPr>
                      <w:rFonts w:ascii="Times New Roman" w:eastAsia="宋体" w:cs="Times New Roman" w:hAnsi="Times New Roman"/>
                      <w:color w:val="auto"/>
                      <w:kern w:val="0"/>
                      <w:sz w:val="21"/>
                      <w:szCs w:val="24"/>
                      <w:lang w:val="en-US" w:eastAsia="zh-CN" w:bidi="ar-SA"/>
                    </w:rPr>
                  </w:pPr>
                  <w:r>
                    <w:rPr>
                      <w:color w:val="auto"/>
                    </w:rPr>
                    <w:t>表2恶臭污染物排放标准值</w:t>
                  </w:r>
                </w:p>
              </w:tc>
            </w:tr>
            <w:tr>
              <w:trPr>
                <w:trHeight w:val="23"/>
              </w:trPr>
              <w:tc>
                <w:tcPr>
                  <w:tcW w:w="1224" w:type="pct"/>
                  <w:vMerge w:val="restart"/>
                  <w:vAlign w:val="center"/>
                </w:tcPr>
                <w:p>
                  <w:pPr>
                    <w:pStyle w:val="23"/>
                    <w:bidi w:val="0"/>
                    <w:rPr>
                      <w:color w:val="auto"/>
                      <w:lang w:val="en-US" w:eastAsia="zh-CN"/>
                    </w:rPr>
                  </w:pPr>
                  <w:r>
                    <w:rPr>
                      <w:rFonts w:hint="eastAsia"/>
                      <w:color w:val="auto"/>
                      <w:lang w:val="en-US" w:eastAsia="zh-CN"/>
                    </w:rPr>
                    <w:t>厂界</w:t>
                  </w:r>
                </w:p>
              </w:tc>
              <w:tc>
                <w:tcPr>
                  <w:tcW w:w="1275" w:type="pct"/>
                  <w:tcBorders>
                    <w:left w:val="single" w:sz="4" w:space="0" w:color="000000"/>
                  </w:tcBorders>
                  <w:vAlign w:val="center"/>
                </w:tcPr>
                <w:p>
                  <w:pPr>
                    <w:pStyle w:val="23"/>
                    <w:bidi w:val="0"/>
                    <w:rPr>
                      <w:rFonts w:hint="eastAsia"/>
                      <w:color w:val="auto"/>
                      <w:lang w:val="en-US" w:eastAsia="zh-CN"/>
                    </w:rPr>
                  </w:pPr>
                  <w:r>
                    <w:rPr>
                      <w:rFonts w:hint="eastAsia"/>
                      <w:color w:val="auto"/>
                      <w:lang w:val="en-US" w:eastAsia="zh-CN"/>
                    </w:rPr>
                    <w:t>非甲烷总烃</w:t>
                  </w:r>
                </w:p>
              </w:tc>
              <w:tc>
                <w:tcPr>
                  <w:tcW w:w="1249" w:type="pct"/>
                  <w:tcBorders>
                    <w:left w:val="single" w:sz="4" w:space="0" w:color="000000"/>
                  </w:tcBorders>
                  <w:vAlign w:val="center"/>
                </w:tcPr>
                <w:p>
                  <w:pPr>
                    <w:pStyle w:val="23"/>
                    <w:bidi w:val="0"/>
                    <w:rPr>
                      <w:color w:val="auto"/>
                      <w:lang w:val="en-US" w:eastAsia="zh-CN"/>
                      <w:highlight w:val="yellow"/>
                    </w:rPr>
                  </w:pPr>
                  <w:r>
                    <w:rPr>
                      <w:rFonts w:hint="eastAsia"/>
                      <w:color w:val="auto"/>
                      <w:lang w:val="en-US" w:eastAsia="zh-CN"/>
                      <w:highlight w:val="none"/>
                    </w:rPr>
                    <w:t>4.0mg/m³</w:t>
                  </w:r>
                </w:p>
              </w:tc>
              <w:tc>
                <w:tcPr>
                  <w:tcW w:w="1250" w:type="pct"/>
                  <w:vMerge w:val="restart"/>
                  <w:tcBorders>
                    <w:left w:val="single" w:sz="4" w:space="0" w:color="000000"/>
                  </w:tcBorders>
                  <w:shd w:val="clear" w:color="auto" w:fill="auto"/>
                  <w:vAlign w:val="center"/>
                </w:tcPr>
                <w:p>
                  <w:pPr>
                    <w:pStyle w:val="23"/>
                    <w:bidi w:val="0"/>
                    <w:ind w:firstLine="0"/>
                    <w:rPr>
                      <w:color w:val="auto"/>
                    </w:rPr>
                  </w:pPr>
                  <w:r>
                    <w:rPr>
                      <w:color w:val="auto"/>
                    </w:rPr>
                    <w:t>《大气污染物综合排放标准》（GB16297-1996）表2无组织排放标准</w:t>
                  </w:r>
                </w:p>
              </w:tc>
            </w:tr>
            <w:tr>
              <w:trPr>
                <w:trHeight w:val="23"/>
              </w:trPr>
              <w:tc>
                <w:tcPr>
                  <w:tcW w:w="1224" w:type="pct"/>
                  <w:vMerge/>
                  <w:vAlign w:val="center"/>
                </w:tcPr>
                <w:p/>
              </w:tc>
              <w:tc>
                <w:tcPr>
                  <w:tcW w:w="1275" w:type="pct"/>
                  <w:tcBorders>
                    <w:left w:val="single" w:sz="4" w:space="0" w:color="000000"/>
                  </w:tcBorders>
                  <w:vAlign w:val="center"/>
                </w:tcPr>
                <w:p>
                  <w:pPr>
                    <w:pStyle w:val="23"/>
                    <w:bidi w:val="0"/>
                    <w:rPr>
                      <w:rFonts w:hint="eastAsia"/>
                      <w:color w:val="auto"/>
                      <w:lang w:val="en-US" w:eastAsia="zh-CN"/>
                    </w:rPr>
                  </w:pPr>
                  <w:r>
                    <w:rPr>
                      <w:rFonts w:hint="eastAsia"/>
                      <w:color w:val="auto"/>
                      <w:lang w:val="en-US" w:eastAsia="zh-CN"/>
                    </w:rPr>
                    <w:t>颗粒物</w:t>
                  </w:r>
                </w:p>
              </w:tc>
              <w:tc>
                <w:tcPr>
                  <w:tcW w:w="1249" w:type="pct"/>
                  <w:tcBorders>
                    <w:left w:val="single" w:sz="4" w:space="0" w:color="000000"/>
                  </w:tcBorders>
                  <w:vAlign w:val="center"/>
                </w:tcPr>
                <w:p>
                  <w:pPr>
                    <w:pStyle w:val="23"/>
                    <w:bidi w:val="0"/>
                    <w:rPr>
                      <w:color w:val="auto"/>
                      <w:lang w:val="en-US" w:eastAsia="zh-CN"/>
                    </w:rPr>
                  </w:pPr>
                  <w:r>
                    <w:rPr>
                      <w:rFonts w:hint="eastAsia"/>
                      <w:color w:val="auto"/>
                      <w:lang w:val="en-US" w:eastAsia="zh-CN"/>
                    </w:rPr>
                    <w:t>1.0mg/m³</w:t>
                  </w:r>
                </w:p>
              </w:tc>
              <w:tc>
                <w:tcPr>
                  <w:tcW w:w="1250" w:type="pct"/>
                  <w:vMerge/>
                  <w:tcBorders>
                    <w:left w:val="single" w:sz="4" w:space="0" w:color="000000"/>
                  </w:tcBorders>
                  <w:shd w:val="clear" w:color="auto" w:fill="auto"/>
                  <w:vAlign w:val="center"/>
                </w:tcPr>
                <w:p/>
              </w:tc>
            </w:tr>
            <w:tr>
              <w:trPr>
                <w:trHeight w:val="23"/>
              </w:trPr>
              <w:tc>
                <w:tcPr>
                  <w:tcW w:w="1224" w:type="pct"/>
                  <w:vMerge/>
                  <w:vAlign w:val="center"/>
                </w:tcPr>
                <w:p/>
              </w:tc>
              <w:tc>
                <w:tcPr>
                  <w:tcW w:w="1275"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氨</w:t>
                  </w:r>
                </w:p>
              </w:tc>
              <w:tc>
                <w:tcPr>
                  <w:tcW w:w="1249" w:type="pct"/>
                  <w:tcBorders>
                    <w:left w:val="single" w:sz="4" w:space="0" w:color="000000"/>
                  </w:tcBorders>
                  <w:vAlign w:val="center"/>
                </w:tcPr>
                <w:p>
                  <w:pPr>
                    <w:pStyle w:val="23"/>
                    <w:bidi w:val="0"/>
                    <w:rPr>
                      <w:rFonts w:hint="eastAsia"/>
                      <w:color w:val="auto"/>
                      <w:lang w:val="en-US" w:eastAsia="zh-CN"/>
                    </w:rPr>
                  </w:pPr>
                  <w:r>
                    <w:rPr>
                      <w:rFonts w:hint="eastAsia"/>
                      <w:color w:val="auto"/>
                      <w:lang w:val="en-US" w:eastAsia="zh-CN"/>
                    </w:rPr>
                    <w:t>1.5mg/m³</w:t>
                  </w:r>
                </w:p>
              </w:tc>
              <w:tc>
                <w:tcPr>
                  <w:tcW w:w="1250" w:type="pct"/>
                  <w:vMerge w:val="restart"/>
                  <w:tcBorders>
                    <w:left w:val="single" w:sz="4" w:space="0" w:color="000000"/>
                  </w:tcBorders>
                  <w:shd w:val="clear" w:color="auto" w:fill="auto"/>
                  <w:vAlign w:val="center"/>
                </w:tcPr>
                <w:p>
                  <w:pPr>
                    <w:pStyle w:val="23"/>
                    <w:bidi w:val="0"/>
                    <w:ind w:firstLine="0"/>
                    <w:rPr>
                      <w:color w:val="auto"/>
                    </w:rPr>
                  </w:pPr>
                  <w:r>
                    <w:rPr>
                      <w:color w:val="auto"/>
                    </w:rPr>
                    <w:t>《恶臭污染物排放标准》（GB14554-93）表1二级新扩改建 标准</w:t>
                  </w:r>
                </w:p>
              </w:tc>
            </w:tr>
            <w:tr>
              <w:trPr>
                <w:trHeight w:val="23"/>
              </w:trPr>
              <w:tc>
                <w:tcPr>
                  <w:tcW w:w="1224" w:type="pct"/>
                  <w:vMerge/>
                  <w:vAlign w:val="center"/>
                </w:tcPr>
                <w:p/>
              </w:tc>
              <w:tc>
                <w:tcPr>
                  <w:tcW w:w="1275" w:type="pct"/>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硫化氢</w:t>
                  </w:r>
                </w:p>
              </w:tc>
              <w:tc>
                <w:tcPr>
                  <w:tcW w:w="1249" w:type="pct"/>
                  <w:tcBorders>
                    <w:left w:val="single" w:sz="4" w:space="0" w:color="000000"/>
                  </w:tcBorders>
                  <w:vAlign w:val="center"/>
                </w:tcPr>
                <w:p>
                  <w:pPr>
                    <w:pStyle w:val="23"/>
                    <w:bidi w:val="0"/>
                    <w:rPr>
                      <w:color w:val="auto"/>
                      <w:lang w:val="en-US" w:eastAsia="zh-CN"/>
                    </w:rPr>
                  </w:pPr>
                  <w:r>
                    <w:rPr>
                      <w:rFonts w:hint="eastAsia"/>
                      <w:color w:val="auto"/>
                      <w:lang w:val="en-US" w:eastAsia="zh-CN"/>
                    </w:rPr>
                    <w:t>0.06mg/m³</w:t>
                  </w:r>
                </w:p>
              </w:tc>
              <w:tc>
                <w:tcPr>
                  <w:tcW w:w="1250" w:type="pct"/>
                  <w:vMerge/>
                  <w:tcBorders>
                    <w:left w:val="single" w:sz="4" w:space="0" w:color="000000"/>
                  </w:tcBorders>
                  <w:shd w:val="clear" w:color="auto" w:fill="auto"/>
                  <w:vAlign w:val="center"/>
                </w:tcPr>
                <w:p/>
              </w:tc>
            </w:tr>
            <w:tr>
              <w:trPr>
                <w:trHeight w:val="23"/>
              </w:trPr>
              <w:tc>
                <w:tcPr>
                  <w:tcW w:w="1224" w:type="pct"/>
                  <w:vMerge/>
                </w:tcPr>
                <w:p/>
              </w:tc>
              <w:tc>
                <w:tcPr>
                  <w:tcBorders>
                    <w:lef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臭气浓度</w:t>
                  </w:r>
                </w:p>
              </w:tc>
              <w:tc>
                <w:tcPr>
                  <w:tcBorders>
                    <w:left w:val="single" w:sz="4" w:space="0" w:color="000000"/>
                  </w:tcBorders>
                </w:tcPr>
                <w:p>
                  <w:pPr>
                    <w:pStyle w:val="23"/>
                    <w:bidi w:val="0"/>
                    <w:rPr>
                      <w:color w:val="auto"/>
                      <w:lang w:val="en-US" w:eastAsia="zh-CN"/>
                    </w:rPr>
                  </w:pPr>
                  <w:r>
                    <w:rPr>
                      <w:rFonts w:hint="eastAsia"/>
                      <w:color w:val="auto"/>
                      <w:lang w:val="en-US" w:eastAsia="zh-CN"/>
                    </w:rPr>
                    <w:t>20（无量纲）</w:t>
                  </w:r>
                </w:p>
              </w:tc>
              <w:tc>
                <w:tcPr>
                  <w:tcW w:w="1250" w:type="pct"/>
                  <w:vMerge/>
                  <w:tcBorders>
                    <w:left w:val="single" w:sz="4" w:space="0" w:color="000000"/>
                  </w:tcBorders>
                </w:tcPr>
                <w:p/>
              </w:tc>
            </w:tr>
            <w:tr>
              <w:trPr>
                <w:trHeight w:val="23"/>
              </w:trPr>
              <w:tc>
                <w:tcPr>
                  <w:tcW w:w="1224" w:type="pct"/>
                  <w:vMerge w:val="restart"/>
                  <w:vAlign w:val="center"/>
                </w:tcPr>
                <w:p>
                  <w:pPr>
                    <w:pStyle w:val="23"/>
                    <w:bidi w:val="0"/>
                    <w:ind w:left="0" w:right="0" w:firstLine="0"/>
                    <w:jc w:val="center"/>
                    <w:rPr>
                      <w:color w:val="auto"/>
                      <w:lang w:val="en-US" w:eastAsia="zh-CN"/>
                    </w:rPr>
                  </w:pPr>
                  <w:r>
                    <w:rPr>
                      <w:rFonts w:hint="eastAsia"/>
                      <w:color w:val="auto"/>
                      <w:lang w:val="en-US" w:eastAsia="zh-CN"/>
                    </w:rPr>
                    <w:t>厂区内</w:t>
                  </w:r>
                </w:p>
              </w:tc>
              <w:tc>
                <w:tcPr>
                  <w:tcW w:w="1275" w:type="pct"/>
                  <w:vMerge w:val="restart"/>
                  <w:tcBorders>
                    <w:left w:val="single" w:sz="4" w:space="0" w:color="000000"/>
                  </w:tcBorders>
                  <w:shd w:val="clear" w:color="auto" w:fill="auto"/>
                  <w:vAlign w:val="center"/>
                </w:tcPr>
                <w:p>
                  <w:pPr>
                    <w:pStyle w:val="23"/>
                    <w:bidi w:val="0"/>
                    <w:ind w:firstLine="0"/>
                    <w:rPr>
                      <w:rFonts w:eastAsia="宋体" w:hint="eastAsia"/>
                      <w:color w:val="auto"/>
                      <w:lang w:val="en-US" w:eastAsia="zh-CN"/>
                    </w:rPr>
                  </w:pPr>
                  <w:r>
                    <w:rPr>
                      <w:rFonts w:hint="eastAsia"/>
                      <w:color w:val="auto"/>
                      <w:lang w:val="en-US" w:eastAsia="zh-CN"/>
                    </w:rPr>
                    <w:t>非甲烷总烃</w:t>
                  </w:r>
                </w:p>
              </w:tc>
              <w:tc>
                <w:tcPr>
                  <w:tcBorders>
                    <w:left w:val="single" w:sz="4" w:space="0" w:color="000000"/>
                  </w:tcBorders>
                </w:tcPr>
                <w:p>
                  <w:pPr>
                    <w:pStyle w:val="23"/>
                    <w:bidi w:val="0"/>
                    <w:rPr>
                      <w:color w:val="auto"/>
                      <w:lang w:val="en-US" w:eastAsia="zh-CN"/>
                    </w:rPr>
                  </w:pPr>
                  <w:r>
                    <w:rPr>
                      <w:rFonts w:hint="eastAsia"/>
                      <w:color w:val="auto"/>
                      <w:lang w:val="en-US" w:eastAsia="zh-CN"/>
                    </w:rPr>
                    <w:t>监控点处1h平均浓度值 2.0mg/m³</w:t>
                  </w:r>
                </w:p>
              </w:tc>
              <w:tc>
                <w:tcPr>
                  <w:tcW w:w="1250" w:type="pct"/>
                  <w:vMerge w:val="restart"/>
                  <w:tcBorders>
                    <w:left w:val="single" w:sz="4" w:space="0" w:color="000000"/>
                  </w:tcBorders>
                </w:tcPr>
                <w:p>
                  <w:pPr>
                    <w:pStyle w:val="23"/>
                    <w:bidi w:val="0"/>
                    <w:ind w:firstLine="0"/>
                    <w:rPr>
                      <w:color w:val="auto"/>
                    </w:rPr>
                  </w:pPr>
                  <w:r>
                    <w:rPr>
                      <w:rFonts w:hint="eastAsia"/>
                      <w:color w:val="auto"/>
                      <w:lang w:val="en-US" w:eastAsia="zh-CN"/>
                    </w:rPr>
                    <w:t>《工业企业挥发性有机物排放控制标准》（DB13/2322-2025）表2厂区内挥发性有机物无组织排放限值</w:t>
                  </w:r>
                </w:p>
              </w:tc>
            </w:tr>
            <w:tr>
              <w:trPr>
                <w:trHeight w:val="23"/>
              </w:trPr>
              <w:tc>
                <w:tcPr>
                  <w:tcW w:w="1224" w:type="pct"/>
                  <w:vMerge/>
                </w:tcPr>
                <w:p/>
              </w:tc>
              <w:tc>
                <w:tcPr>
                  <w:tcW w:w="1275" w:type="pct"/>
                  <w:vMerge/>
                  <w:tcBorders>
                    <w:left w:val="single" w:sz="4" w:space="0" w:color="000000"/>
                  </w:tcBorders>
                  <w:shd w:val="clear" w:color="auto" w:fill="auto"/>
                  <w:vAlign w:val="center"/>
                </w:tcPr>
                <w:p/>
              </w:tc>
              <w:tc>
                <w:tcPr>
                  <w:tcBorders>
                    <w:left w:val="single" w:sz="4" w:space="0" w:color="000000"/>
                  </w:tcBorders>
                </w:tcPr>
                <w:p>
                  <w:pPr>
                    <w:pStyle w:val="23"/>
                    <w:bidi w:val="0"/>
                    <w:rPr>
                      <w:color w:val="auto"/>
                      <w:lang w:val="en-US" w:eastAsia="zh-CN"/>
                    </w:rPr>
                  </w:pPr>
                  <w:r>
                    <w:rPr>
                      <w:rFonts w:hint="eastAsia"/>
                      <w:color w:val="auto"/>
                      <w:lang w:val="en-US" w:eastAsia="zh-CN"/>
                    </w:rPr>
                    <w:t>监控点处任意一次浓度值 10.0mg/m³</w:t>
                  </w:r>
                </w:p>
              </w:tc>
              <w:tc>
                <w:tcPr>
                  <w:tcW w:w="1250" w:type="pct"/>
                  <w:vMerge/>
                  <w:tcBorders>
                    <w:left w:val="single" w:sz="4" w:space="0" w:color="000000"/>
                  </w:tcBorders>
                </w:tcPr>
                <w:p/>
              </w:tc>
            </w:tr>
          </w:tbl>
          <w:p>
            <w:pPr>
              <w:shd w:val="clear" w:color="auto" w:fill="auto"/>
              <w:spacing w:line="360" w:lineRule="auto"/>
              <w:ind w:firstLineChars="200" w:firstLine="480"/>
              <w:rPr>
                <w:color w:val="auto"/>
                <w:kern w:val="0"/>
                <w:sz w:val="24"/>
                <w:highlight w:val="none"/>
              </w:rPr>
            </w:pPr>
            <w:r>
              <w:rPr>
                <w:color w:val="auto"/>
                <w:kern w:val="0"/>
                <w:sz w:val="24"/>
                <w:highlight w:val="none"/>
              </w:rPr>
              <w:t>2、废水</w:t>
            </w:r>
          </w:p>
          <w:p>
            <w:pPr>
              <w:shd w:val="clear" w:color="auto" w:fill="auto"/>
              <w:spacing w:line="360" w:lineRule="auto"/>
              <w:ind w:firstLineChars="200" w:firstLine="480"/>
              <w:rPr>
                <w:color w:val="auto"/>
                <w:sz w:val="24"/>
                <w:highlight w:val="none"/>
              </w:rPr>
            </w:pPr>
            <w:r>
              <w:rPr>
                <w:rFonts w:hint="eastAsia"/>
                <w:color w:val="auto"/>
                <w:sz w:val="24"/>
                <w:szCs w:val="32"/>
                <w:highlight w:val="none"/>
              </w:rPr>
              <w:t>本项目</w:t>
            </w:r>
            <w:r>
              <w:rPr>
                <w:rFonts w:hint="eastAsia"/>
                <w:color w:val="auto"/>
                <w:sz w:val="24"/>
                <w:highlight w:val="none"/>
              </w:rPr>
              <w:t>废水排放执行《污水综合排放标准》（GB8978-1996）中表4三级标准以及德威华泰石家庄市栾城水务有限公司进水水质标准，具体标准值见表3-</w:t>
            </w:r>
            <w:r>
              <w:rPr>
                <w:rFonts w:hint="eastAsia"/>
                <w:color w:val="auto"/>
                <w:sz w:val="24"/>
                <w:lang w:val="en-US" w:eastAsia="zh-CN"/>
                <w:highlight w:val="none"/>
              </w:rPr>
              <w:t>9</w:t>
            </w:r>
            <w:r>
              <w:rPr>
                <w:rFonts w:hint="eastAsia"/>
                <w:color w:val="auto"/>
                <w:sz w:val="24"/>
                <w:highlight w:val="none"/>
              </w:rPr>
              <w:t>。</w:t>
            </w:r>
          </w:p>
          <w:p>
            <w:pPr>
              <w:shd w:val="clear" w:color="auto" w:fill="auto"/>
              <w:spacing w:line="240" w:lineRule="auto"/>
              <w:ind w:firstLineChars="200" w:firstLine="480"/>
              <w:jc w:val="center"/>
              <w:rPr>
                <w:b/>
                <w:color w:val="auto"/>
                <w:sz w:val="24"/>
                <w:highlight w:val="none"/>
              </w:rPr>
            </w:pPr>
            <w:r>
              <w:rPr>
                <w:rFonts w:hint="eastAsia"/>
                <w:b/>
                <w:color w:val="auto"/>
                <w:sz w:val="24"/>
                <w:highlight w:val="none"/>
              </w:rPr>
              <w:t>表3-</w:t>
            </w:r>
            <w:r>
              <w:rPr>
                <w:rFonts w:hint="eastAsia"/>
                <w:b/>
                <w:color w:val="auto"/>
                <w:sz w:val="24"/>
                <w:lang w:val="en-US" w:eastAsia="zh-CN"/>
                <w:highlight w:val="none"/>
              </w:rPr>
              <w:t>9</w:t>
            </w:r>
            <w:r>
              <w:rPr>
                <w:rFonts w:hint="eastAsia"/>
                <w:b/>
                <w:color w:val="auto"/>
                <w:sz w:val="24"/>
                <w:highlight w:val="none"/>
              </w:rPr>
              <w:t xml:space="preserve">  污水排放水质要求标准指标 </w:t>
            </w:r>
            <w:r>
              <w:rPr>
                <w:rFonts w:hint="eastAsia"/>
                <w:b/>
                <w:color w:val="auto"/>
                <w:sz w:val="24"/>
                <w:lang w:val="en-US" w:eastAsia="zh-CN"/>
                <w:highlight w:val="none"/>
              </w:rPr>
              <w:t xml:space="preserve">       </w:t>
            </w:r>
            <w:r>
              <w:rPr>
                <w:rFonts w:hint="eastAsia"/>
                <w:b/>
                <w:color w:val="auto"/>
                <w:sz w:val="24"/>
                <w:highlight w:val="none"/>
              </w:rPr>
              <w:t xml:space="preserve">  单位：mg/L</w:t>
            </w:r>
          </w:p>
          <w:tbl>
            <w:tblPr>
              <w:jc w:val="center"/>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003"/>
              <w:gridCol w:w="610"/>
              <w:gridCol w:w="719"/>
              <w:gridCol w:w="794"/>
              <w:gridCol w:w="710"/>
              <w:gridCol w:w="634"/>
              <w:gridCol w:w="758"/>
              <w:gridCol w:w="761"/>
              <w:gridCol w:w="761"/>
              <w:gridCol w:w="761"/>
            </w:tblGrid>
            <w:tr>
              <w:trPr>
                <w:trHeight w:val="23"/>
              </w:trPr>
              <w:tc>
                <w:tcPr>
                  <w:tcW w:w="1176" w:type="pct"/>
                  <w:tcBorders>
                    <w:tl2br w:val="nil"/>
                    <w:tr2bl w:val="nil"/>
                  </w:tcBorders>
                  <w:vAlign w:val="center"/>
                </w:tcPr>
                <w:p>
                  <w:pPr>
                    <w:pStyle w:val="23"/>
                    <w:shd w:val="clear" w:color="auto" w:fill="auto"/>
                    <w:bidi w:val="0"/>
                    <w:rPr>
                      <w:color w:val="auto"/>
                      <w:highlight w:val="none"/>
                    </w:rPr>
                  </w:pPr>
                  <w:r>
                    <w:rPr>
                      <w:color w:val="auto"/>
                      <w:highlight w:val="none"/>
                    </w:rPr>
                    <w:t>标准</w:t>
                  </w:r>
                </w:p>
              </w:tc>
              <w:tc>
                <w:tcPr>
                  <w:tcW w:w="358" w:type="pct"/>
                  <w:tcBorders>
                    <w:tl2br w:val="nil"/>
                    <w:tr2bl w:val="nil"/>
                  </w:tcBorders>
                  <w:vAlign w:val="center"/>
                </w:tcPr>
                <w:p>
                  <w:pPr>
                    <w:pStyle w:val="23"/>
                    <w:shd w:val="clear" w:color="auto" w:fill="auto"/>
                    <w:bidi w:val="0"/>
                    <w:rPr>
                      <w:color w:val="auto"/>
                      <w:highlight w:val="none"/>
                    </w:rPr>
                  </w:pPr>
                  <w:r>
                    <w:rPr>
                      <w:rFonts w:hint="eastAsia"/>
                      <w:color w:val="auto"/>
                      <w:highlight w:val="none"/>
                    </w:rPr>
                    <w:t>pH值</w:t>
                  </w:r>
                </w:p>
              </w:tc>
              <w:tc>
                <w:tcPr>
                  <w:tcW w:w="422" w:type="pct"/>
                  <w:tcBorders>
                    <w:tl2br w:val="nil"/>
                    <w:tr2bl w:val="nil"/>
                  </w:tcBorders>
                  <w:vAlign w:val="center"/>
                </w:tcPr>
                <w:p>
                  <w:pPr>
                    <w:pStyle w:val="23"/>
                    <w:shd w:val="clear" w:color="auto" w:fill="auto"/>
                    <w:bidi w:val="0"/>
                    <w:rPr>
                      <w:color w:val="auto"/>
                      <w:highlight w:val="none"/>
                    </w:rPr>
                  </w:pPr>
                  <w:r>
                    <w:rPr>
                      <w:color w:val="auto"/>
                      <w:highlight w:val="none"/>
                    </w:rPr>
                    <w:t>COD</w:t>
                  </w:r>
                </w:p>
              </w:tc>
              <w:tc>
                <w:tcPr>
                  <w:tcW w:w="466" w:type="pct"/>
                  <w:tcBorders>
                    <w:tl2br w:val="nil"/>
                    <w:tr2bl w:val="nil"/>
                  </w:tcBorders>
                  <w:vAlign w:val="center"/>
                </w:tcPr>
                <w:p>
                  <w:pPr>
                    <w:pStyle w:val="23"/>
                    <w:shd w:val="clear" w:color="auto" w:fill="auto"/>
                    <w:bidi w:val="0"/>
                    <w:rPr>
                      <w:color w:val="auto"/>
                      <w:highlight w:val="none"/>
                    </w:rPr>
                  </w:pPr>
                  <w:r>
                    <w:rPr>
                      <w:color w:val="auto"/>
                      <w:highlight w:val="none"/>
                    </w:rPr>
                    <w:t>BOD</w:t>
                  </w:r>
                  <w:r>
                    <w:rPr>
                      <w:rFonts w:hint="eastAsia"/>
                      <w:color w:val="auto"/>
                      <w:vertAlign w:val="subscript"/>
                      <w:highlight w:val="none"/>
                    </w:rPr>
                    <w:t>5</w:t>
                  </w:r>
                </w:p>
              </w:tc>
              <w:tc>
                <w:tcPr>
                  <w:tcW w:w="417" w:type="pct"/>
                  <w:tcBorders>
                    <w:tl2br w:val="nil"/>
                    <w:tr2bl w:val="nil"/>
                  </w:tcBorders>
                  <w:vAlign w:val="center"/>
                </w:tcPr>
                <w:p>
                  <w:pPr>
                    <w:pStyle w:val="23"/>
                    <w:shd w:val="clear" w:color="auto" w:fill="auto"/>
                    <w:bidi w:val="0"/>
                    <w:rPr>
                      <w:color w:val="auto"/>
                      <w:highlight w:val="none"/>
                    </w:rPr>
                  </w:pPr>
                  <w:r>
                    <w:rPr>
                      <w:color w:val="auto"/>
                      <w:highlight w:val="none"/>
                    </w:rPr>
                    <w:t>SS</w:t>
                  </w:r>
                </w:p>
              </w:tc>
              <w:tc>
                <w:tcPr>
                  <w:tcW w:w="372" w:type="pct"/>
                  <w:tcBorders>
                    <w:tl2br w:val="nil"/>
                    <w:tr2bl w:val="nil"/>
                  </w:tcBorders>
                  <w:vAlign w:val="center"/>
                </w:tcPr>
                <w:p>
                  <w:pPr>
                    <w:pStyle w:val="23"/>
                    <w:shd w:val="clear" w:color="auto" w:fill="auto"/>
                    <w:bidi w:val="0"/>
                    <w:rPr>
                      <w:color w:val="auto"/>
                      <w:highlight w:val="none"/>
                    </w:rPr>
                  </w:pPr>
                  <w:r>
                    <w:rPr>
                      <w:color w:val="auto"/>
                      <w:highlight w:val="none"/>
                    </w:rPr>
                    <w:t>氨氮</w:t>
                  </w:r>
                </w:p>
              </w:tc>
              <w:tc>
                <w:tcPr>
                  <w:tcW w:w="445" w:type="pct"/>
                  <w:tcBorders>
                    <w:tl2br w:val="nil"/>
                    <w:tr2bl w:val="nil"/>
                  </w:tcBorders>
                  <w:vAlign w:val="center"/>
                </w:tcPr>
                <w:p>
                  <w:pPr>
                    <w:pStyle w:val="23"/>
                    <w:shd w:val="clear" w:color="auto" w:fill="auto"/>
                    <w:bidi w:val="0"/>
                    <w:rPr>
                      <w:color w:val="auto"/>
                      <w:highlight w:val="none"/>
                    </w:rPr>
                  </w:pPr>
                  <w:r>
                    <w:rPr>
                      <w:rFonts w:hint="eastAsia"/>
                      <w:color w:val="auto"/>
                      <w:highlight w:val="none"/>
                    </w:rPr>
                    <w:t>总磷</w:t>
                  </w:r>
                </w:p>
              </w:tc>
              <w:tc>
                <w:tcPr>
                  <w:tcW w:w="447" w:type="pct"/>
                  <w:tcBorders>
                    <w:tl2br w:val="nil"/>
                    <w:tr2bl w:val="nil"/>
                  </w:tcBorders>
                  <w:vAlign w:val="center"/>
                </w:tcPr>
                <w:p>
                  <w:pPr>
                    <w:pStyle w:val="23"/>
                    <w:shd w:val="clear" w:color="auto" w:fill="auto"/>
                    <w:bidi w:val="0"/>
                    <w:rPr>
                      <w:color w:val="auto"/>
                      <w:highlight w:val="none"/>
                    </w:rPr>
                  </w:pPr>
                  <w:r>
                    <w:rPr>
                      <w:rFonts w:hint="eastAsia"/>
                      <w:color w:val="auto"/>
                      <w:highlight w:val="none"/>
                    </w:rPr>
                    <w:t>总氮</w:t>
                  </w:r>
                </w:p>
              </w:tc>
              <w:tc>
                <w:tcPr>
                  <w:tcW w:w="447" w:type="pct"/>
                  <w:tcBorders>
                    <w:tl2br w:val="nil"/>
                    <w:tr2bl w:val="nil"/>
                  </w:tcBorders>
                  <w:vAlign w:val="center"/>
                </w:tcPr>
                <w:p>
                  <w:pPr>
                    <w:pStyle w:val="23"/>
                    <w:shd w:val="clear" w:color="auto" w:fill="auto"/>
                    <w:bidi w:val="0"/>
                    <w:rPr>
                      <w:color w:val="auto"/>
                      <w:highlight w:val="none"/>
                    </w:rPr>
                  </w:pPr>
                  <w:r>
                    <w:rPr>
                      <w:rFonts w:hint="eastAsia"/>
                      <w:color w:val="auto"/>
                      <w:highlight w:val="none"/>
                    </w:rPr>
                    <w:t>色度</w:t>
                  </w:r>
                </w:p>
              </w:tc>
              <w:tc>
                <w:tcPr>
                  <w:tcW w:w="447" w:type="pct"/>
                  <w:tcBorders>
                    <w:tl2br w:val="nil"/>
                    <w:tr2bl w:val="nil"/>
                  </w:tcBorders>
                  <w:vAlign w:val="center"/>
                </w:tcPr>
                <w:p>
                  <w:pPr>
                    <w:pStyle w:val="23"/>
                    <w:shd w:val="clear" w:color="auto" w:fill="auto"/>
                    <w:bidi w:val="0"/>
                    <w:rPr>
                      <w:rFonts w:hint="eastAsia"/>
                      <w:color w:val="auto"/>
                      <w:lang w:val="en-US" w:eastAsia="zh-CN"/>
                      <w:highlight w:val="none"/>
                    </w:rPr>
                  </w:pPr>
                  <w:r>
                    <w:rPr>
                      <w:rFonts w:hint="eastAsia"/>
                      <w:color w:val="auto"/>
                      <w:lang w:val="en-US" w:eastAsia="zh-CN"/>
                      <w:highlight w:val="none"/>
                    </w:rPr>
                    <w:t>动植物油</w:t>
                  </w:r>
                </w:p>
              </w:tc>
            </w:tr>
            <w:tr>
              <w:trPr>
                <w:trHeight w:val="23"/>
              </w:trPr>
              <w:tc>
                <w:tcPr>
                  <w:tcW w:w="1176" w:type="pct"/>
                  <w:tcBorders>
                    <w:tl2br w:val="nil"/>
                    <w:tr2bl w:val="nil"/>
                  </w:tcBorders>
                  <w:vAlign w:val="center"/>
                </w:tcPr>
                <w:p>
                  <w:pPr>
                    <w:pStyle w:val="23"/>
                    <w:shd w:val="clear" w:color="auto" w:fill="auto"/>
                    <w:bidi w:val="0"/>
                    <w:rPr>
                      <w:color w:val="auto"/>
                      <w:highlight w:val="none"/>
                    </w:rPr>
                  </w:pPr>
                  <w:r>
                    <w:rPr>
                      <w:color w:val="auto"/>
                      <w:highlight w:val="none"/>
                    </w:rPr>
                    <w:t>《污水综合排放标准》（GB8978-1996）</w:t>
                  </w:r>
                </w:p>
              </w:tc>
              <w:tc>
                <w:tcPr>
                  <w:tcW w:w="358" w:type="pct"/>
                  <w:tcBorders>
                    <w:tl2br w:val="nil"/>
                    <w:tr2bl w:val="nil"/>
                  </w:tcBorders>
                  <w:vAlign w:val="center"/>
                </w:tcPr>
                <w:p>
                  <w:pPr>
                    <w:pStyle w:val="23"/>
                    <w:shd w:val="clear" w:color="auto" w:fill="auto"/>
                    <w:bidi w:val="0"/>
                    <w:rPr>
                      <w:color w:val="auto"/>
                      <w:highlight w:val="none"/>
                    </w:rPr>
                  </w:pPr>
                  <w:r>
                    <w:rPr>
                      <w:color w:val="auto"/>
                      <w:highlight w:val="none"/>
                    </w:rPr>
                    <w:t>6-9</w:t>
                  </w:r>
                </w:p>
              </w:tc>
              <w:tc>
                <w:tcPr>
                  <w:tcW w:w="422" w:type="pct"/>
                  <w:tcBorders>
                    <w:tl2br w:val="nil"/>
                    <w:tr2bl w:val="nil"/>
                  </w:tcBorders>
                  <w:vAlign w:val="center"/>
                </w:tcPr>
                <w:p>
                  <w:pPr>
                    <w:pStyle w:val="23"/>
                    <w:shd w:val="clear" w:color="auto" w:fill="auto"/>
                    <w:bidi w:val="0"/>
                    <w:rPr>
                      <w:color w:val="auto"/>
                      <w:highlight w:val="none"/>
                    </w:rPr>
                  </w:pPr>
                  <w:r>
                    <w:rPr>
                      <w:color w:val="auto"/>
                      <w:highlight w:val="none"/>
                    </w:rPr>
                    <w:t>≤500</w:t>
                  </w:r>
                </w:p>
              </w:tc>
              <w:tc>
                <w:tcPr>
                  <w:tcW w:w="466" w:type="pct"/>
                  <w:tcBorders>
                    <w:tl2br w:val="nil"/>
                    <w:tr2bl w:val="nil"/>
                  </w:tcBorders>
                  <w:vAlign w:val="center"/>
                </w:tcPr>
                <w:p>
                  <w:pPr>
                    <w:pStyle w:val="23"/>
                    <w:shd w:val="clear" w:color="auto" w:fill="auto"/>
                    <w:bidi w:val="0"/>
                    <w:rPr>
                      <w:color w:val="auto"/>
                      <w:highlight w:val="none"/>
                    </w:rPr>
                  </w:pPr>
                  <w:r>
                    <w:rPr>
                      <w:color w:val="auto"/>
                      <w:highlight w:val="none"/>
                    </w:rPr>
                    <w:t>≤300</w:t>
                  </w:r>
                </w:p>
              </w:tc>
              <w:tc>
                <w:tcPr>
                  <w:tcW w:w="417" w:type="pct"/>
                  <w:tcBorders>
                    <w:tl2br w:val="nil"/>
                    <w:tr2bl w:val="nil"/>
                  </w:tcBorders>
                  <w:vAlign w:val="center"/>
                </w:tcPr>
                <w:p>
                  <w:pPr>
                    <w:pStyle w:val="23"/>
                    <w:shd w:val="clear" w:color="auto" w:fill="auto"/>
                    <w:bidi w:val="0"/>
                    <w:rPr>
                      <w:color w:val="auto"/>
                      <w:highlight w:val="none"/>
                    </w:rPr>
                  </w:pPr>
                  <w:r>
                    <w:rPr>
                      <w:color w:val="auto"/>
                      <w:highlight w:val="none"/>
                    </w:rPr>
                    <w:t>≤400</w:t>
                  </w:r>
                </w:p>
              </w:tc>
              <w:tc>
                <w:tcPr>
                  <w:tcW w:w="372" w:type="pct"/>
                  <w:tcBorders>
                    <w:tl2br w:val="nil"/>
                    <w:tr2bl w:val="nil"/>
                  </w:tcBorders>
                  <w:vAlign w:val="center"/>
                </w:tcPr>
                <w:p>
                  <w:pPr>
                    <w:pStyle w:val="23"/>
                    <w:shd w:val="clear" w:color="auto" w:fill="auto"/>
                    <w:bidi w:val="0"/>
                    <w:rPr>
                      <w:color w:val="auto"/>
                      <w:highlight w:val="none"/>
                    </w:rPr>
                  </w:pPr>
                  <w:r>
                    <w:rPr>
                      <w:color w:val="auto"/>
                      <w:highlight w:val="none"/>
                    </w:rPr>
                    <w:t>—</w:t>
                  </w:r>
                </w:p>
              </w:tc>
              <w:tc>
                <w:tcPr>
                  <w:tcW w:w="445" w:type="pct"/>
                  <w:tcBorders>
                    <w:tl2br w:val="nil"/>
                    <w:tr2bl w:val="nil"/>
                  </w:tcBorders>
                  <w:vAlign w:val="center"/>
                </w:tcPr>
                <w:p>
                  <w:pPr>
                    <w:pStyle w:val="23"/>
                    <w:shd w:val="clear" w:color="auto" w:fill="auto"/>
                    <w:bidi w:val="0"/>
                    <w:rPr>
                      <w:color w:val="auto"/>
                      <w:highlight w:val="none"/>
                    </w:rPr>
                  </w:pPr>
                  <w:r>
                    <w:rPr>
                      <w:color w:val="auto"/>
                      <w:highlight w:val="none"/>
                    </w:rPr>
                    <w:t>—</w:t>
                  </w:r>
                </w:p>
              </w:tc>
              <w:tc>
                <w:tcPr>
                  <w:tcW w:w="447" w:type="pct"/>
                  <w:tcBorders>
                    <w:tl2br w:val="nil"/>
                    <w:tr2bl w:val="nil"/>
                  </w:tcBorders>
                  <w:vAlign w:val="center"/>
                </w:tcPr>
                <w:p>
                  <w:pPr>
                    <w:pStyle w:val="23"/>
                    <w:shd w:val="clear" w:color="auto" w:fill="auto"/>
                    <w:bidi w:val="0"/>
                    <w:rPr>
                      <w:color w:val="auto"/>
                      <w:highlight w:val="none"/>
                    </w:rPr>
                  </w:pPr>
                  <w:r>
                    <w:rPr>
                      <w:color w:val="auto"/>
                      <w:highlight w:val="none"/>
                    </w:rPr>
                    <w:t>—</w:t>
                  </w:r>
                </w:p>
              </w:tc>
              <w:tc>
                <w:tcPr>
                  <w:tcW w:w="447" w:type="pct"/>
                  <w:tcBorders>
                    <w:tl2br w:val="nil"/>
                    <w:tr2bl w:val="nil"/>
                  </w:tcBorders>
                  <w:vAlign w:val="center"/>
                </w:tcPr>
                <w:p>
                  <w:pPr>
                    <w:pStyle w:val="23"/>
                    <w:shd w:val="clear" w:color="auto" w:fill="auto"/>
                    <w:bidi w:val="0"/>
                    <w:rPr>
                      <w:color w:val="auto"/>
                      <w:highlight w:val="none"/>
                    </w:rPr>
                  </w:pPr>
                  <w:r>
                    <w:rPr>
                      <w:color w:val="auto"/>
                      <w:highlight w:val="none"/>
                    </w:rPr>
                    <w:t>—</w:t>
                  </w:r>
                </w:p>
              </w:tc>
              <w:tc>
                <w:tcPr>
                  <w:tcW w:w="447" w:type="pct"/>
                  <w:tcBorders>
                    <w:tl2br w:val="nil"/>
                    <w:tr2bl w:val="nil"/>
                  </w:tcBorders>
                  <w:vAlign w:val="center"/>
                </w:tcPr>
                <w:p>
                  <w:pPr>
                    <w:pStyle w:val="23"/>
                    <w:shd w:val="clear" w:color="auto" w:fill="auto"/>
                    <w:bidi w:val="0"/>
                    <w:rPr>
                      <w:rFonts w:eastAsia="宋体"/>
                      <w:color w:val="auto"/>
                      <w:lang w:val="en-US" w:eastAsia="zh-CN"/>
                      <w:highlight w:val="none"/>
                    </w:rPr>
                  </w:pPr>
                  <w:r>
                    <w:rPr>
                      <w:rFonts w:hint="eastAsia"/>
                      <w:color w:val="auto"/>
                      <w:lang w:val="en-US" w:eastAsia="zh-CN"/>
                      <w:highlight w:val="none"/>
                    </w:rPr>
                    <w:t>100</w:t>
                  </w:r>
                </w:p>
              </w:tc>
            </w:tr>
            <w:tr>
              <w:trPr>
                <w:trHeight w:val="23"/>
              </w:trPr>
              <w:tc>
                <w:tcPr>
                  <w:tcW w:w="1176" w:type="pct"/>
                  <w:tcBorders>
                    <w:tl2br w:val="nil"/>
                    <w:tr2bl w:val="nil"/>
                  </w:tcBorders>
                  <w:vAlign w:val="center"/>
                </w:tcPr>
                <w:p>
                  <w:pPr>
                    <w:pStyle w:val="23"/>
                    <w:shd w:val="clear" w:color="auto" w:fill="auto"/>
                    <w:bidi w:val="0"/>
                    <w:rPr>
                      <w:color w:val="auto"/>
                      <w:highlight w:val="none"/>
                    </w:rPr>
                  </w:pPr>
                  <w:r>
                    <w:rPr>
                      <w:rFonts w:hint="eastAsia"/>
                      <w:color w:val="auto"/>
                      <w:highlight w:val="none"/>
                    </w:rPr>
                    <w:t>德威华泰石家庄市栾城水务有限公司</w:t>
                  </w:r>
                  <w:r>
                    <w:rPr>
                      <w:color w:val="auto"/>
                      <w:highlight w:val="none"/>
                    </w:rPr>
                    <w:t>进水水质标准</w:t>
                  </w:r>
                </w:p>
              </w:tc>
              <w:tc>
                <w:tcPr>
                  <w:tcW w:w="358" w:type="pct"/>
                  <w:tcBorders>
                    <w:tl2br w:val="nil"/>
                    <w:tr2bl w:val="nil"/>
                  </w:tcBorders>
                  <w:vAlign w:val="center"/>
                </w:tcPr>
                <w:p>
                  <w:pPr>
                    <w:pStyle w:val="23"/>
                    <w:shd w:val="clear" w:color="auto" w:fill="auto"/>
                    <w:bidi w:val="0"/>
                    <w:rPr>
                      <w:color w:val="auto"/>
                      <w:highlight w:val="none"/>
                    </w:rPr>
                  </w:pPr>
                  <w:r>
                    <w:rPr>
                      <w:color w:val="auto"/>
                      <w:highlight w:val="none"/>
                    </w:rPr>
                    <w:t>6-9</w:t>
                  </w:r>
                </w:p>
              </w:tc>
              <w:tc>
                <w:tcPr>
                  <w:tcW w:w="422" w:type="pct"/>
                  <w:tcBorders>
                    <w:tl2br w:val="nil"/>
                    <w:tr2bl w:val="nil"/>
                  </w:tcBorders>
                  <w:vAlign w:val="center"/>
                </w:tcPr>
                <w:p>
                  <w:pPr>
                    <w:pStyle w:val="23"/>
                    <w:shd w:val="clear" w:color="auto" w:fill="auto"/>
                    <w:bidi w:val="0"/>
                    <w:rPr>
                      <w:color w:val="auto"/>
                      <w:highlight w:val="none"/>
                    </w:rPr>
                  </w:pPr>
                  <w:r>
                    <w:rPr>
                      <w:color w:val="auto"/>
                      <w:highlight w:val="none"/>
                    </w:rPr>
                    <w:t>≤240</w:t>
                  </w:r>
                </w:p>
              </w:tc>
              <w:tc>
                <w:tcPr>
                  <w:tcW w:w="466" w:type="pct"/>
                  <w:tcBorders>
                    <w:tl2br w:val="nil"/>
                    <w:tr2bl w:val="nil"/>
                  </w:tcBorders>
                  <w:vAlign w:val="center"/>
                </w:tcPr>
                <w:p>
                  <w:pPr>
                    <w:pStyle w:val="23"/>
                    <w:shd w:val="clear" w:color="auto" w:fill="auto"/>
                    <w:bidi w:val="0"/>
                    <w:rPr>
                      <w:color w:val="auto"/>
                      <w:highlight w:val="none"/>
                    </w:rPr>
                  </w:pPr>
                  <w:r>
                    <w:rPr>
                      <w:color w:val="auto"/>
                      <w:highlight w:val="none"/>
                    </w:rPr>
                    <w:t>≤240</w:t>
                  </w:r>
                </w:p>
              </w:tc>
              <w:tc>
                <w:tcPr>
                  <w:tcW w:w="417" w:type="pct"/>
                  <w:tcBorders>
                    <w:tl2br w:val="nil"/>
                    <w:tr2bl w:val="nil"/>
                  </w:tcBorders>
                  <w:vAlign w:val="center"/>
                </w:tcPr>
                <w:p>
                  <w:pPr>
                    <w:pStyle w:val="23"/>
                    <w:shd w:val="clear" w:color="auto" w:fill="auto"/>
                    <w:bidi w:val="0"/>
                    <w:rPr>
                      <w:color w:val="auto"/>
                      <w:highlight w:val="none"/>
                    </w:rPr>
                  </w:pPr>
                  <w:r>
                    <w:rPr>
                      <w:color w:val="auto"/>
                      <w:highlight w:val="none"/>
                    </w:rPr>
                    <w:t>≤200</w:t>
                  </w:r>
                </w:p>
              </w:tc>
              <w:tc>
                <w:tcPr>
                  <w:tcW w:w="372" w:type="pct"/>
                  <w:tcBorders>
                    <w:tl2br w:val="nil"/>
                    <w:tr2bl w:val="nil"/>
                  </w:tcBorders>
                  <w:vAlign w:val="center"/>
                </w:tcPr>
                <w:p>
                  <w:pPr>
                    <w:pStyle w:val="23"/>
                    <w:shd w:val="clear" w:color="auto" w:fill="auto"/>
                    <w:bidi w:val="0"/>
                    <w:rPr>
                      <w:color w:val="auto"/>
                      <w:highlight w:val="none"/>
                    </w:rPr>
                  </w:pPr>
                  <w:r>
                    <w:rPr>
                      <w:color w:val="auto"/>
                      <w:highlight w:val="none"/>
                    </w:rPr>
                    <w:t>≤25</w:t>
                  </w:r>
                </w:p>
              </w:tc>
              <w:tc>
                <w:tcPr>
                  <w:tcW w:w="445" w:type="pct"/>
                  <w:tcBorders>
                    <w:tl2br w:val="nil"/>
                    <w:tr2bl w:val="nil"/>
                  </w:tcBorders>
                  <w:vAlign w:val="center"/>
                </w:tcPr>
                <w:p>
                  <w:pPr>
                    <w:pStyle w:val="23"/>
                    <w:shd w:val="clear" w:color="auto" w:fill="auto"/>
                    <w:bidi w:val="0"/>
                    <w:rPr>
                      <w:color w:val="auto"/>
                      <w:highlight w:val="none"/>
                    </w:rPr>
                  </w:pPr>
                  <w:r>
                    <w:rPr>
                      <w:color w:val="auto"/>
                      <w:highlight w:val="none"/>
                    </w:rPr>
                    <w:t>≤3.5</w:t>
                  </w:r>
                </w:p>
              </w:tc>
              <w:tc>
                <w:tcPr>
                  <w:tcW w:w="447" w:type="pct"/>
                  <w:tcBorders>
                    <w:tl2br w:val="nil"/>
                    <w:tr2bl w:val="nil"/>
                  </w:tcBorders>
                  <w:vAlign w:val="center"/>
                </w:tcPr>
                <w:p>
                  <w:pPr>
                    <w:pStyle w:val="23"/>
                    <w:shd w:val="clear" w:color="auto" w:fill="auto"/>
                    <w:bidi w:val="0"/>
                    <w:rPr>
                      <w:color w:val="auto"/>
                      <w:highlight w:val="none"/>
                    </w:rPr>
                  </w:pPr>
                  <w:r>
                    <w:rPr>
                      <w:color w:val="auto"/>
                      <w:highlight w:val="none"/>
                    </w:rPr>
                    <w:t>≤40</w:t>
                  </w:r>
                </w:p>
              </w:tc>
              <w:tc>
                <w:tcPr>
                  <w:tcW w:w="447" w:type="pct"/>
                  <w:tcBorders>
                    <w:tl2br w:val="nil"/>
                    <w:tr2bl w:val="nil"/>
                  </w:tcBorders>
                  <w:vAlign w:val="center"/>
                </w:tcPr>
                <w:p>
                  <w:pPr>
                    <w:pStyle w:val="23"/>
                    <w:shd w:val="clear" w:color="auto" w:fill="auto"/>
                    <w:bidi w:val="0"/>
                    <w:rPr>
                      <w:color w:val="auto"/>
                      <w:highlight w:val="none"/>
                    </w:rPr>
                  </w:pPr>
                  <w:r>
                    <w:rPr>
                      <w:color w:val="auto"/>
                      <w:highlight w:val="none"/>
                    </w:rPr>
                    <w:t>≤50倍</w:t>
                  </w:r>
                </w:p>
              </w:tc>
              <w:tc>
                <w:tcPr>
                  <w:tcW w:w="447" w:type="pct"/>
                  <w:tcBorders>
                    <w:tl2br w:val="nil"/>
                    <w:tr2bl w:val="nil"/>
                  </w:tcBorders>
                  <w:vAlign w:val="center"/>
                </w:tcPr>
                <w:p>
                  <w:pPr>
                    <w:pStyle w:val="23"/>
                    <w:shd w:val="clear" w:color="auto" w:fill="auto"/>
                    <w:bidi w:val="0"/>
                    <w:rPr>
                      <w:color w:val="auto"/>
                      <w:highlight w:val="none"/>
                    </w:rPr>
                  </w:pPr>
                  <w:r>
                    <w:rPr>
                      <w:color w:val="auto"/>
                      <w:highlight w:val="none"/>
                    </w:rPr>
                    <w:t>—</w:t>
                  </w:r>
                </w:p>
              </w:tc>
            </w:tr>
            <w:tr>
              <w:trPr>
                <w:trHeight w:val="23"/>
              </w:trPr>
              <w:tc>
                <w:tcPr>
                  <w:tcW w:w="1176" w:type="pct"/>
                  <w:tcBorders>
                    <w:tl2br w:val="nil"/>
                    <w:tr2bl w:val="nil"/>
                  </w:tcBorders>
                  <w:vAlign w:val="center"/>
                </w:tcPr>
                <w:p>
                  <w:pPr>
                    <w:pStyle w:val="23"/>
                    <w:shd w:val="clear" w:color="auto" w:fill="auto"/>
                    <w:bidi w:val="0"/>
                    <w:rPr>
                      <w:color w:val="auto"/>
                      <w:highlight w:val="none"/>
                    </w:rPr>
                  </w:pPr>
                  <w:r>
                    <w:rPr>
                      <w:rFonts w:hint="eastAsia"/>
                      <w:color w:val="auto"/>
                      <w:highlight w:val="none"/>
                    </w:rPr>
                    <w:t>本项目</w:t>
                  </w:r>
                  <w:r>
                    <w:rPr>
                      <w:color w:val="auto"/>
                      <w:highlight w:val="none"/>
                    </w:rPr>
                    <w:t>执行标准</w:t>
                  </w:r>
                </w:p>
              </w:tc>
              <w:tc>
                <w:tcPr>
                  <w:tcW w:w="358" w:type="pct"/>
                  <w:tcBorders>
                    <w:tl2br w:val="nil"/>
                    <w:tr2bl w:val="nil"/>
                  </w:tcBorders>
                  <w:vAlign w:val="center"/>
                </w:tcPr>
                <w:p>
                  <w:pPr>
                    <w:pStyle w:val="23"/>
                    <w:shd w:val="clear" w:color="auto" w:fill="auto"/>
                    <w:bidi w:val="0"/>
                    <w:rPr>
                      <w:color w:val="auto"/>
                      <w:highlight w:val="none"/>
                    </w:rPr>
                  </w:pPr>
                  <w:r>
                    <w:rPr>
                      <w:color w:val="auto"/>
                      <w:highlight w:val="none"/>
                    </w:rPr>
                    <w:t>6-9</w:t>
                  </w:r>
                </w:p>
              </w:tc>
              <w:tc>
                <w:tcPr>
                  <w:tcW w:w="422" w:type="pct"/>
                  <w:tcBorders>
                    <w:tl2br w:val="nil"/>
                    <w:tr2bl w:val="nil"/>
                  </w:tcBorders>
                  <w:vAlign w:val="center"/>
                </w:tcPr>
                <w:p>
                  <w:pPr>
                    <w:pStyle w:val="23"/>
                    <w:shd w:val="clear" w:color="auto" w:fill="auto"/>
                    <w:bidi w:val="0"/>
                    <w:rPr>
                      <w:color w:val="auto"/>
                      <w:highlight w:val="none"/>
                    </w:rPr>
                  </w:pPr>
                  <w:r>
                    <w:rPr>
                      <w:color w:val="auto"/>
                      <w:highlight w:val="none"/>
                    </w:rPr>
                    <w:t>≤240</w:t>
                  </w:r>
                </w:p>
              </w:tc>
              <w:tc>
                <w:tcPr>
                  <w:tcW w:w="466" w:type="pct"/>
                  <w:tcBorders>
                    <w:tl2br w:val="nil"/>
                    <w:tr2bl w:val="nil"/>
                  </w:tcBorders>
                  <w:vAlign w:val="center"/>
                </w:tcPr>
                <w:p>
                  <w:pPr>
                    <w:pStyle w:val="23"/>
                    <w:shd w:val="clear" w:color="auto" w:fill="auto"/>
                    <w:bidi w:val="0"/>
                    <w:rPr>
                      <w:color w:val="auto"/>
                      <w:highlight w:val="none"/>
                    </w:rPr>
                  </w:pPr>
                  <w:r>
                    <w:rPr>
                      <w:color w:val="auto"/>
                      <w:highlight w:val="none"/>
                    </w:rPr>
                    <w:t>≤240</w:t>
                  </w:r>
                </w:p>
              </w:tc>
              <w:tc>
                <w:tcPr>
                  <w:tcW w:w="417" w:type="pct"/>
                  <w:tcBorders>
                    <w:tl2br w:val="nil"/>
                    <w:tr2bl w:val="nil"/>
                  </w:tcBorders>
                  <w:vAlign w:val="center"/>
                </w:tcPr>
                <w:p>
                  <w:pPr>
                    <w:pStyle w:val="23"/>
                    <w:shd w:val="clear" w:color="auto" w:fill="auto"/>
                    <w:bidi w:val="0"/>
                    <w:rPr>
                      <w:color w:val="auto"/>
                      <w:highlight w:val="none"/>
                    </w:rPr>
                  </w:pPr>
                  <w:r>
                    <w:rPr>
                      <w:color w:val="auto"/>
                      <w:highlight w:val="none"/>
                    </w:rPr>
                    <w:t>≤200</w:t>
                  </w:r>
                </w:p>
              </w:tc>
              <w:tc>
                <w:tcPr>
                  <w:tcW w:w="372" w:type="pct"/>
                  <w:tcBorders>
                    <w:tl2br w:val="nil"/>
                    <w:tr2bl w:val="nil"/>
                  </w:tcBorders>
                  <w:vAlign w:val="center"/>
                </w:tcPr>
                <w:p>
                  <w:pPr>
                    <w:pStyle w:val="23"/>
                    <w:shd w:val="clear" w:color="auto" w:fill="auto"/>
                    <w:bidi w:val="0"/>
                    <w:rPr>
                      <w:color w:val="auto"/>
                      <w:highlight w:val="none"/>
                    </w:rPr>
                  </w:pPr>
                  <w:r>
                    <w:rPr>
                      <w:color w:val="auto"/>
                      <w:highlight w:val="none"/>
                    </w:rPr>
                    <w:t>≤25</w:t>
                  </w:r>
                </w:p>
              </w:tc>
              <w:tc>
                <w:tcPr>
                  <w:tcW w:w="445" w:type="pct"/>
                  <w:tcBorders>
                    <w:tl2br w:val="nil"/>
                    <w:tr2bl w:val="nil"/>
                  </w:tcBorders>
                  <w:vAlign w:val="center"/>
                </w:tcPr>
                <w:p>
                  <w:pPr>
                    <w:pStyle w:val="23"/>
                    <w:shd w:val="clear" w:color="auto" w:fill="auto"/>
                    <w:bidi w:val="0"/>
                    <w:rPr>
                      <w:color w:val="auto"/>
                      <w:highlight w:val="none"/>
                    </w:rPr>
                  </w:pPr>
                  <w:r>
                    <w:rPr>
                      <w:color w:val="auto"/>
                      <w:highlight w:val="none"/>
                    </w:rPr>
                    <w:t>≤3.5</w:t>
                  </w:r>
                </w:p>
              </w:tc>
              <w:tc>
                <w:tcPr>
                  <w:tcW w:w="447" w:type="pct"/>
                  <w:tcBorders>
                    <w:tl2br w:val="nil"/>
                    <w:tr2bl w:val="nil"/>
                  </w:tcBorders>
                  <w:vAlign w:val="center"/>
                </w:tcPr>
                <w:p>
                  <w:pPr>
                    <w:pStyle w:val="23"/>
                    <w:shd w:val="clear" w:color="auto" w:fill="auto"/>
                    <w:bidi w:val="0"/>
                    <w:rPr>
                      <w:color w:val="auto"/>
                      <w:highlight w:val="none"/>
                    </w:rPr>
                  </w:pPr>
                  <w:r>
                    <w:rPr>
                      <w:color w:val="auto"/>
                      <w:highlight w:val="none"/>
                    </w:rPr>
                    <w:t>≤40</w:t>
                  </w:r>
                </w:p>
              </w:tc>
              <w:tc>
                <w:tcPr>
                  <w:tcW w:w="447" w:type="pct"/>
                  <w:tcBorders>
                    <w:tl2br w:val="nil"/>
                    <w:tr2bl w:val="nil"/>
                  </w:tcBorders>
                  <w:vAlign w:val="center"/>
                </w:tcPr>
                <w:p>
                  <w:pPr>
                    <w:pStyle w:val="23"/>
                    <w:shd w:val="clear" w:color="auto" w:fill="auto"/>
                    <w:bidi w:val="0"/>
                    <w:rPr>
                      <w:color w:val="auto"/>
                      <w:highlight w:val="none"/>
                    </w:rPr>
                  </w:pPr>
                  <w:r>
                    <w:rPr>
                      <w:color w:val="auto"/>
                      <w:highlight w:val="none"/>
                    </w:rPr>
                    <w:t>≤50倍</w:t>
                  </w:r>
                </w:p>
              </w:tc>
              <w:tc>
                <w:tcPr>
                  <w:tcW w:w="447" w:type="pct"/>
                  <w:tcBorders>
                    <w:tl2br w:val="nil"/>
                    <w:tr2bl w:val="nil"/>
                  </w:tcBorders>
                  <w:vAlign w:val="center"/>
                </w:tcPr>
                <w:p>
                  <w:pPr>
                    <w:pStyle w:val="23"/>
                    <w:shd w:val="clear" w:color="auto" w:fill="auto"/>
                    <w:bidi w:val="0"/>
                    <w:rPr>
                      <w:rFonts w:eastAsia="宋体"/>
                      <w:color w:val="auto"/>
                      <w:lang w:val="en-US" w:eastAsia="zh-CN"/>
                      <w:highlight w:val="none"/>
                    </w:rPr>
                  </w:pPr>
                  <w:r>
                    <w:rPr>
                      <w:rFonts w:hint="eastAsia"/>
                      <w:color w:val="auto"/>
                      <w:lang w:val="en-US" w:eastAsia="zh-CN"/>
                      <w:highlight w:val="none"/>
                    </w:rPr>
                    <w:t>100</w:t>
                  </w:r>
                </w:p>
              </w:tc>
            </w:tr>
          </w:tbl>
          <w:p>
            <w:pPr>
              <w:bidi w:val="0"/>
              <w:rPr>
                <w:color w:val="auto"/>
              </w:rPr>
            </w:pPr>
            <w:r>
              <w:rPr>
                <w:color w:val="auto"/>
              </w:rPr>
              <w:t>3、噪声</w:t>
            </w:r>
          </w:p>
          <w:p>
            <w:pPr>
              <w:bidi w:val="0"/>
              <w:rPr>
                <w:color w:val="auto"/>
              </w:rPr>
            </w:pPr>
            <w:r>
              <w:rPr>
                <w:color w:val="auto"/>
              </w:rPr>
              <w:t>厂界声环境质量满足《工业企业厂界环境噪声排放标准》（GB12348-2008）3类标准要求，具体标准值见表3-1</w:t>
            </w:r>
            <w:r>
              <w:rPr>
                <w:rFonts w:hint="eastAsia"/>
                <w:color w:val="auto"/>
                <w:lang w:val="en-US" w:eastAsia="zh-CN"/>
              </w:rPr>
              <w:t>0</w:t>
            </w:r>
            <w:r>
              <w:rPr>
                <w:color w:val="auto"/>
              </w:rPr>
              <w:t>。</w:t>
            </w:r>
          </w:p>
          <w:p>
            <w:pPr>
              <w:spacing w:line="240" w:lineRule="auto"/>
              <w:ind w:firstLineChars="200" w:firstLine="480"/>
              <w:jc w:val="center"/>
              <w:rPr>
                <w:b/>
                <w:color w:val="auto"/>
              </w:rPr>
            </w:pPr>
            <w:r>
              <w:rPr>
                <w:b/>
                <w:color w:val="auto"/>
                <w:sz w:val="24"/>
              </w:rPr>
              <w:t>表3-1</w:t>
            </w:r>
            <w:r>
              <w:rPr>
                <w:rFonts w:hint="eastAsia"/>
                <w:b/>
                <w:color w:val="auto"/>
                <w:sz w:val="24"/>
                <w:lang w:val="en-US" w:eastAsia="zh-CN"/>
              </w:rPr>
              <w:t>0</w:t>
            </w:r>
            <w:r>
              <w:rPr>
                <w:rFonts w:hint="eastAsia"/>
                <w:b/>
                <w:color w:val="auto"/>
                <w:sz w:val="24"/>
              </w:rPr>
              <w:t xml:space="preserve">   </w:t>
            </w:r>
            <w:r>
              <w:rPr>
                <w:b/>
                <w:color w:val="auto"/>
                <w:sz w:val="24"/>
              </w:rPr>
              <w:t>工业企业厂界环境噪声排放标准</w:t>
            </w:r>
            <w:r>
              <w:rPr>
                <w:rFonts w:hint="eastAsia"/>
                <w:b/>
                <w:color w:val="auto"/>
                <w:sz w:val="24"/>
                <w:lang w:val="en-US" w:eastAsia="zh-CN"/>
              </w:rPr>
              <w:t xml:space="preserve">         </w:t>
            </w:r>
            <w:r>
              <w:rPr>
                <w:b/>
                <w:color w:val="auto"/>
                <w:sz w:val="24"/>
              </w:rPr>
              <w:t>单位dB（A）</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73"/>
              <w:gridCol w:w="1891"/>
              <w:gridCol w:w="2211"/>
              <w:gridCol w:w="3339"/>
            </w:tblGrid>
            <w:tr>
              <w:trPr>
                <w:trHeight w:val="23"/>
              </w:trPr>
              <w:tc>
                <w:tcPr>
                  <w:tcW w:w="630" w:type="pct"/>
                  <w:tcBorders>
                    <w:tl2br w:val="nil"/>
                    <w:tr2bl w:val="nil"/>
                  </w:tcBorders>
                  <w:vAlign w:val="center"/>
                </w:tcPr>
                <w:p>
                  <w:pPr>
                    <w:pStyle w:val="23"/>
                    <w:bidi w:val="0"/>
                    <w:rPr>
                      <w:color w:val="auto"/>
                    </w:rPr>
                  </w:pPr>
                  <w:r>
                    <w:rPr>
                      <w:color w:val="auto"/>
                    </w:rPr>
                    <w:t>污染物种类</w:t>
                  </w:r>
                </w:p>
              </w:tc>
              <w:tc>
                <w:tcPr>
                  <w:tcW w:w="1110" w:type="pct"/>
                  <w:tcBorders>
                    <w:tl2br w:val="nil"/>
                    <w:tr2bl w:val="nil"/>
                  </w:tcBorders>
                  <w:vAlign w:val="center"/>
                </w:tcPr>
                <w:p>
                  <w:pPr>
                    <w:pStyle w:val="23"/>
                    <w:bidi w:val="0"/>
                    <w:rPr>
                      <w:color w:val="auto"/>
                    </w:rPr>
                  </w:pPr>
                  <w:r>
                    <w:rPr>
                      <w:rFonts w:hint="eastAsia"/>
                      <w:color w:val="auto"/>
                    </w:rPr>
                    <w:t>项目</w:t>
                  </w:r>
                </w:p>
              </w:tc>
              <w:tc>
                <w:tcPr>
                  <w:tcW w:w="1298" w:type="pct"/>
                  <w:tcBorders>
                    <w:tl2br w:val="nil"/>
                    <w:tr2bl w:val="nil"/>
                  </w:tcBorders>
                  <w:vAlign w:val="center"/>
                </w:tcPr>
                <w:p>
                  <w:pPr>
                    <w:pStyle w:val="23"/>
                    <w:bidi w:val="0"/>
                    <w:rPr>
                      <w:color w:val="auto"/>
                    </w:rPr>
                  </w:pPr>
                  <w:r>
                    <w:rPr>
                      <w:color w:val="auto"/>
                    </w:rPr>
                    <w:t>标准值</w:t>
                  </w:r>
                </w:p>
              </w:tc>
              <w:tc>
                <w:tcPr>
                  <w:tcW w:w="1960" w:type="pct"/>
                  <w:tcBorders>
                    <w:tl2br w:val="nil"/>
                    <w:tr2bl w:val="nil"/>
                  </w:tcBorders>
                  <w:vAlign w:val="center"/>
                </w:tcPr>
                <w:p>
                  <w:pPr>
                    <w:pStyle w:val="23"/>
                    <w:bidi w:val="0"/>
                    <w:rPr>
                      <w:color w:val="auto"/>
                    </w:rPr>
                  </w:pPr>
                  <w:r>
                    <w:rPr>
                      <w:color w:val="auto"/>
                    </w:rPr>
                    <w:t>标准来源</w:t>
                  </w:r>
                </w:p>
              </w:tc>
            </w:tr>
            <w:tr>
              <w:trPr>
                <w:trHeight w:val="23"/>
              </w:trPr>
              <w:tc>
                <w:tcPr>
                  <w:tcW w:w="630" w:type="pct"/>
                  <w:tcBorders>
                    <w:tl2br w:val="nil"/>
                    <w:tr2bl w:val="nil"/>
                  </w:tcBorders>
                  <w:vAlign w:val="center"/>
                </w:tcPr>
                <w:p>
                  <w:pPr>
                    <w:pStyle w:val="23"/>
                    <w:bidi w:val="0"/>
                    <w:rPr>
                      <w:color w:val="auto"/>
                    </w:rPr>
                  </w:pPr>
                  <w:r>
                    <w:rPr>
                      <w:color w:val="auto"/>
                    </w:rPr>
                    <w:t>噪声</w:t>
                  </w:r>
                </w:p>
              </w:tc>
              <w:tc>
                <w:tcPr>
                  <w:tcW w:w="1110" w:type="pct"/>
                  <w:tcBorders>
                    <w:tl2br w:val="nil"/>
                    <w:tr2bl w:val="nil"/>
                  </w:tcBorders>
                  <w:vAlign w:val="center"/>
                </w:tcPr>
                <w:p>
                  <w:pPr>
                    <w:pStyle w:val="23"/>
                    <w:bidi w:val="0"/>
                    <w:rPr>
                      <w:color w:val="auto"/>
                    </w:rPr>
                  </w:pPr>
                  <w:r>
                    <w:rPr>
                      <w:color w:val="auto"/>
                    </w:rPr>
                    <w:t>厂界</w:t>
                  </w:r>
                </w:p>
              </w:tc>
              <w:tc>
                <w:tcPr>
                  <w:tcW w:w="1298" w:type="pct"/>
                  <w:tcBorders>
                    <w:tl2br w:val="nil"/>
                    <w:tr2bl w:val="nil"/>
                  </w:tcBorders>
                  <w:vAlign w:val="center"/>
                </w:tcPr>
                <w:p>
                  <w:pPr>
                    <w:pStyle w:val="23"/>
                    <w:bidi w:val="0"/>
                    <w:rPr>
                      <w:color w:val="auto"/>
                    </w:rPr>
                  </w:pPr>
                  <w:r>
                    <w:rPr>
                      <w:color w:val="auto"/>
                    </w:rPr>
                    <w:t>昼间：65dB(A)</w:t>
                  </w:r>
                </w:p>
              </w:tc>
              <w:tc>
                <w:tcPr>
                  <w:tcW w:w="1960" w:type="pct"/>
                  <w:tcBorders>
                    <w:tl2br w:val="nil"/>
                    <w:tr2bl w:val="nil"/>
                  </w:tcBorders>
                  <w:vAlign w:val="center"/>
                </w:tcPr>
                <w:p>
                  <w:pPr>
                    <w:pStyle w:val="23"/>
                    <w:bidi w:val="0"/>
                    <w:rPr>
                      <w:color w:val="auto"/>
                    </w:rPr>
                  </w:pPr>
                  <w:r>
                    <w:rPr>
                      <w:color w:val="auto"/>
                    </w:rPr>
                    <w:t>《工业企业厂界环境噪声排放标准》（GB12348-2008）3类标准</w:t>
                  </w:r>
                </w:p>
              </w:tc>
            </w:tr>
          </w:tbl>
          <w:p>
            <w:pPr>
              <w:spacing w:line="360" w:lineRule="auto"/>
              <w:ind w:firstLineChars="200" w:firstLine="480"/>
              <w:rPr>
                <w:color w:val="auto"/>
                <w:kern w:val="0"/>
                <w:sz w:val="24"/>
              </w:rPr>
            </w:pPr>
            <w:r>
              <w:rPr>
                <w:color w:val="auto"/>
                <w:kern w:val="0"/>
                <w:sz w:val="24"/>
              </w:rPr>
              <w:t>4、固体废物</w:t>
            </w:r>
          </w:p>
          <w:p>
            <w:pPr>
              <w:spacing w:line="360" w:lineRule="auto"/>
              <w:ind w:firstLineChars="200" w:firstLine="480"/>
              <w:rPr>
                <w:color w:val="auto"/>
                <w:kern w:val="0"/>
                <w:sz w:val="24"/>
              </w:rPr>
            </w:pPr>
            <w:r>
              <w:rPr>
                <w:rFonts w:hint="eastAsia"/>
                <w:color w:val="auto"/>
                <w:sz w:val="24"/>
                <w:szCs w:val="32"/>
              </w:rPr>
              <w:t>本项目</w:t>
            </w:r>
            <w:r>
              <w:rPr>
                <w:color w:val="auto"/>
                <w:kern w:val="0"/>
                <w:sz w:val="24"/>
              </w:rPr>
              <w:t>运营期</w:t>
            </w:r>
            <w:r>
              <w:rPr>
                <w:rFonts w:hint="eastAsia"/>
                <w:color w:val="auto"/>
                <w:kern w:val="0"/>
                <w:sz w:val="24"/>
              </w:rPr>
              <w:t>一般</w:t>
            </w:r>
            <w:r>
              <w:rPr>
                <w:color w:val="auto"/>
                <w:kern w:val="0"/>
                <w:sz w:val="24"/>
              </w:rPr>
              <w:t>工业固体废物处置执行《一般工业固体废物贮存和填埋污染控制标准》（GB18599-2020）</w:t>
            </w:r>
            <w:r>
              <w:rPr>
                <w:rFonts w:hint="eastAsia"/>
                <w:color w:val="auto"/>
                <w:kern w:val="0"/>
                <w:sz w:val="24"/>
              </w:rPr>
              <w:t>要求；危险废物执行</w:t>
            </w:r>
            <w:r>
              <w:rPr>
                <w:color w:val="auto"/>
                <w:kern w:val="0"/>
                <w:sz w:val="24"/>
                <w:lang w:val="en-US" w:eastAsia="zh-CN"/>
              </w:rPr>
              <w:t>《危险废物贮存污染控制标准》（GB18597-20</w:t>
            </w:r>
            <w:r>
              <w:rPr>
                <w:rFonts w:hint="eastAsia"/>
                <w:color w:val="auto"/>
                <w:kern w:val="0"/>
                <w:sz w:val="24"/>
                <w:lang w:val="en-US" w:eastAsia="zh-CN"/>
              </w:rPr>
              <w:t>23</w:t>
            </w:r>
            <w:r>
              <w:rPr>
                <w:color w:val="auto"/>
                <w:kern w:val="0"/>
                <w:sz w:val="24"/>
                <w:lang w:val="en-US" w:eastAsia="zh-CN"/>
              </w:rPr>
              <w:t>）</w:t>
            </w:r>
            <w:r>
              <w:rPr>
                <w:color w:val="auto"/>
                <w:kern w:val="0"/>
                <w:sz w:val="24"/>
              </w:rPr>
              <w:t>相关要求规定。</w:t>
            </w:r>
          </w:p>
          <w:p>
            <w:pPr>
              <w:spacing w:line="360" w:lineRule="auto"/>
              <w:ind w:firstLineChars="200" w:firstLine="480"/>
              <w:rPr>
                <w:color w:val="auto"/>
                <w:kern w:val="0"/>
                <w:sz w:val="24"/>
              </w:rPr>
            </w:pPr>
          </w:p>
          <w:p>
            <w:pPr>
              <w:spacing w:line="360" w:lineRule="auto"/>
              <w:ind w:firstLineChars="200" w:firstLine="480"/>
              <w:rPr>
                <w:color w:val="auto"/>
                <w:kern w:val="0"/>
                <w:sz w:val="24"/>
              </w:rPr>
            </w:pPr>
          </w:p>
          <w:p>
            <w:pPr>
              <w:spacing w:line="360" w:lineRule="auto"/>
              <w:ind w:firstLineChars="200" w:firstLine="480"/>
              <w:rPr>
                <w:color w:val="auto"/>
                <w:kern w:val="0"/>
                <w:sz w:val="24"/>
              </w:rPr>
            </w:pPr>
          </w:p>
          <w:p>
            <w:pPr>
              <w:spacing w:line="360" w:lineRule="auto"/>
              <w:ind w:firstLineChars="200" w:firstLine="480"/>
              <w:rPr>
                <w:color w:val="auto"/>
                <w:kern w:val="0"/>
                <w:sz w:val="24"/>
              </w:rPr>
            </w:pPr>
          </w:p>
          <w:p>
            <w:pPr>
              <w:spacing w:line="360" w:lineRule="auto"/>
              <w:ind w:firstLineChars="200" w:firstLine="480"/>
              <w:rPr>
                <w:color w:val="auto"/>
                <w:kern w:val="0"/>
                <w:sz w:val="24"/>
              </w:rPr>
            </w:pPr>
          </w:p>
          <w:p>
            <w:pPr>
              <w:spacing w:line="360" w:lineRule="auto"/>
              <w:ind w:firstLineChars="200" w:firstLine="480"/>
              <w:rPr>
                <w:color w:val="auto"/>
                <w:kern w:val="0"/>
                <w:sz w:val="24"/>
              </w:rPr>
            </w:pPr>
          </w:p>
        </w:tc>
      </w:tr>
      <w:tr>
        <w:trPr>
          <w:trHeight w:val="12866"/>
        </w:trPr>
        <w:tc>
          <w:tcPr>
            <w:tcW w:w="28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kern w:val="0"/>
                <w:sz w:val="24"/>
              </w:rPr>
            </w:pPr>
            <w:r>
              <w:rPr>
                <w:color w:val="auto"/>
                <w:kern w:val="0"/>
                <w:sz w:val="24"/>
              </w:rPr>
              <w:t>总量控制</w:t>
            </w:r>
          </w:p>
          <w:p>
            <w:pPr>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color w:val="auto"/>
                <w:kern w:val="0"/>
                <w:szCs w:val="21"/>
              </w:rPr>
            </w:pPr>
            <w:r>
              <w:rPr>
                <w:color w:val="auto"/>
                <w:kern w:val="0"/>
                <w:sz w:val="24"/>
              </w:rPr>
              <w:t>指标</w:t>
            </w:r>
          </w:p>
        </w:tc>
        <w:tc>
          <w:tcPr>
            <w:tcW w:w="4716" w:type="pct"/>
            <w:tcBorders>
              <w:left w:val="single" w:sz="4" w:space="0" w:color="auto"/>
            </w:tcBorders>
            <w:vAlign w:val="center"/>
          </w:tcPr>
          <w:p>
            <w:pPr>
              <w:spacing w:line="360" w:lineRule="auto"/>
              <w:ind w:firstLineChars="200" w:firstLine="480"/>
              <w:contextualSpacing/>
              <w:rPr>
                <w:color w:val="auto"/>
                <w:sz w:val="24"/>
              </w:rPr>
            </w:pPr>
            <w:r>
              <w:rPr>
                <w:color w:val="auto"/>
                <w:sz w:val="24"/>
              </w:rPr>
              <w:t>根据河北省环境保护厅《关于进一步改革和优化建设项目主要污染物排放总量核定工作的通知》冀环总[2014]283号文件要求及《关于进一步做好建设项目大气主要污染物排放总量指标审核管理工作的通知》（冀环办字函〔2020〕247号），结合本项目情况，确定项目的污染物排放总量控制因子为：COD、</w:t>
            </w:r>
            <w:r>
              <w:rPr>
                <w:rFonts w:hint="eastAsia"/>
                <w:color w:val="auto"/>
                <w:sz w:val="24"/>
                <w:lang w:val="en-US" w:eastAsia="zh-CN"/>
              </w:rPr>
              <w:t>NH</w:t>
            </w:r>
            <w:r>
              <w:rPr>
                <w:rFonts w:hint="eastAsia"/>
                <w:color w:val="auto"/>
                <w:sz w:val="24"/>
                <w:vertAlign w:val="subscript"/>
                <w:lang w:val="en-US" w:eastAsia="zh-CN"/>
              </w:rPr>
              <w:t>3</w:t>
            </w:r>
            <w:r>
              <w:rPr>
                <w:rFonts w:hint="eastAsia"/>
                <w:color w:val="auto"/>
                <w:sz w:val="24"/>
                <w:lang w:val="en-US" w:eastAsia="zh-CN"/>
              </w:rPr>
              <w:t>-N、SO</w:t>
            </w:r>
            <w:r>
              <w:rPr>
                <w:rFonts w:hint="eastAsia"/>
                <w:color w:val="auto"/>
                <w:sz w:val="24"/>
                <w:vertAlign w:val="subscript"/>
                <w:lang w:val="en-US" w:eastAsia="zh-CN"/>
              </w:rPr>
              <w:t>2</w:t>
            </w:r>
            <w:r>
              <w:rPr>
                <w:rFonts w:hint="eastAsia"/>
                <w:color w:val="auto"/>
                <w:sz w:val="24"/>
                <w:lang w:val="en-US" w:eastAsia="zh-CN"/>
              </w:rPr>
              <w:t>、NOx</w:t>
            </w:r>
            <w:r>
              <w:rPr>
                <w:color w:val="auto"/>
                <w:sz w:val="24"/>
              </w:rPr>
              <w:t>。</w:t>
            </w:r>
          </w:p>
          <w:p>
            <w:pPr>
              <w:spacing w:line="360" w:lineRule="auto"/>
              <w:ind w:firstLineChars="200" w:firstLine="480"/>
              <w:contextualSpacing/>
              <w:rPr>
                <w:color w:val="auto"/>
                <w:sz w:val="24"/>
                <w:highlight w:val="none"/>
              </w:rPr>
            </w:pPr>
            <w:r>
              <w:rPr>
                <w:color w:val="auto"/>
                <w:sz w:val="24"/>
              </w:rPr>
              <w:t>根据《环保部关于印发</w:t>
            </w:r>
            <w:r>
              <w:rPr>
                <w:rFonts w:hint="eastAsia"/>
                <w:color w:val="auto"/>
                <w:sz w:val="24"/>
                <w:lang w:eastAsia="zh-CN"/>
              </w:rPr>
              <w:t>〈</w:t>
            </w:r>
            <w:r>
              <w:rPr>
                <w:color w:val="auto"/>
                <w:sz w:val="24"/>
              </w:rPr>
              <w:t>建设项目主要污染物排放总量指标审核及管理暂行办法</w:t>
            </w:r>
            <w:r>
              <w:rPr>
                <w:rFonts w:hint="eastAsia"/>
                <w:color w:val="auto"/>
                <w:sz w:val="24"/>
                <w:lang w:eastAsia="zh-CN"/>
              </w:rPr>
              <w:t>〉</w:t>
            </w:r>
            <w:r>
              <w:rPr>
                <w:color w:val="auto"/>
                <w:sz w:val="24"/>
              </w:rPr>
              <w:t>的通知》、《关于加强建设项目主要污染物排放总量管理的通知》和《关于进一步简化建设项目主要污染物排放总量核定项目的通知》的要求，本项目重点污染物排放总量计</w:t>
            </w:r>
            <w:r>
              <w:rPr>
                <w:color w:val="auto"/>
                <w:sz w:val="24"/>
                <w:highlight w:val="none"/>
              </w:rPr>
              <w:t>算</w:t>
            </w:r>
            <w:r>
              <w:rPr>
                <w:rFonts w:hint="eastAsia"/>
                <w:color w:val="auto"/>
                <w:sz w:val="24"/>
                <w:lang w:val="en-US" w:eastAsia="zh-CN"/>
                <w:highlight w:val="none"/>
              </w:rPr>
              <w:t>如下</w:t>
            </w:r>
            <w:r>
              <w:rPr>
                <w:color w:val="auto"/>
                <w:sz w:val="24"/>
                <w:highlight w:val="none"/>
              </w:rPr>
              <w:t>。</w:t>
            </w:r>
          </w:p>
          <w:p>
            <w:pPr>
              <w:spacing w:line="360" w:lineRule="auto"/>
              <w:ind w:firstLineChars="200" w:firstLine="480"/>
              <w:contextualSpacing/>
              <w:rPr>
                <w:rFonts w:hint="eastAsia"/>
                <w:color w:val="auto"/>
                <w:sz w:val="24"/>
                <w:lang w:val="en-US" w:eastAsia="zh-CN"/>
                <w:highlight w:val="none"/>
              </w:rPr>
            </w:pPr>
            <w:r>
              <w:rPr>
                <w:rFonts w:hint="eastAsia"/>
                <w:color w:val="auto"/>
                <w:sz w:val="24"/>
                <w:lang w:val="en-US" w:eastAsia="zh-CN"/>
                <w:highlight w:val="none"/>
              </w:rPr>
              <w:t>1、按排放标准核算</w:t>
            </w:r>
          </w:p>
          <w:p>
            <w:pPr>
              <w:pStyle w:val="24"/>
              <w:bidi w:val="0"/>
              <w:rPr>
                <w:rFonts w:hint="eastAsia"/>
                <w:color w:val="auto"/>
                <w:lang w:val="en-US" w:eastAsia="zh-CN"/>
              </w:rPr>
            </w:pPr>
            <w:r>
              <w:rPr>
                <w:rFonts w:hint="eastAsia"/>
                <w:color w:val="auto"/>
                <w:lang w:val="en-US" w:eastAsia="zh-CN"/>
              </w:rPr>
              <w:t>表3-11  污染物排放总量核算结果一览表（按排放标准核算）</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23"/>
              <w:gridCol w:w="1918"/>
              <w:gridCol w:w="1883"/>
              <w:gridCol w:w="1569"/>
              <w:gridCol w:w="2024"/>
            </w:tblGrid>
            <w:tr>
              <w:trPr>
                <w:trHeight w:val="23"/>
              </w:trPr>
              <w:tc>
                <w:tcPr>
                  <w:tcW w:w="659" w:type="pct"/>
                  <w:vAlign w:val="center"/>
                </w:tcPr>
                <w:p>
                  <w:pPr>
                    <w:pStyle w:val="23"/>
                    <w:bidi w:val="0"/>
                    <w:rPr>
                      <w:color w:val="auto"/>
                      <w:highlight w:val="none"/>
                    </w:rPr>
                  </w:pPr>
                  <w:r>
                    <w:rPr>
                      <w:color w:val="auto"/>
                      <w:highlight w:val="none"/>
                    </w:rPr>
                    <w:t>项目</w:t>
                  </w:r>
                </w:p>
              </w:tc>
              <w:tc>
                <w:tcPr>
                  <w:tcW w:w="1126" w:type="pct"/>
                  <w:vAlign w:val="center"/>
                </w:tcPr>
                <w:p>
                  <w:pPr>
                    <w:pStyle w:val="23"/>
                    <w:bidi w:val="0"/>
                    <w:rPr>
                      <w:color w:val="auto"/>
                      <w:highlight w:val="none"/>
                    </w:rPr>
                  </w:pPr>
                  <w:r>
                    <w:rPr>
                      <w:color w:val="auto"/>
                      <w:highlight w:val="none"/>
                    </w:rPr>
                    <w:t>排放/协议标准</w:t>
                  </w:r>
                </w:p>
                <w:p>
                  <w:pPr>
                    <w:pStyle w:val="23"/>
                    <w:bidi w:val="0"/>
                    <w:rPr>
                      <w:color w:val="auto"/>
                      <w:highlight w:val="none"/>
                    </w:rPr>
                  </w:pPr>
                  <w:r>
                    <w:rPr>
                      <w:color w:val="auto"/>
                      <w:highlight w:val="none"/>
                    </w:rPr>
                    <w:t>（mg/L或mg/m³）</w:t>
                  </w:r>
                </w:p>
              </w:tc>
              <w:tc>
                <w:tcPr>
                  <w:tcW w:w="1105" w:type="pct"/>
                  <w:vAlign w:val="center"/>
                </w:tcPr>
                <w:p>
                  <w:pPr>
                    <w:pStyle w:val="23"/>
                    <w:bidi w:val="0"/>
                    <w:rPr>
                      <w:color w:val="auto"/>
                      <w:highlight w:val="none"/>
                    </w:rPr>
                  </w:pPr>
                  <w:r>
                    <w:rPr>
                      <w:color w:val="auto"/>
                      <w:lang w:val="zh-CN"/>
                      <w:highlight w:val="none"/>
                    </w:rPr>
                    <w:t>排放量</w:t>
                  </w:r>
                </w:p>
                <w:p>
                  <w:pPr>
                    <w:pStyle w:val="23"/>
                    <w:bidi w:val="0"/>
                    <w:rPr>
                      <w:color w:val="auto"/>
                      <w:highlight w:val="none"/>
                    </w:rPr>
                  </w:pPr>
                  <w:r>
                    <w:rPr>
                      <w:color w:val="auto"/>
                      <w:highlight w:val="none"/>
                    </w:rPr>
                    <w:t>（m³/d或m³/h）</w:t>
                  </w:r>
                </w:p>
              </w:tc>
              <w:tc>
                <w:tcPr>
                  <w:tcW w:w="921" w:type="pct"/>
                  <w:vAlign w:val="center"/>
                </w:tcPr>
                <w:p>
                  <w:pPr>
                    <w:pStyle w:val="23"/>
                    <w:bidi w:val="0"/>
                    <w:rPr>
                      <w:color w:val="auto"/>
                      <w:highlight w:val="none"/>
                    </w:rPr>
                  </w:pPr>
                  <w:r>
                    <w:rPr>
                      <w:color w:val="auto"/>
                      <w:highlight w:val="none"/>
                    </w:rPr>
                    <w:t>运行时间</w:t>
                  </w:r>
                </w:p>
                <w:p>
                  <w:pPr>
                    <w:pStyle w:val="23"/>
                    <w:bidi w:val="0"/>
                    <w:rPr>
                      <w:color w:val="auto"/>
                      <w:highlight w:val="none"/>
                    </w:rPr>
                  </w:pPr>
                  <w:r>
                    <w:rPr>
                      <w:color w:val="auto"/>
                      <w:highlight w:val="none"/>
                    </w:rPr>
                    <w:t>（d/a或h/a）</w:t>
                  </w:r>
                </w:p>
              </w:tc>
              <w:tc>
                <w:tcPr>
                  <w:tcW w:w="1188" w:type="pct"/>
                  <w:vAlign w:val="center"/>
                </w:tcPr>
                <w:p>
                  <w:pPr>
                    <w:pStyle w:val="23"/>
                    <w:bidi w:val="0"/>
                    <w:rPr>
                      <w:color w:val="auto"/>
                      <w:highlight w:val="none"/>
                    </w:rPr>
                  </w:pPr>
                  <w:r>
                    <w:rPr>
                      <w:color w:val="auto"/>
                      <w:highlight w:val="none"/>
                    </w:rPr>
                    <w:t>污染物年排放量（t/a）</w:t>
                  </w:r>
                </w:p>
              </w:tc>
            </w:tr>
            <w:tr>
              <w:trPr>
                <w:trHeight w:val="23"/>
              </w:trPr>
              <w:tc>
                <w:tcPr>
                  <w:tcW w:w="659" w:type="pct"/>
                  <w:vAlign w:val="center"/>
                </w:tcPr>
                <w:p>
                  <w:pPr>
                    <w:pStyle w:val="23"/>
                    <w:bidi w:val="0"/>
                    <w:rPr>
                      <w:color w:val="auto"/>
                      <w:highlight w:val="none"/>
                    </w:rPr>
                  </w:pPr>
                  <w:r>
                    <w:rPr>
                      <w:color w:val="auto"/>
                      <w:highlight w:val="none"/>
                    </w:rPr>
                    <w:t>COD</w:t>
                  </w:r>
                </w:p>
              </w:tc>
              <w:tc>
                <w:tcPr>
                  <w:tcW w:w="1126" w:type="pc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240</w:t>
                  </w:r>
                </w:p>
              </w:tc>
              <w:tc>
                <w:tcPr>
                  <w:tcW w:w="1105" w:type="pct"/>
                  <w:vMerge w:val="restart"/>
                  <w:tcBorders>
                    <w:left w:val="single" w:sz="4" w:space="0" w:color="auto"/>
                  </w:tcBorders>
                  <w:vAlign w:val="center"/>
                </w:tcPr>
                <w:p>
                  <w:pPr>
                    <w:pStyle w:val="23"/>
                    <w:bidi w:val="0"/>
                    <w:rPr>
                      <w:color w:val="auto"/>
                      <w:lang w:val="en-US" w:eastAsia="zh-CN"/>
                      <w:highlight w:val="none"/>
                    </w:rPr>
                  </w:pPr>
                  <w:r>
                    <w:rPr>
                      <w:rFonts w:hint="eastAsia"/>
                      <w:color w:val="auto"/>
                      <w:lang w:val="en-US" w:eastAsia="zh-CN"/>
                      <w:highlight w:val="none"/>
                    </w:rPr>
                    <w:t>41.01</w:t>
                  </w:r>
                </w:p>
              </w:tc>
              <w:tc>
                <w:tcPr>
                  <w:tcW w:w="921" w:type="pct"/>
                  <w:vMerge w:val="restar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300</w:t>
                  </w:r>
                </w:p>
              </w:tc>
              <w:tc>
                <w:tcPr>
                  <w:tcW w:w="1188" w:type="pct"/>
                  <w:tcBorders>
                    <w:left w:val="single" w:sz="4" w:space="0" w:color="auto"/>
                  </w:tcBorders>
                  <w:vAlign w:val="center"/>
                </w:tcPr>
                <w:p>
                  <w:pPr>
                    <w:pStyle w:val="23"/>
                    <w:bidi w:val="0"/>
                    <w:rPr>
                      <w:rFonts w:eastAsia="宋体"/>
                      <w:color w:val="auto"/>
                      <w:lang w:val="en-US" w:eastAsia="zh-CN"/>
                      <w:highlight w:val="none"/>
                    </w:rPr>
                  </w:pPr>
                  <w:r>
                    <w:rPr>
                      <w:rFonts w:eastAsia="宋体"/>
                      <w:color w:val="auto"/>
                      <w:lang w:val="en-US" w:eastAsia="zh-CN"/>
                      <w:highlight w:val="none"/>
                    </w:rPr>
                    <w:t>2.95</w:t>
                  </w:r>
                  <w:r>
                    <w:rPr>
                      <w:rFonts w:hint="eastAsia"/>
                      <w:color w:val="auto"/>
                      <w:lang w:val="en-US" w:eastAsia="zh-CN"/>
                      <w:highlight w:val="none"/>
                    </w:rPr>
                    <w:t>3</w:t>
                  </w:r>
                </w:p>
              </w:tc>
            </w:tr>
            <w:tr>
              <w:trPr>
                <w:trHeight w:val="23"/>
              </w:trPr>
              <w:tc>
                <w:tcPr>
                  <w:tcW w:w="659" w:type="pct"/>
                  <w:vAlign w:val="center"/>
                </w:tcPr>
                <w:p>
                  <w:pPr>
                    <w:pStyle w:val="23"/>
                    <w:bidi w:val="0"/>
                    <w:rPr>
                      <w:rFonts w:eastAsia="宋体"/>
                      <w:color w:val="auto"/>
                      <w:lang w:val="en-US" w:eastAsia="zh-CN"/>
                      <w:highlight w:val="none"/>
                    </w:rPr>
                  </w:pPr>
                  <w:r>
                    <w:rPr>
                      <w:rFonts w:hint="eastAsia"/>
                      <w:color w:val="auto"/>
                      <w:lang w:val="en-US" w:eastAsia="zh-CN"/>
                      <w:highlight w:val="none"/>
                    </w:rPr>
                    <w:t>NH</w:t>
                  </w:r>
                  <w:r>
                    <w:rPr>
                      <w:rFonts w:hint="eastAsia"/>
                      <w:color w:val="auto"/>
                      <w:vertAlign w:val="subscript"/>
                      <w:lang w:val="en-US" w:eastAsia="zh-CN"/>
                      <w:highlight w:val="none"/>
                    </w:rPr>
                    <w:t>3</w:t>
                  </w:r>
                  <w:r>
                    <w:rPr>
                      <w:rFonts w:hint="eastAsia"/>
                      <w:color w:val="auto"/>
                      <w:lang w:val="en-US" w:eastAsia="zh-CN"/>
                      <w:highlight w:val="none"/>
                    </w:rPr>
                    <w:t>-N</w:t>
                  </w:r>
                </w:p>
              </w:tc>
              <w:tc>
                <w:tcPr>
                  <w:tcW w:w="1126" w:type="pc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25</w:t>
                  </w:r>
                </w:p>
              </w:tc>
              <w:tc>
                <w:tcPr>
                  <w:tcW w:w="1105" w:type="pct"/>
                  <w:vMerge/>
                  <w:tcBorders>
                    <w:left w:val="single" w:sz="4" w:space="0" w:color="auto"/>
                  </w:tcBorders>
                  <w:vAlign w:val="center"/>
                </w:tcPr>
                <w:p/>
              </w:tc>
              <w:tc>
                <w:tcPr>
                  <w:tcW w:w="921" w:type="pct"/>
                  <w:vMerge/>
                  <w:tcBorders>
                    <w:left w:val="single" w:sz="4" w:space="0" w:color="auto"/>
                  </w:tcBorders>
                  <w:vAlign w:val="center"/>
                </w:tcPr>
                <w:p/>
              </w:tc>
              <w:tc>
                <w:tcPr>
                  <w:tcW w:w="1188" w:type="pct"/>
                  <w:tcBorders>
                    <w:left w:val="single" w:sz="4" w:space="0" w:color="auto"/>
                  </w:tcBorders>
                  <w:vAlign w:val="center"/>
                </w:tcPr>
                <w:p>
                  <w:pPr>
                    <w:pStyle w:val="23"/>
                    <w:bidi w:val="0"/>
                    <w:rPr>
                      <w:rFonts w:eastAsia="宋体"/>
                      <w:color w:val="auto"/>
                      <w:lang w:val="en-US" w:eastAsia="zh-CN"/>
                      <w:highlight w:val="none"/>
                    </w:rPr>
                  </w:pPr>
                  <w:r>
                    <w:rPr>
                      <w:rFonts w:eastAsia="宋体"/>
                      <w:color w:val="auto"/>
                      <w:lang w:val="en-US" w:eastAsia="zh-CN"/>
                      <w:highlight w:val="none"/>
                    </w:rPr>
                    <w:t>0.30</w:t>
                  </w:r>
                  <w:r>
                    <w:rPr>
                      <w:rFonts w:hint="eastAsia"/>
                      <w:color w:val="auto"/>
                      <w:lang w:val="en-US" w:eastAsia="zh-CN"/>
                      <w:highlight w:val="none"/>
                    </w:rPr>
                    <w:t>8</w:t>
                  </w:r>
                </w:p>
              </w:tc>
            </w:tr>
            <w:tr>
              <w:trPr>
                <w:trHeight w:val="23"/>
              </w:trPr>
              <w:tc>
                <w:tcPr>
                  <w:tcW w:w="659" w:type="pct"/>
                  <w:vAlign w:val="center"/>
                </w:tcPr>
                <w:p>
                  <w:pPr>
                    <w:pStyle w:val="23"/>
                    <w:bidi w:val="0"/>
                    <w:rPr>
                      <w:color w:val="auto"/>
                      <w:highlight w:val="none"/>
                    </w:rPr>
                  </w:pPr>
                  <w:r>
                    <w:rPr>
                      <w:color w:val="auto"/>
                      <w:highlight w:val="none"/>
                    </w:rPr>
                    <w:t>SO</w:t>
                  </w:r>
                  <w:r>
                    <w:rPr>
                      <w:color w:val="auto"/>
                      <w:vertAlign w:val="subscript"/>
                      <w:highlight w:val="none"/>
                    </w:rPr>
                    <w:t>2</w:t>
                  </w:r>
                </w:p>
              </w:tc>
              <w:tc>
                <w:tcPr>
                  <w:tcW w:w="1126" w:type="pc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10</w:t>
                  </w:r>
                </w:p>
              </w:tc>
              <w:tc>
                <w:tcPr>
                  <w:tcW w:w="1105" w:type="pct"/>
                  <w:vMerge w:val="restart"/>
                  <w:tcBorders>
                    <w:left w:val="single" w:sz="4" w:space="0" w:color="auto"/>
                  </w:tcBorders>
                  <w:vAlign w:val="center"/>
                </w:tcPr>
                <w:p>
                  <w:pPr>
                    <w:pStyle w:val="23"/>
                    <w:bidi w:val="0"/>
                    <w:rPr>
                      <w:rFonts w:eastAsia="宋体" w:hint="eastAsia"/>
                      <w:color w:val="auto"/>
                      <w:lang w:val="en-US" w:eastAsia="zh-CN"/>
                      <w:highlight w:val="none"/>
                    </w:rPr>
                  </w:pPr>
                  <w:r>
                    <w:rPr>
                      <w:rFonts w:hint="eastAsia"/>
                      <w:color w:val="auto"/>
                      <w:lang w:val="en-US" w:eastAsia="zh-CN"/>
                      <w:highlight w:val="none"/>
                    </w:rPr>
                    <w:t>3232.59</w:t>
                  </w:r>
                </w:p>
              </w:tc>
              <w:tc>
                <w:tcPr>
                  <w:tcW w:w="921" w:type="pct"/>
                  <w:vMerge w:val="restar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2400</w:t>
                  </w:r>
                </w:p>
              </w:tc>
              <w:tc>
                <w:tcPr>
                  <w:tcW w:w="1188" w:type="pc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0.078</w:t>
                  </w:r>
                </w:p>
              </w:tc>
            </w:tr>
            <w:tr>
              <w:trPr>
                <w:trHeight w:val="23"/>
              </w:trPr>
              <w:tc>
                <w:tcPr>
                  <w:tcW w:w="659" w:type="pct"/>
                  <w:vAlign w:val="center"/>
                </w:tcPr>
                <w:p>
                  <w:pPr>
                    <w:pStyle w:val="23"/>
                    <w:bidi w:val="0"/>
                    <w:rPr>
                      <w:color w:val="auto"/>
                      <w:highlight w:val="none"/>
                    </w:rPr>
                  </w:pPr>
                  <w:r>
                    <w:rPr>
                      <w:color w:val="auto"/>
                      <w:highlight w:val="none"/>
                    </w:rPr>
                    <w:t>NO</w:t>
                  </w:r>
                  <w:r>
                    <w:rPr>
                      <w:color w:val="auto"/>
                      <w:vertAlign w:val="subscript"/>
                      <w:highlight w:val="none"/>
                    </w:rPr>
                    <w:t>X</w:t>
                  </w:r>
                </w:p>
              </w:tc>
              <w:tc>
                <w:tcPr>
                  <w:tcW w:w="1126" w:type="pc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50</w:t>
                  </w:r>
                </w:p>
              </w:tc>
              <w:tc>
                <w:tcPr>
                  <w:tcW w:w="1105" w:type="pct"/>
                  <w:vMerge/>
                  <w:tcBorders>
                    <w:left w:val="single" w:sz="4" w:space="0" w:color="auto"/>
                  </w:tcBorders>
                  <w:vAlign w:val="center"/>
                </w:tcPr>
                <w:p/>
              </w:tc>
              <w:tc>
                <w:tcPr>
                  <w:tcW w:w="921" w:type="pct"/>
                  <w:vMerge/>
                  <w:tcBorders>
                    <w:left w:val="single" w:sz="4" w:space="0" w:color="auto"/>
                  </w:tcBorders>
                  <w:vAlign w:val="center"/>
                </w:tcPr>
                <w:p/>
              </w:tc>
              <w:tc>
                <w:tcPr>
                  <w:tcW w:w="1188" w:type="pc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0.388</w:t>
                  </w:r>
                </w:p>
              </w:tc>
            </w:tr>
            <w:tr>
              <w:trPr>
                <w:trHeight w:val="23"/>
              </w:trPr>
              <w:tc>
                <w:tcPr>
                  <w:tcW w:w="659" w:type="pct"/>
                  <w:vAlign w:val="center"/>
                </w:tcPr>
                <w:p>
                  <w:pPr>
                    <w:pStyle w:val="23"/>
                    <w:bidi w:val="0"/>
                    <w:rPr>
                      <w:color w:val="auto"/>
                      <w:highlight w:val="none"/>
                    </w:rPr>
                  </w:pPr>
                  <w:r>
                    <w:rPr>
                      <w:color w:val="auto"/>
                      <w:highlight w:val="none"/>
                    </w:rPr>
                    <w:t>核算公式</w:t>
                  </w:r>
                </w:p>
              </w:tc>
              <w:tc>
                <w:tcPr>
                  <w:tcW w:w="4340" w:type="pct"/>
                  <w:gridSpan w:val="4"/>
                  <w:tcBorders>
                    <w:left w:val="single" w:sz="4" w:space="0" w:color="auto"/>
                  </w:tcBorders>
                  <w:vAlign w:val="center"/>
                </w:tcPr>
                <w:p>
                  <w:pPr>
                    <w:pStyle w:val="23"/>
                    <w:bidi w:val="0"/>
                    <w:rPr>
                      <w:color w:val="auto"/>
                      <w:vertAlign w:val="superscript"/>
                      <w:highlight w:val="none"/>
                    </w:rPr>
                  </w:pPr>
                  <w:r>
                    <w:rPr>
                      <w:color w:val="auto"/>
                      <w:highlight w:val="none"/>
                    </w:rPr>
                    <w:t>污染物排放量（t/a）=排放标准限值（mg/m³）×排气量（m³/h）×生产时间（h/a）/10</w:t>
                  </w:r>
                  <w:r>
                    <w:rPr>
                      <w:color w:val="auto"/>
                      <w:vertAlign w:val="superscript"/>
                      <w:highlight w:val="none"/>
                    </w:rPr>
                    <w:t>9</w:t>
                  </w:r>
                </w:p>
                <w:p>
                  <w:pPr>
                    <w:pStyle w:val="23"/>
                    <w:bidi w:val="0"/>
                    <w:rPr>
                      <w:color w:val="auto"/>
                      <w:highlight w:val="none"/>
                    </w:rPr>
                  </w:pPr>
                  <w:r>
                    <w:rPr>
                      <w:color w:val="auto"/>
                      <w:highlight w:val="none"/>
                    </w:rPr>
                    <w:t>污染物排放量（t/a）=排放标准限值（mg/L）×废水量（m³/d）×生产时间（d/a）/10</w:t>
                  </w:r>
                  <w:r>
                    <w:rPr>
                      <w:color w:val="auto"/>
                      <w:vertAlign w:val="superscript"/>
                      <w:highlight w:val="none"/>
                    </w:rPr>
                    <w:t>6</w:t>
                  </w:r>
                </w:p>
              </w:tc>
            </w:tr>
            <w:tr>
              <w:trPr>
                <w:trHeight w:val="23"/>
              </w:trPr>
              <w:tc>
                <w:tcPr>
                  <w:tcW w:w="659" w:type="pct"/>
                  <w:vAlign w:val="center"/>
                </w:tcPr>
                <w:p>
                  <w:pPr>
                    <w:pStyle w:val="23"/>
                    <w:bidi w:val="0"/>
                    <w:rPr>
                      <w:color w:val="auto"/>
                      <w:highlight w:val="none"/>
                    </w:rPr>
                  </w:pPr>
                  <w:r>
                    <w:rPr>
                      <w:color w:val="auto"/>
                      <w:highlight w:val="none"/>
                    </w:rPr>
                    <w:t>核算结果</w:t>
                  </w:r>
                </w:p>
              </w:tc>
              <w:tc>
                <w:tcPr>
                  <w:tcW w:w="4340" w:type="pct"/>
                  <w:gridSpan w:val="4"/>
                  <w:tcBorders>
                    <w:left w:val="single" w:sz="4" w:space="0" w:color="auto"/>
                  </w:tcBorders>
                  <w:vAlign w:val="center"/>
                </w:tcPr>
                <w:p>
                  <w:pPr>
                    <w:pStyle w:val="23"/>
                    <w:bidi w:val="0"/>
                    <w:rPr>
                      <w:color w:val="auto"/>
                      <w:highlight w:val="none"/>
                    </w:rPr>
                  </w:pPr>
                  <w:r>
                    <w:rPr>
                      <w:color w:val="auto"/>
                      <w:highlight w:val="none"/>
                    </w:rPr>
                    <w:t>由公式核算可知，污染物排放量分别为：</w:t>
                  </w:r>
                  <w:r>
                    <w:rPr>
                      <w:color w:val="auto"/>
                      <w:lang w:val="de-DE"/>
                      <w:highlight w:val="none"/>
                    </w:rPr>
                    <w:t>COD：</w:t>
                  </w:r>
                  <w:r>
                    <w:rPr>
                      <w:rFonts w:hint="eastAsia"/>
                      <w:color w:val="auto"/>
                      <w:lang w:val="en-US" w:eastAsia="zh-CN"/>
                      <w:highlight w:val="none"/>
                    </w:rPr>
                    <w:t>2.917</w:t>
                  </w:r>
                  <w:r>
                    <w:rPr>
                      <w:color w:val="auto"/>
                      <w:lang w:val="de-DE"/>
                      <w:highlight w:val="none"/>
                    </w:rPr>
                    <w:t>t/a；NH</w:t>
                  </w:r>
                  <w:r>
                    <w:rPr>
                      <w:color w:val="auto"/>
                      <w:vertAlign w:val="subscript"/>
                      <w:lang w:val="de-DE"/>
                      <w:highlight w:val="none"/>
                    </w:rPr>
                    <w:t>3</w:t>
                  </w:r>
                  <w:r>
                    <w:rPr>
                      <w:color w:val="auto"/>
                      <w:lang w:val="de-DE"/>
                      <w:highlight w:val="none"/>
                    </w:rPr>
                    <w:t>-N</w:t>
                  </w:r>
                  <w:r>
                    <w:rPr>
                      <w:color w:val="auto"/>
                      <w:highlight w:val="none"/>
                    </w:rPr>
                    <w:t>：</w:t>
                  </w:r>
                  <w:r>
                    <w:rPr>
                      <w:rFonts w:hint="eastAsia"/>
                      <w:color w:val="auto"/>
                      <w:lang w:val="en-US" w:eastAsia="zh-CN"/>
                      <w:highlight w:val="none"/>
                    </w:rPr>
                    <w:t>0.304</w:t>
                  </w:r>
                  <w:r>
                    <w:rPr>
                      <w:color w:val="auto"/>
                      <w:lang w:val="de-DE"/>
                      <w:highlight w:val="none"/>
                    </w:rPr>
                    <w:t>t/a；SO</w:t>
                  </w:r>
                  <w:r>
                    <w:rPr>
                      <w:color w:val="auto"/>
                      <w:vertAlign w:val="subscript"/>
                      <w:lang w:val="de-DE"/>
                      <w:highlight w:val="none"/>
                    </w:rPr>
                    <w:t>2</w:t>
                  </w:r>
                  <w:r>
                    <w:rPr>
                      <w:color w:val="auto"/>
                      <w:lang w:val="de-DE"/>
                      <w:highlight w:val="none"/>
                    </w:rPr>
                    <w:t>：</w:t>
                  </w:r>
                  <w:r>
                    <w:rPr>
                      <w:rFonts w:hint="eastAsia"/>
                      <w:color w:val="auto"/>
                      <w:lang w:val="en-US" w:eastAsia="zh-CN"/>
                      <w:highlight w:val="none"/>
                    </w:rPr>
                    <w:t>0.078</w:t>
                  </w:r>
                  <w:r>
                    <w:rPr>
                      <w:color w:val="auto"/>
                      <w:lang w:val="de-DE"/>
                      <w:highlight w:val="none"/>
                    </w:rPr>
                    <w:t>t/a；NOx：</w:t>
                  </w:r>
                  <w:r>
                    <w:rPr>
                      <w:rFonts w:hint="eastAsia"/>
                      <w:color w:val="auto"/>
                      <w:lang w:val="en-US" w:eastAsia="zh-CN"/>
                      <w:highlight w:val="none"/>
                    </w:rPr>
                    <w:t>0.388</w:t>
                  </w:r>
                  <w:r>
                    <w:rPr>
                      <w:color w:val="auto"/>
                      <w:lang w:val="de-DE"/>
                      <w:highlight w:val="none"/>
                    </w:rPr>
                    <w:t>t/a。</w:t>
                  </w:r>
                </w:p>
              </w:tc>
            </w:tr>
          </w:tbl>
          <w:p>
            <w:pPr>
              <w:spacing w:line="360" w:lineRule="auto"/>
              <w:ind w:firstLineChars="200" w:firstLine="480"/>
              <w:contextualSpacing/>
              <w:rPr>
                <w:rFonts w:hint="eastAsia"/>
                <w:color w:val="auto"/>
                <w:sz w:val="24"/>
                <w:lang w:val="en-US" w:eastAsia="zh-CN"/>
                <w:highlight w:val="none"/>
              </w:rPr>
            </w:pPr>
            <w:r>
              <w:rPr>
                <w:rFonts w:hint="eastAsia"/>
                <w:color w:val="auto"/>
                <w:sz w:val="24"/>
                <w:lang w:val="en-US" w:eastAsia="zh-CN"/>
                <w:highlight w:val="none"/>
              </w:rPr>
              <w:t>2、按排污权核算</w:t>
            </w:r>
          </w:p>
          <w:p>
            <w:pPr>
              <w:spacing w:line="360" w:lineRule="auto"/>
              <w:ind w:firstLineChars="200" w:firstLine="480"/>
              <w:contextualSpacing/>
              <w:rPr>
                <w:rFonts w:eastAsia="宋体" w:hint="eastAsia"/>
                <w:color w:val="auto"/>
                <w:sz w:val="24"/>
                <w:lang w:val="en-US" w:eastAsia="zh-CN"/>
                <w:highlight w:val="none"/>
              </w:rPr>
            </w:pPr>
            <w:r>
              <w:rPr>
                <w:rFonts w:hint="eastAsia"/>
                <w:color w:val="auto"/>
                <w:sz w:val="24"/>
                <w:lang w:val="en-US" w:eastAsia="zh-CN"/>
                <w:highlight w:val="none"/>
              </w:rPr>
              <w:t>根据《河北省主要污染物排污权确权管理暂行办法》(冀环规范[2022]3号)文件以及《关于进一步做好建设项目新增水主要污染物排污权核定有关事宜的通知》冀环办字函[2023]283号文件：间接排放的，按照建设项目排水量及所排入污水集中处理设施执行的水污染物排放标准核算。</w:t>
            </w:r>
          </w:p>
          <w:p>
            <w:pPr>
              <w:pStyle w:val="24"/>
              <w:bidi w:val="0"/>
              <w:rPr>
                <w:color w:val="auto"/>
                <w:lang w:val="en-US"/>
                <w:highlight w:val="none"/>
              </w:rPr>
            </w:pPr>
            <w:r>
              <w:rPr>
                <w:color w:val="auto"/>
                <w:highlight w:val="none"/>
              </w:rPr>
              <w:t>表3-1</w:t>
            </w:r>
            <w:r>
              <w:rPr>
                <w:rFonts w:hint="eastAsia"/>
                <w:color w:val="auto"/>
                <w:lang w:val="en-US" w:eastAsia="zh-CN"/>
                <w:highlight w:val="none"/>
              </w:rPr>
              <w:t>2</w:t>
            </w:r>
            <w:r>
              <w:rPr>
                <w:rFonts w:hint="eastAsia"/>
                <w:color w:val="auto"/>
                <w:highlight w:val="none"/>
              </w:rPr>
              <w:t xml:space="preserve">  </w:t>
            </w:r>
            <w:r>
              <w:rPr>
                <w:rFonts w:hint="eastAsia"/>
                <w:color w:val="auto"/>
                <w:lang w:val="en-US" w:eastAsia="zh-CN"/>
                <w:highlight w:val="none"/>
              </w:rPr>
              <w:t>污染物排污权核算总量指标表</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23"/>
              <w:gridCol w:w="1918"/>
              <w:gridCol w:w="1883"/>
              <w:gridCol w:w="1569"/>
              <w:gridCol w:w="2024"/>
            </w:tblGrid>
            <w:tr>
              <w:trPr>
                <w:trHeight w:val="23"/>
              </w:trPr>
              <w:tc>
                <w:tcPr>
                  <w:tcW w:w="659" w:type="pct"/>
                  <w:vAlign w:val="center"/>
                </w:tcPr>
                <w:p>
                  <w:pPr>
                    <w:pStyle w:val="23"/>
                    <w:bidi w:val="0"/>
                    <w:rPr>
                      <w:color w:val="auto"/>
                      <w:highlight w:val="none"/>
                    </w:rPr>
                  </w:pPr>
                  <w:r>
                    <w:rPr>
                      <w:color w:val="auto"/>
                      <w:highlight w:val="none"/>
                    </w:rPr>
                    <w:t>项目</w:t>
                  </w:r>
                </w:p>
              </w:tc>
              <w:tc>
                <w:tcPr>
                  <w:tcW w:w="1126" w:type="pct"/>
                  <w:vAlign w:val="center"/>
                </w:tcPr>
                <w:p>
                  <w:pPr>
                    <w:pStyle w:val="23"/>
                    <w:bidi w:val="0"/>
                    <w:rPr>
                      <w:color w:val="auto"/>
                      <w:highlight w:val="none"/>
                    </w:rPr>
                  </w:pPr>
                  <w:r>
                    <w:rPr>
                      <w:color w:val="auto"/>
                      <w:highlight w:val="none"/>
                    </w:rPr>
                    <w:t>排放/协议标准</w:t>
                  </w:r>
                </w:p>
                <w:p>
                  <w:pPr>
                    <w:pStyle w:val="23"/>
                    <w:bidi w:val="0"/>
                    <w:rPr>
                      <w:color w:val="auto"/>
                      <w:highlight w:val="none"/>
                    </w:rPr>
                  </w:pPr>
                  <w:r>
                    <w:rPr>
                      <w:color w:val="auto"/>
                      <w:highlight w:val="none"/>
                    </w:rPr>
                    <w:t>（mg/L或mg/m³）</w:t>
                  </w:r>
                </w:p>
              </w:tc>
              <w:tc>
                <w:tcPr>
                  <w:tcW w:w="1105" w:type="pct"/>
                  <w:vAlign w:val="center"/>
                </w:tcPr>
                <w:p>
                  <w:pPr>
                    <w:pStyle w:val="23"/>
                    <w:bidi w:val="0"/>
                    <w:rPr>
                      <w:color w:val="auto"/>
                      <w:highlight w:val="none"/>
                    </w:rPr>
                  </w:pPr>
                  <w:r>
                    <w:rPr>
                      <w:color w:val="auto"/>
                      <w:lang w:val="zh-CN"/>
                      <w:highlight w:val="none"/>
                    </w:rPr>
                    <w:t>排放量</w:t>
                  </w:r>
                </w:p>
                <w:p>
                  <w:pPr>
                    <w:pStyle w:val="23"/>
                    <w:bidi w:val="0"/>
                    <w:rPr>
                      <w:color w:val="auto"/>
                      <w:highlight w:val="none"/>
                    </w:rPr>
                  </w:pPr>
                  <w:r>
                    <w:rPr>
                      <w:color w:val="auto"/>
                      <w:highlight w:val="none"/>
                    </w:rPr>
                    <w:t>（m³/d或m³/h）</w:t>
                  </w:r>
                </w:p>
              </w:tc>
              <w:tc>
                <w:tcPr>
                  <w:tcW w:w="921" w:type="pct"/>
                  <w:vAlign w:val="center"/>
                </w:tcPr>
                <w:p>
                  <w:pPr>
                    <w:pStyle w:val="23"/>
                    <w:bidi w:val="0"/>
                    <w:rPr>
                      <w:color w:val="auto"/>
                      <w:highlight w:val="none"/>
                    </w:rPr>
                  </w:pPr>
                  <w:r>
                    <w:rPr>
                      <w:color w:val="auto"/>
                      <w:highlight w:val="none"/>
                    </w:rPr>
                    <w:t>运行时间</w:t>
                  </w:r>
                </w:p>
                <w:p>
                  <w:pPr>
                    <w:pStyle w:val="23"/>
                    <w:bidi w:val="0"/>
                    <w:rPr>
                      <w:color w:val="auto"/>
                      <w:highlight w:val="none"/>
                    </w:rPr>
                  </w:pPr>
                  <w:r>
                    <w:rPr>
                      <w:color w:val="auto"/>
                      <w:highlight w:val="none"/>
                    </w:rPr>
                    <w:t>（d/a或h/a）</w:t>
                  </w:r>
                </w:p>
              </w:tc>
              <w:tc>
                <w:tcPr>
                  <w:tcW w:w="1188" w:type="pct"/>
                  <w:vAlign w:val="center"/>
                </w:tcPr>
                <w:p>
                  <w:pPr>
                    <w:pStyle w:val="23"/>
                    <w:bidi w:val="0"/>
                    <w:rPr>
                      <w:color w:val="auto"/>
                      <w:highlight w:val="none"/>
                    </w:rPr>
                  </w:pPr>
                  <w:r>
                    <w:rPr>
                      <w:color w:val="auto"/>
                      <w:highlight w:val="none"/>
                    </w:rPr>
                    <w:t>污染物年排放量（t/a）</w:t>
                  </w:r>
                </w:p>
              </w:tc>
            </w:tr>
            <w:tr>
              <w:trPr>
                <w:trHeight w:val="23"/>
              </w:trPr>
              <w:tc>
                <w:tcPr>
                  <w:tcW w:w="659" w:type="pct"/>
                  <w:vAlign w:val="center"/>
                </w:tcPr>
                <w:p>
                  <w:pPr>
                    <w:pStyle w:val="23"/>
                    <w:bidi w:val="0"/>
                    <w:rPr>
                      <w:color w:val="auto"/>
                      <w:highlight w:val="none"/>
                    </w:rPr>
                  </w:pPr>
                  <w:r>
                    <w:rPr>
                      <w:color w:val="auto"/>
                      <w:highlight w:val="none"/>
                    </w:rPr>
                    <w:t>COD</w:t>
                  </w:r>
                </w:p>
              </w:tc>
              <w:tc>
                <w:tcPr>
                  <w:tcW w:w="1126" w:type="pc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40</w:t>
                  </w:r>
                </w:p>
              </w:tc>
              <w:tc>
                <w:tcPr>
                  <w:tcW w:w="1105" w:type="pct"/>
                  <w:vMerge w:val="restart"/>
                  <w:tcBorders>
                    <w:left w:val="single" w:sz="4" w:space="0" w:color="auto"/>
                  </w:tcBorders>
                  <w:vAlign w:val="center"/>
                </w:tcPr>
                <w:p>
                  <w:pPr>
                    <w:pStyle w:val="23"/>
                    <w:bidi w:val="0"/>
                    <w:rPr>
                      <w:color w:val="auto"/>
                      <w:lang w:val="en-US" w:eastAsia="zh-CN"/>
                      <w:highlight w:val="none"/>
                    </w:rPr>
                  </w:pPr>
                  <w:r>
                    <w:rPr>
                      <w:rFonts w:hint="eastAsia"/>
                      <w:color w:val="auto"/>
                      <w:lang w:val="en-US" w:eastAsia="zh-CN"/>
                      <w:highlight w:val="none"/>
                    </w:rPr>
                    <w:t>41.01</w:t>
                  </w:r>
                </w:p>
              </w:tc>
              <w:tc>
                <w:tcPr>
                  <w:tcW w:w="921" w:type="pct"/>
                  <w:vMerge w:val="restar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300</w:t>
                  </w:r>
                </w:p>
              </w:tc>
              <w:tc>
                <w:tcPr>
                  <w:tcW w:w="1188" w:type="pct"/>
                  <w:tcBorders>
                    <w:left w:val="single" w:sz="4" w:space="0" w:color="auto"/>
                  </w:tcBorders>
                  <w:vAlign w:val="center"/>
                </w:tcPr>
                <w:p>
                  <w:pPr>
                    <w:pStyle w:val="23"/>
                    <w:bidi w:val="0"/>
                    <w:rPr>
                      <w:rFonts w:eastAsia="宋体"/>
                      <w:color w:val="auto"/>
                      <w:lang w:val="en-US" w:eastAsia="zh-CN"/>
                      <w:highlight w:val="none"/>
                    </w:rPr>
                  </w:pPr>
                  <w:r>
                    <w:rPr>
                      <w:rFonts w:eastAsia="宋体"/>
                      <w:color w:val="auto"/>
                      <w:lang w:val="en-US" w:eastAsia="zh-CN"/>
                      <w:highlight w:val="none"/>
                    </w:rPr>
                    <w:t>0.4</w:t>
                  </w:r>
                  <w:r>
                    <w:rPr>
                      <w:rFonts w:hint="eastAsia"/>
                      <w:color w:val="auto"/>
                      <w:lang w:val="en-US" w:eastAsia="zh-CN"/>
                      <w:highlight w:val="none"/>
                    </w:rPr>
                    <w:t>92</w:t>
                  </w:r>
                </w:p>
              </w:tc>
            </w:tr>
            <w:tr>
              <w:trPr>
                <w:trHeight w:val="23"/>
              </w:trPr>
              <w:tc>
                <w:tcPr>
                  <w:tcW w:w="659" w:type="pct"/>
                  <w:vAlign w:val="center"/>
                </w:tcPr>
                <w:p>
                  <w:pPr>
                    <w:pStyle w:val="23"/>
                    <w:bidi w:val="0"/>
                    <w:rPr>
                      <w:rFonts w:eastAsia="宋体"/>
                      <w:color w:val="auto"/>
                      <w:lang w:val="en-US" w:eastAsia="zh-CN"/>
                      <w:highlight w:val="none"/>
                    </w:rPr>
                  </w:pPr>
                  <w:r>
                    <w:rPr>
                      <w:rFonts w:hint="eastAsia"/>
                      <w:color w:val="auto"/>
                      <w:lang w:val="en-US" w:eastAsia="zh-CN"/>
                      <w:highlight w:val="none"/>
                    </w:rPr>
                    <w:t>NH</w:t>
                  </w:r>
                  <w:r>
                    <w:rPr>
                      <w:rFonts w:hint="eastAsia"/>
                      <w:color w:val="auto"/>
                      <w:vertAlign w:val="subscript"/>
                      <w:lang w:val="en-US" w:eastAsia="zh-CN"/>
                      <w:highlight w:val="none"/>
                    </w:rPr>
                    <w:t>3</w:t>
                  </w:r>
                  <w:r>
                    <w:rPr>
                      <w:rFonts w:hint="eastAsia"/>
                      <w:color w:val="auto"/>
                      <w:lang w:val="en-US" w:eastAsia="zh-CN"/>
                      <w:highlight w:val="none"/>
                    </w:rPr>
                    <w:t>-N</w:t>
                  </w:r>
                </w:p>
              </w:tc>
              <w:tc>
                <w:tcPr>
                  <w:tcW w:w="1126" w:type="pc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2</w:t>
                  </w:r>
                </w:p>
              </w:tc>
              <w:tc>
                <w:tcPr>
                  <w:tcW w:w="1105" w:type="pct"/>
                  <w:vMerge/>
                  <w:tcBorders>
                    <w:left w:val="single" w:sz="4" w:space="0" w:color="auto"/>
                  </w:tcBorders>
                  <w:vAlign w:val="center"/>
                </w:tcPr>
                <w:p/>
              </w:tc>
              <w:tc>
                <w:tcPr>
                  <w:tcW w:w="921" w:type="pct"/>
                  <w:vMerge/>
                  <w:tcBorders>
                    <w:left w:val="single" w:sz="4" w:space="0" w:color="auto"/>
                  </w:tcBorders>
                  <w:vAlign w:val="center"/>
                </w:tcPr>
                <w:p/>
              </w:tc>
              <w:tc>
                <w:tcPr>
                  <w:tcW w:w="1188" w:type="pct"/>
                  <w:tcBorders>
                    <w:left w:val="single" w:sz="4" w:space="0" w:color="auto"/>
                  </w:tcBorders>
                  <w:vAlign w:val="center"/>
                </w:tcPr>
                <w:p>
                  <w:pPr>
                    <w:pStyle w:val="23"/>
                    <w:bidi w:val="0"/>
                    <w:rPr>
                      <w:rFonts w:eastAsia="宋体"/>
                      <w:color w:val="auto"/>
                      <w:lang w:val="en-US" w:eastAsia="zh-CN"/>
                      <w:highlight w:val="none"/>
                    </w:rPr>
                  </w:pPr>
                  <w:r>
                    <w:rPr>
                      <w:rFonts w:eastAsia="宋体"/>
                      <w:color w:val="auto"/>
                      <w:lang w:val="en-US" w:eastAsia="zh-CN"/>
                      <w:highlight w:val="none"/>
                    </w:rPr>
                    <w:t>0.02</w:t>
                  </w:r>
                  <w:r>
                    <w:rPr>
                      <w:rFonts w:hint="eastAsia"/>
                      <w:color w:val="auto"/>
                      <w:lang w:val="en-US" w:eastAsia="zh-CN"/>
                      <w:highlight w:val="none"/>
                    </w:rPr>
                    <w:t>5</w:t>
                  </w:r>
                </w:p>
              </w:tc>
            </w:tr>
            <w:tr>
              <w:trPr>
                <w:trHeight w:val="23"/>
              </w:trPr>
              <w:tc>
                <w:tcPr>
                  <w:tcW w:w="659" w:type="pct"/>
                  <w:vAlign w:val="center"/>
                </w:tcPr>
                <w:p>
                  <w:pPr>
                    <w:pStyle w:val="23"/>
                    <w:bidi w:val="0"/>
                    <w:rPr>
                      <w:color w:val="auto"/>
                      <w:highlight w:val="none"/>
                    </w:rPr>
                  </w:pPr>
                  <w:r>
                    <w:rPr>
                      <w:color w:val="auto"/>
                      <w:highlight w:val="none"/>
                    </w:rPr>
                    <w:t>核算公式</w:t>
                  </w:r>
                </w:p>
              </w:tc>
              <w:tc>
                <w:tcPr>
                  <w:tcW w:w="4340" w:type="pct"/>
                  <w:gridSpan w:val="4"/>
                  <w:tcBorders>
                    <w:left w:val="single" w:sz="4" w:space="0" w:color="auto"/>
                  </w:tcBorders>
                  <w:vAlign w:val="center"/>
                </w:tcPr>
                <w:p>
                  <w:pPr>
                    <w:pStyle w:val="23"/>
                    <w:bidi w:val="0"/>
                    <w:rPr>
                      <w:color w:val="auto"/>
                      <w:highlight w:val="none"/>
                    </w:rPr>
                  </w:pPr>
                  <w:r>
                    <w:rPr>
                      <w:color w:val="auto"/>
                      <w:highlight w:val="none"/>
                    </w:rPr>
                    <w:t>污染物排放量（t/a）=排放标准限值（mg/L）×废水量（m³/d）×生产时间（d/a）/10</w:t>
                  </w:r>
                  <w:r>
                    <w:rPr>
                      <w:color w:val="auto"/>
                      <w:vertAlign w:val="superscript"/>
                      <w:highlight w:val="none"/>
                    </w:rPr>
                    <w:t>6</w:t>
                  </w:r>
                </w:p>
              </w:tc>
            </w:tr>
            <w:tr>
              <w:trPr>
                <w:trHeight w:val="23"/>
              </w:trPr>
              <w:tc>
                <w:tcPr>
                  <w:tcW w:w="659" w:type="pct"/>
                  <w:vAlign w:val="center"/>
                </w:tcPr>
                <w:p>
                  <w:pPr>
                    <w:pStyle w:val="23"/>
                    <w:bidi w:val="0"/>
                    <w:rPr>
                      <w:color w:val="auto"/>
                      <w:highlight w:val="none"/>
                    </w:rPr>
                  </w:pPr>
                  <w:r>
                    <w:rPr>
                      <w:color w:val="auto"/>
                      <w:highlight w:val="none"/>
                    </w:rPr>
                    <w:t>核算结果</w:t>
                  </w:r>
                </w:p>
              </w:tc>
              <w:tc>
                <w:tcPr>
                  <w:tcW w:w="4340" w:type="pct"/>
                  <w:gridSpan w:val="4"/>
                  <w:tcBorders>
                    <w:left w:val="single" w:sz="4" w:space="0" w:color="auto"/>
                  </w:tcBorders>
                  <w:vAlign w:val="center"/>
                </w:tcPr>
                <w:p>
                  <w:pPr>
                    <w:pStyle w:val="23"/>
                    <w:bidi w:val="0"/>
                    <w:rPr>
                      <w:color w:val="auto"/>
                      <w:highlight w:val="none"/>
                    </w:rPr>
                  </w:pPr>
                  <w:r>
                    <w:rPr>
                      <w:color w:val="auto"/>
                      <w:highlight w:val="none"/>
                    </w:rPr>
                    <w:t>由公式核算可知，</w:t>
                  </w:r>
                  <w:r>
                    <w:rPr>
                      <w:rFonts w:hint="eastAsia"/>
                      <w:color w:val="auto"/>
                      <w:highlight w:val="none"/>
                    </w:rPr>
                    <w:t>本项目</w:t>
                  </w:r>
                  <w:r>
                    <w:rPr>
                      <w:color w:val="auto"/>
                      <w:highlight w:val="none"/>
                    </w:rPr>
                    <w:t>污染物年排放量分别为：</w:t>
                  </w:r>
                  <w:r>
                    <w:rPr>
                      <w:color w:val="auto"/>
                      <w:lang w:val="de-DE"/>
                      <w:highlight w:val="none"/>
                    </w:rPr>
                    <w:t>COD：</w:t>
                  </w:r>
                  <w:r>
                    <w:rPr>
                      <w:rFonts w:hint="eastAsia"/>
                      <w:color w:val="auto"/>
                      <w:lang w:val="en-US" w:eastAsia="zh-CN"/>
                      <w:highlight w:val="none"/>
                    </w:rPr>
                    <w:t>0.492</w:t>
                  </w:r>
                  <w:r>
                    <w:rPr>
                      <w:color w:val="auto"/>
                      <w:lang w:val="de-DE"/>
                      <w:highlight w:val="none"/>
                    </w:rPr>
                    <w:t>t/a；NH</w:t>
                  </w:r>
                  <w:r>
                    <w:rPr>
                      <w:color w:val="auto"/>
                      <w:vertAlign w:val="subscript"/>
                      <w:lang w:val="de-DE"/>
                      <w:highlight w:val="none"/>
                    </w:rPr>
                    <w:t>3</w:t>
                  </w:r>
                  <w:r>
                    <w:rPr>
                      <w:color w:val="auto"/>
                      <w:lang w:val="de-DE"/>
                      <w:highlight w:val="none"/>
                    </w:rPr>
                    <w:t>-N</w:t>
                  </w:r>
                  <w:r>
                    <w:rPr>
                      <w:color w:val="auto"/>
                      <w:highlight w:val="none"/>
                    </w:rPr>
                    <w:t>：</w:t>
                  </w:r>
                  <w:r>
                    <w:rPr>
                      <w:rFonts w:hint="eastAsia"/>
                      <w:color w:val="auto"/>
                      <w:lang w:val="en-US" w:eastAsia="zh-CN"/>
                      <w:highlight w:val="none"/>
                    </w:rPr>
                    <w:t>0.025</w:t>
                  </w:r>
                  <w:r>
                    <w:rPr>
                      <w:color w:val="auto"/>
                      <w:lang w:val="de-DE"/>
                      <w:highlight w:val="none"/>
                    </w:rPr>
                    <w:t>t/a。</w:t>
                  </w:r>
                </w:p>
              </w:tc>
            </w:tr>
          </w:tbl>
          <w:p>
            <w:pPr>
              <w:spacing w:line="360" w:lineRule="auto"/>
              <w:ind w:firstLineChars="200" w:firstLine="480"/>
              <w:contextualSpacing/>
              <w:rPr>
                <w:color w:val="auto"/>
                <w:sz w:val="24"/>
                <w:highlight w:val="yellow"/>
              </w:rPr>
            </w:pPr>
          </w:p>
          <w:p>
            <w:pPr>
              <w:spacing w:line="360" w:lineRule="auto"/>
              <w:ind w:firstLineChars="200" w:firstLine="480"/>
              <w:contextualSpacing/>
              <w:rPr>
                <w:color w:val="auto"/>
                <w:sz w:val="24"/>
                <w:highlight w:val="yellow"/>
              </w:rPr>
            </w:pPr>
          </w:p>
          <w:p>
            <w:pPr>
              <w:spacing w:line="360" w:lineRule="auto"/>
              <w:ind w:firstLineChars="200" w:firstLine="480"/>
              <w:contextualSpacing/>
              <w:rPr>
                <w:color w:val="auto"/>
                <w:sz w:val="24"/>
                <w:lang w:val="en-US" w:eastAsia="zh-CN"/>
                <w:highlight w:val="none"/>
              </w:rPr>
            </w:pPr>
            <w:r>
              <w:rPr>
                <w:rFonts w:hint="eastAsia"/>
                <w:color w:val="auto"/>
                <w:sz w:val="24"/>
                <w:lang w:val="en-US" w:eastAsia="zh-CN"/>
                <w:highlight w:val="none"/>
              </w:rPr>
              <w:t>3、按预测排放量计算</w:t>
            </w:r>
          </w:p>
          <w:p>
            <w:pPr>
              <w:spacing w:line="360" w:lineRule="auto"/>
              <w:ind w:firstLineChars="200" w:firstLine="480"/>
              <w:contextualSpacing/>
              <w:rPr>
                <w:color w:val="auto"/>
                <w:sz w:val="24"/>
                <w:lang w:val="en-US" w:eastAsia="zh-CN"/>
                <w:highlight w:val="none"/>
              </w:rPr>
            </w:pPr>
            <w:r>
              <w:rPr>
                <w:rFonts w:hint="eastAsia"/>
                <w:color w:val="auto"/>
                <w:sz w:val="24"/>
                <w:lang w:val="en-US" w:eastAsia="zh-CN"/>
                <w:highlight w:val="none"/>
              </w:rPr>
              <w:t>（1）非甲烷总烃：</w:t>
            </w:r>
          </w:p>
          <w:p>
            <w:pPr>
              <w:spacing w:line="360" w:lineRule="auto"/>
              <w:ind w:firstLineChars="200" w:firstLine="480"/>
              <w:contextualSpacing/>
              <w:rPr>
                <w:color w:val="auto"/>
                <w:sz w:val="24"/>
                <w:lang w:val="en-US" w:eastAsia="zh-CN"/>
                <w:highlight w:val="none"/>
              </w:rPr>
            </w:pPr>
            <w:r>
              <w:rPr>
                <w:rFonts w:hint="eastAsia"/>
                <w:color w:val="auto"/>
                <w:sz w:val="24"/>
                <w:lang w:val="en-US" w:eastAsia="zh-CN"/>
                <w:highlight w:val="none"/>
              </w:rPr>
              <w:t>DA001：2.36mg/m³×2400h×20000m³/h×10</w:t>
            </w:r>
            <w:r>
              <w:rPr>
                <w:rFonts w:hint="eastAsia"/>
                <w:color w:val="auto"/>
                <w:sz w:val="24"/>
                <w:vertAlign w:val="superscript"/>
                <w:lang w:val="en-US" w:eastAsia="zh-CN"/>
                <w:highlight w:val="none"/>
              </w:rPr>
              <w:t>-9</w:t>
            </w:r>
            <w:r>
              <w:rPr>
                <w:rFonts w:hint="eastAsia"/>
                <w:color w:val="auto"/>
                <w:sz w:val="24"/>
                <w:lang w:val="en-US" w:eastAsia="zh-CN"/>
                <w:highlight w:val="none"/>
              </w:rPr>
              <w:t>=0.113t/a</w:t>
            </w:r>
          </w:p>
          <w:p>
            <w:pPr>
              <w:spacing w:line="360" w:lineRule="auto"/>
              <w:ind w:firstLineChars="200" w:firstLine="480"/>
              <w:contextualSpacing/>
              <w:rPr>
                <w:color w:val="auto"/>
                <w:sz w:val="24"/>
                <w:lang w:val="en-US" w:eastAsia="zh-CN"/>
                <w:highlight w:val="none"/>
              </w:rPr>
            </w:pPr>
            <w:r>
              <w:rPr>
                <w:rFonts w:hint="eastAsia"/>
                <w:color w:val="auto"/>
                <w:sz w:val="24"/>
                <w:lang w:val="en-US" w:eastAsia="zh-CN"/>
                <w:highlight w:val="none"/>
              </w:rPr>
              <w:t>（2）颗粒物：</w:t>
            </w:r>
          </w:p>
          <w:p>
            <w:pPr>
              <w:spacing w:line="360" w:lineRule="auto"/>
              <w:ind w:firstLineChars="200" w:firstLine="480"/>
              <w:contextualSpacing/>
              <w:rPr>
                <w:rFonts w:hint="eastAsia"/>
                <w:color w:val="auto"/>
                <w:sz w:val="24"/>
                <w:lang w:val="en-US" w:eastAsia="zh-CN"/>
                <w:highlight w:val="none"/>
              </w:rPr>
            </w:pPr>
            <w:r>
              <w:rPr>
                <w:rFonts w:hint="eastAsia"/>
                <w:color w:val="auto"/>
                <w:sz w:val="24"/>
                <w:lang w:val="en-US" w:eastAsia="zh-CN"/>
                <w:highlight w:val="none"/>
              </w:rPr>
              <w:t>DA002：2.23mg/m³×2400h×10000m³/h×10</w:t>
            </w:r>
            <w:r>
              <w:rPr>
                <w:rFonts w:hint="eastAsia"/>
                <w:color w:val="auto"/>
                <w:sz w:val="24"/>
                <w:vertAlign w:val="superscript"/>
                <w:lang w:val="en-US" w:eastAsia="zh-CN"/>
                <w:highlight w:val="none"/>
              </w:rPr>
              <w:t>-9</w:t>
            </w:r>
            <w:r>
              <w:rPr>
                <w:rFonts w:hint="eastAsia"/>
                <w:color w:val="auto"/>
                <w:sz w:val="24"/>
                <w:lang w:val="en-US" w:eastAsia="zh-CN"/>
                <w:highlight w:val="none"/>
              </w:rPr>
              <w:t>=0.054t/a</w:t>
            </w:r>
          </w:p>
          <w:p>
            <w:pPr>
              <w:spacing w:line="360" w:lineRule="auto"/>
              <w:ind w:firstLineChars="200" w:firstLine="480"/>
              <w:contextualSpacing/>
              <w:rPr>
                <w:rFonts w:hint="eastAsia"/>
                <w:color w:val="auto"/>
                <w:sz w:val="24"/>
                <w:lang w:val="en-US" w:eastAsia="zh-CN"/>
                <w:highlight w:val="none"/>
              </w:rPr>
            </w:pPr>
            <w:r>
              <w:rPr>
                <w:rFonts w:hint="eastAsia"/>
                <w:color w:val="auto"/>
                <w:sz w:val="24"/>
                <w:lang w:val="en-US" w:eastAsia="zh-CN"/>
                <w:highlight w:val="none"/>
              </w:rPr>
              <w:t>DA005：3.1mg/m³×2400h×3232.59m³/h×10</w:t>
            </w:r>
            <w:r>
              <w:rPr>
                <w:rFonts w:hint="eastAsia"/>
                <w:color w:val="auto"/>
                <w:sz w:val="24"/>
                <w:vertAlign w:val="superscript"/>
                <w:lang w:val="en-US" w:eastAsia="zh-CN"/>
                <w:highlight w:val="none"/>
              </w:rPr>
              <w:t>-9</w:t>
            </w:r>
            <w:r>
              <w:rPr>
                <w:rFonts w:hint="eastAsia"/>
                <w:color w:val="auto"/>
                <w:sz w:val="24"/>
                <w:lang w:val="en-US" w:eastAsia="zh-CN"/>
                <w:highlight w:val="none"/>
              </w:rPr>
              <w:t>=0.024t/a</w:t>
            </w:r>
          </w:p>
          <w:p>
            <w:pPr>
              <w:spacing w:line="360" w:lineRule="auto"/>
              <w:ind w:firstLineChars="200" w:firstLine="480"/>
              <w:contextualSpacing/>
              <w:rPr>
                <w:color w:val="auto"/>
                <w:sz w:val="24"/>
                <w:lang w:val="en-US" w:eastAsia="zh-CN"/>
                <w:highlight w:val="none"/>
              </w:rPr>
            </w:pPr>
            <w:r>
              <w:rPr>
                <w:rFonts w:hint="eastAsia"/>
                <w:color w:val="auto"/>
                <w:sz w:val="24"/>
                <w:lang w:val="en-US" w:eastAsia="zh-CN"/>
                <w:highlight w:val="none"/>
              </w:rPr>
              <w:t>按预测排放量计算，非甲烷总烃总量指标为0.113t/a（以全厂计算），颗粒物总量指标为0.078t/a（以全厂计算）。</w:t>
            </w:r>
          </w:p>
          <w:p>
            <w:pPr>
              <w:spacing w:line="360" w:lineRule="auto"/>
              <w:ind w:firstLineChars="200" w:firstLine="480"/>
              <w:contextualSpacing/>
              <w:rPr>
                <w:color w:val="auto"/>
                <w:sz w:val="24"/>
                <w:highlight w:val="none"/>
              </w:rPr>
            </w:pPr>
            <w:r>
              <w:rPr>
                <w:rFonts w:hint="eastAsia"/>
                <w:color w:val="auto"/>
                <w:sz w:val="24"/>
                <w:lang w:val="en-US" w:eastAsia="zh-CN"/>
                <w:highlight w:val="none"/>
              </w:rPr>
              <w:t>4、</w:t>
            </w:r>
            <w:r>
              <w:rPr>
                <w:color w:val="auto"/>
                <w:sz w:val="24"/>
                <w:highlight w:val="none"/>
              </w:rPr>
              <w:t>总量指标建议值</w:t>
            </w:r>
          </w:p>
          <w:p>
            <w:pPr>
              <w:pStyle w:val="15"/>
              <w:rPr>
                <w:rFonts w:eastAsia="宋体"/>
                <w:color w:val="auto"/>
                <w:sz w:val="24"/>
                <w:lang w:val="en-US" w:eastAsia="zh-CN"/>
                <w:highlight w:val="none"/>
              </w:rPr>
            </w:pPr>
            <w:r>
              <w:rPr>
                <w:rFonts w:hint="eastAsia"/>
                <w:color w:val="auto"/>
                <w:sz w:val="24"/>
                <w:lang w:val="en-US" w:eastAsia="zh-CN"/>
                <w:highlight w:val="none"/>
              </w:rPr>
              <w:t>根据《华百仕食品饮料经济综合生产基地项目》环评已取得总量文件，现有工程总量指标为：非甲烷总烃0.062t/a，颗粒物0.033t/a，COD0.376t/a，NH</w:t>
            </w:r>
            <w:r>
              <w:rPr>
                <w:rFonts w:hint="eastAsia"/>
                <w:color w:val="auto"/>
                <w:sz w:val="24"/>
                <w:vertAlign w:val="subscript"/>
                <w:lang w:val="en-US" w:eastAsia="zh-CN"/>
                <w:highlight w:val="none"/>
              </w:rPr>
              <w:t>3</w:t>
            </w:r>
            <w:r>
              <w:rPr>
                <w:rFonts w:hint="eastAsia"/>
                <w:color w:val="auto"/>
                <w:sz w:val="24"/>
                <w:lang w:val="en-US" w:eastAsia="zh-CN"/>
                <w:highlight w:val="none"/>
              </w:rPr>
              <w:t>-N 0.019t/a。</w:t>
            </w:r>
          </w:p>
          <w:p>
            <w:pPr>
              <w:bidi w:val="0"/>
              <w:rPr>
                <w:rFonts w:eastAsia="宋体"/>
                <w:color w:val="auto"/>
                <w:lang w:val="en-US" w:eastAsia="zh-CN"/>
              </w:rPr>
            </w:pPr>
            <w:r>
              <w:rPr>
                <w:rFonts w:hint="eastAsia"/>
                <w:color w:val="auto"/>
                <w:lang w:val="en-US" w:eastAsia="zh-CN"/>
              </w:rPr>
              <w:t>本项目新增总量指标：非甲烷总烃0.051t/a（0.113t/a-0.062t/a），COD：0.492t/a；NH</w:t>
            </w:r>
            <w:r>
              <w:rPr>
                <w:rFonts w:hint="eastAsia"/>
                <w:color w:val="auto"/>
                <w:vertAlign w:val="subscript"/>
                <w:lang w:val="en-US" w:eastAsia="zh-CN"/>
              </w:rPr>
              <w:t>3</w:t>
            </w:r>
            <w:r>
              <w:rPr>
                <w:rFonts w:hint="eastAsia"/>
                <w:color w:val="auto"/>
                <w:lang w:val="en-US" w:eastAsia="zh-CN"/>
              </w:rPr>
              <w:t>-N：0.025t/a，SO</w:t>
            </w:r>
            <w:r>
              <w:rPr>
                <w:rFonts w:hint="eastAsia"/>
                <w:color w:val="auto"/>
                <w:vertAlign w:val="subscript"/>
                <w:lang w:val="en-US" w:eastAsia="zh-CN"/>
              </w:rPr>
              <w:t>2</w:t>
            </w:r>
            <w:r>
              <w:rPr>
                <w:rFonts w:hint="eastAsia"/>
                <w:color w:val="auto"/>
                <w:lang w:val="en-US" w:eastAsia="zh-CN"/>
              </w:rPr>
              <w:t>：0.078t/a；NOx：0.388t/a，颗粒物0.045t/a（0.078t/a-0.033t/a）。</w:t>
            </w:r>
          </w:p>
          <w:p>
            <w:pPr>
              <w:pStyle w:val="26"/>
              <w:bidi w:val="0"/>
              <w:rPr>
                <w:color w:val="auto"/>
                <w:lang w:val="en-US"/>
              </w:rPr>
            </w:pPr>
            <w:r>
              <w:rPr>
                <w:color w:val="auto"/>
                <w:lang w:val="en-US" w:eastAsia="zh-CN"/>
              </w:rPr>
              <w:t>表3-</w:t>
            </w:r>
            <w:r>
              <w:rPr>
                <w:rFonts w:hint="eastAsia"/>
                <w:color w:val="auto"/>
                <w:lang w:val="en-US" w:eastAsia="zh-CN"/>
              </w:rPr>
              <w:t>13</w:t>
            </w:r>
            <w:r>
              <w:rPr>
                <w:color w:val="auto"/>
                <w:lang w:val="en-US" w:eastAsia="zh-CN"/>
              </w:rPr>
              <w:t xml:space="preserve">  </w:t>
            </w:r>
            <w:r>
              <w:rPr>
                <w:rFonts w:hint="eastAsia"/>
                <w:color w:val="auto"/>
                <w:lang w:val="en-US" w:eastAsia="zh-CN"/>
              </w:rPr>
              <w:t>本项目后全厂</w:t>
            </w:r>
            <w:r>
              <w:rPr>
                <w:color w:val="auto"/>
                <w:lang w:val="en-US" w:eastAsia="zh-CN"/>
              </w:rPr>
              <w:t>污染物</w:t>
            </w:r>
            <w:r>
              <w:rPr>
                <w:rFonts w:hint="eastAsia"/>
                <w:color w:val="auto"/>
                <w:lang w:val="en-US" w:eastAsia="zh-CN"/>
              </w:rPr>
              <w:t>总量指标变化情况一览表    单位t/a</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820"/>
              <w:gridCol w:w="1585"/>
              <w:gridCol w:w="1513"/>
              <w:gridCol w:w="1895"/>
              <w:gridCol w:w="1711"/>
            </w:tblGrid>
            <w:tr>
              <w:trPr>
                <w:trHeight w:val="23"/>
              </w:trPr>
              <w:tc>
                <w:tcPr>
                  <w:tcW w:w="1067" w:type="pct"/>
                  <w:vAlign w:val="center"/>
                </w:tcPr>
                <w:p>
                  <w:pPr>
                    <w:pStyle w:val="23"/>
                    <w:bidi w:val="0"/>
                    <w:rPr>
                      <w:rFonts w:hint="eastAsia"/>
                      <w:color w:val="auto"/>
                      <w:lang w:val="en-US" w:eastAsia="zh-CN"/>
                    </w:rPr>
                  </w:pPr>
                  <w:r>
                    <w:rPr>
                      <w:rFonts w:hint="eastAsia"/>
                      <w:color w:val="auto"/>
                      <w:lang w:val="en-US" w:eastAsia="zh-CN"/>
                    </w:rPr>
                    <w:t>污染物</w:t>
                  </w:r>
                </w:p>
              </w:tc>
              <w:tc>
                <w:tcPr>
                  <w:tcW w:w="929" w:type="pct"/>
                  <w:vAlign w:val="center"/>
                </w:tcPr>
                <w:p>
                  <w:pPr>
                    <w:pStyle w:val="23"/>
                    <w:bidi w:val="0"/>
                    <w:rPr>
                      <w:color w:val="auto"/>
                      <w:lang w:val="en-US" w:eastAsia="zh-CN"/>
                    </w:rPr>
                  </w:pPr>
                  <w:r>
                    <w:rPr>
                      <w:rFonts w:hint="eastAsia"/>
                      <w:color w:val="auto"/>
                      <w:lang w:val="en-US" w:eastAsia="zh-CN"/>
                    </w:rPr>
                    <w:t>现有工程总量指标</w:t>
                  </w:r>
                </w:p>
              </w:tc>
              <w:tc>
                <w:tcPr>
                  <w:tcW w:w="887" w:type="pct"/>
                  <w:vAlign w:val="center"/>
                </w:tcPr>
                <w:p>
                  <w:pPr>
                    <w:pStyle w:val="23"/>
                    <w:bidi w:val="0"/>
                    <w:rPr>
                      <w:color w:val="auto"/>
                      <w:lang w:val="en-US" w:eastAsia="zh-CN"/>
                    </w:rPr>
                  </w:pPr>
                  <w:r>
                    <w:rPr>
                      <w:rFonts w:hint="eastAsia"/>
                      <w:color w:val="auto"/>
                      <w:lang w:val="en-US" w:eastAsia="zh-CN"/>
                    </w:rPr>
                    <w:t>以新带老削减量</w:t>
                  </w:r>
                </w:p>
              </w:tc>
              <w:tc>
                <w:tcPr>
                  <w:tcW w:w="1111" w:type="pct"/>
                  <w:vAlign w:val="center"/>
                </w:tcPr>
                <w:p>
                  <w:pPr>
                    <w:pStyle w:val="23"/>
                    <w:bidi w:val="0"/>
                    <w:rPr>
                      <w:color w:val="auto"/>
                      <w:lang w:val="en-US" w:eastAsia="zh-CN"/>
                    </w:rPr>
                  </w:pPr>
                  <w:r>
                    <w:rPr>
                      <w:rFonts w:hint="eastAsia"/>
                      <w:color w:val="auto"/>
                      <w:lang w:val="en-US" w:eastAsia="zh-CN"/>
                    </w:rPr>
                    <w:t>本项目完成后全厂总量指标</w:t>
                  </w:r>
                </w:p>
              </w:tc>
              <w:tc>
                <w:tcPr>
                  <w:tcW w:w="1003" w:type="pct"/>
                  <w:vAlign w:val="center"/>
                </w:tcPr>
                <w:p>
                  <w:pPr>
                    <w:pStyle w:val="23"/>
                    <w:bidi w:val="0"/>
                    <w:rPr>
                      <w:color w:val="auto"/>
                      <w:lang w:val="en-US" w:eastAsia="zh-CN"/>
                    </w:rPr>
                  </w:pPr>
                  <w:r>
                    <w:rPr>
                      <w:rFonts w:hint="eastAsia"/>
                      <w:color w:val="auto"/>
                      <w:lang w:val="en-US" w:eastAsia="zh-CN"/>
                    </w:rPr>
                    <w:t>变化情况</w:t>
                  </w:r>
                </w:p>
              </w:tc>
            </w:tr>
            <w:tr>
              <w:trPr>
                <w:trHeight w:val="23"/>
              </w:trPr>
              <w:tc>
                <w:tcPr>
                  <w:tcW w:w="1067" w:type="pct"/>
                  <w:vAlign w:val="center"/>
                </w:tcPr>
                <w:p>
                  <w:pPr>
                    <w:pStyle w:val="23"/>
                    <w:bidi w:val="0"/>
                    <w:rPr>
                      <w:color w:val="auto"/>
                    </w:rPr>
                  </w:pPr>
                  <w:r>
                    <w:rPr>
                      <w:color w:val="auto"/>
                    </w:rPr>
                    <w:t>NOx</w:t>
                  </w:r>
                </w:p>
              </w:tc>
              <w:tc>
                <w:tcPr>
                  <w:tcW w:w="929" w:type="pct"/>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887" w:type="pct"/>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1111"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0.388</w:t>
                  </w:r>
                </w:p>
              </w:tc>
              <w:tc>
                <w:tcPr>
                  <w:tcW w:w="1003"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+0.388</w:t>
                  </w:r>
                </w:p>
              </w:tc>
            </w:tr>
            <w:tr>
              <w:trPr>
                <w:trHeight w:val="23"/>
              </w:trPr>
              <w:tc>
                <w:tcPr>
                  <w:tcW w:w="1067" w:type="pct"/>
                  <w:vAlign w:val="center"/>
                </w:tcPr>
                <w:p>
                  <w:pPr>
                    <w:pStyle w:val="23"/>
                    <w:bidi w:val="0"/>
                    <w:rPr>
                      <w:color w:val="auto"/>
                    </w:rPr>
                  </w:pPr>
                  <w:r>
                    <w:rPr>
                      <w:color w:val="auto"/>
                    </w:rPr>
                    <w:t>SO</w:t>
                  </w:r>
                  <w:r>
                    <w:rPr>
                      <w:color w:val="auto"/>
                      <w:vertAlign w:val="subscript"/>
                    </w:rPr>
                    <w:t>2</w:t>
                  </w:r>
                </w:p>
              </w:tc>
              <w:tc>
                <w:tcPr>
                  <w:tcW w:w="929" w:type="pct"/>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887" w:type="pct"/>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1111"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0.078</w:t>
                  </w:r>
                </w:p>
              </w:tc>
              <w:tc>
                <w:tcPr>
                  <w:tcW w:w="1003"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+0.078</w:t>
                  </w:r>
                </w:p>
              </w:tc>
            </w:tr>
            <w:tr>
              <w:trPr>
                <w:trHeight w:val="23"/>
              </w:trPr>
              <w:tc>
                <w:tcPr>
                  <w:tcW w:w="1067" w:type="pct"/>
                  <w:vAlign w:val="center"/>
                </w:tcPr>
                <w:p>
                  <w:pPr>
                    <w:pStyle w:val="23"/>
                    <w:bidi w:val="0"/>
                    <w:rPr>
                      <w:color w:val="auto"/>
                      <w:highlight w:val="none"/>
                    </w:rPr>
                  </w:pPr>
                  <w:r>
                    <w:rPr>
                      <w:color w:val="auto"/>
                      <w:highlight w:val="none"/>
                    </w:rPr>
                    <w:t>非甲烷总烃</w:t>
                  </w:r>
                </w:p>
              </w:tc>
              <w:tc>
                <w:tcPr>
                  <w:tcW w:w="929" w:type="pct"/>
                  <w:tcBorders>
                    <w:left w:val="single" w:sz="4" w:space="0" w:color="auto"/>
                  </w:tcBorders>
                  <w:vAlign w:val="center"/>
                </w:tcPr>
                <w:p>
                  <w:pPr>
                    <w:pStyle w:val="23"/>
                    <w:bidi w:val="0"/>
                    <w:rPr>
                      <w:color w:val="auto"/>
                      <w:lang w:val="en-US" w:eastAsia="zh-CN"/>
                    </w:rPr>
                  </w:pPr>
                  <w:r>
                    <w:rPr>
                      <w:rFonts w:hint="eastAsia"/>
                      <w:color w:val="auto"/>
                      <w:lang w:val="en-US" w:eastAsia="zh-CN"/>
                    </w:rPr>
                    <w:t>0.062</w:t>
                  </w:r>
                </w:p>
              </w:tc>
              <w:tc>
                <w:tcPr>
                  <w:tcW w:w="887"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0.062</w:t>
                  </w:r>
                </w:p>
              </w:tc>
              <w:tc>
                <w:tcPr>
                  <w:tcW w:w="111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0.113</w:t>
                  </w:r>
                </w:p>
              </w:tc>
              <w:tc>
                <w:tcPr>
                  <w:tcW w:w="1003"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r>
                    <w:rPr>
                      <w:color w:val="auto"/>
                      <w:lang w:val="en-US" w:eastAsia="zh-CN"/>
                    </w:rPr>
                    <w:t>0.051</w:t>
                  </w:r>
                </w:p>
              </w:tc>
            </w:tr>
            <w:tr>
              <w:trPr>
                <w:trHeight w:val="23"/>
              </w:trPr>
              <w:tc>
                <w:tcPr>
                  <w:tcW w:w="1067" w:type="pct"/>
                  <w:vAlign w:val="center"/>
                </w:tcPr>
                <w:p>
                  <w:pPr>
                    <w:pStyle w:val="23"/>
                    <w:bidi w:val="0"/>
                    <w:rPr>
                      <w:color w:val="auto"/>
                      <w:highlight w:val="none"/>
                    </w:rPr>
                  </w:pPr>
                  <w:r>
                    <w:rPr>
                      <w:color w:val="auto"/>
                      <w:lang w:val="en-US" w:eastAsia="zh-CN"/>
                      <w:highlight w:val="none"/>
                    </w:rPr>
                    <w:t>颗粒物</w:t>
                  </w:r>
                </w:p>
              </w:tc>
              <w:tc>
                <w:tcPr>
                  <w:tcW w:w="929" w:type="pct"/>
                  <w:tcBorders>
                    <w:left w:val="single" w:sz="4" w:space="0" w:color="auto"/>
                  </w:tcBorders>
                  <w:vAlign w:val="center"/>
                </w:tcPr>
                <w:p>
                  <w:pPr>
                    <w:pStyle w:val="23"/>
                    <w:bidi w:val="0"/>
                    <w:rPr>
                      <w:color w:val="auto"/>
                      <w:lang w:val="en-US" w:eastAsia="zh-CN"/>
                    </w:rPr>
                  </w:pPr>
                  <w:r>
                    <w:rPr>
                      <w:rFonts w:hint="eastAsia"/>
                      <w:color w:val="auto"/>
                      <w:lang w:val="en-US" w:eastAsia="zh-CN"/>
                    </w:rPr>
                    <w:t>0.033</w:t>
                  </w:r>
                </w:p>
              </w:tc>
              <w:tc>
                <w:tcPr>
                  <w:tcW w:w="887"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0.033</w:t>
                  </w:r>
                </w:p>
              </w:tc>
              <w:tc>
                <w:tcPr>
                  <w:tcW w:w="111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0.078</w:t>
                  </w:r>
                </w:p>
              </w:tc>
              <w:tc>
                <w:tcPr>
                  <w:tcW w:w="1003" w:type="pct"/>
                  <w:tcBorders>
                    <w:left w:val="single" w:sz="4" w:space="0" w:color="auto"/>
                  </w:tcBorders>
                  <w:vAlign w:val="center"/>
                </w:tcPr>
                <w:p>
                  <w:pPr>
                    <w:pStyle w:val="23"/>
                    <w:bidi w:val="0"/>
                    <w:rPr>
                      <w:color w:val="auto"/>
                      <w:lang w:val="en-US" w:eastAsia="zh-CN"/>
                    </w:rPr>
                  </w:pPr>
                  <w:r>
                    <w:rPr>
                      <w:rFonts w:hint="eastAsia"/>
                      <w:color w:val="auto"/>
                      <w:lang w:val="en-US" w:eastAsia="zh-CN"/>
                    </w:rPr>
                    <w:t>+0.045</w:t>
                  </w:r>
                </w:p>
              </w:tc>
            </w:tr>
            <w:tr>
              <w:trPr>
                <w:trHeight w:val="23"/>
              </w:trPr>
              <w:tc>
                <w:tcPr>
                  <w:tcW w:w="1067" w:type="pct"/>
                  <w:vAlign w:val="center"/>
                </w:tcPr>
                <w:p>
                  <w:pPr>
                    <w:pStyle w:val="23"/>
                    <w:bidi w:val="0"/>
                    <w:rPr>
                      <w:color w:val="auto"/>
                    </w:rPr>
                  </w:pPr>
                  <w:r>
                    <w:rPr>
                      <w:color w:val="auto"/>
                    </w:rPr>
                    <w:t>NH</w:t>
                  </w:r>
                  <w:r>
                    <w:rPr>
                      <w:color w:val="auto"/>
                      <w:vertAlign w:val="subscript"/>
                    </w:rPr>
                    <w:t>3</w:t>
                  </w:r>
                  <w:r>
                    <w:rPr>
                      <w:color w:val="auto"/>
                    </w:rPr>
                    <w:t>-N</w:t>
                  </w:r>
                </w:p>
              </w:tc>
              <w:tc>
                <w:tcPr>
                  <w:tcW w:w="929" w:type="pct"/>
                  <w:tcBorders>
                    <w:left w:val="single" w:sz="4" w:space="0" w:color="auto"/>
                  </w:tcBorders>
                  <w:vAlign w:val="center"/>
                </w:tcPr>
                <w:p>
                  <w:pPr>
                    <w:pStyle w:val="23"/>
                    <w:bidi w:val="0"/>
                    <w:rPr>
                      <w:color w:val="auto"/>
                      <w:lang w:val="en-US" w:eastAsia="zh-CN"/>
                    </w:rPr>
                  </w:pPr>
                  <w:r>
                    <w:rPr>
                      <w:rFonts w:hint="eastAsia"/>
                      <w:color w:val="auto"/>
                      <w:lang w:val="en-US" w:eastAsia="zh-CN"/>
                    </w:rPr>
                    <w:t>0.019</w:t>
                  </w:r>
                </w:p>
              </w:tc>
              <w:tc>
                <w:tcPr>
                  <w:tcW w:w="887"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0</w:t>
                  </w:r>
                </w:p>
              </w:tc>
              <w:tc>
                <w:tcPr>
                  <w:tcW w:w="1111" w:type="pct"/>
                  <w:tcBorders>
                    <w:left w:val="single" w:sz="4" w:space="0" w:color="auto"/>
                  </w:tcBorders>
                  <w:vAlign w:val="center"/>
                </w:tcPr>
                <w:p>
                  <w:pPr>
                    <w:pStyle w:val="23"/>
                    <w:bidi w:val="0"/>
                    <w:rPr>
                      <w:color w:val="auto"/>
                      <w:lang w:val="en-US" w:eastAsia="zh-CN"/>
                    </w:rPr>
                  </w:pPr>
                  <w:r>
                    <w:rPr>
                      <w:rFonts w:hint="eastAsia"/>
                      <w:color w:val="auto"/>
                      <w:lang w:val="en-US" w:eastAsia="zh-CN"/>
                    </w:rPr>
                    <w:t>0.044</w:t>
                  </w:r>
                </w:p>
              </w:tc>
              <w:tc>
                <w:tcPr>
                  <w:tcW w:w="1003"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+0.025</w:t>
                  </w:r>
                </w:p>
              </w:tc>
            </w:tr>
            <w:tr>
              <w:trPr>
                <w:trHeight w:val="23"/>
              </w:trPr>
              <w:tc>
                <w:tcPr>
                  <w:tcW w:w="1067" w:type="pct"/>
                  <w:vAlign w:val="center"/>
                </w:tcPr>
                <w:p>
                  <w:pPr>
                    <w:pStyle w:val="23"/>
                    <w:bidi w:val="0"/>
                    <w:rPr>
                      <w:color w:val="auto"/>
                    </w:rPr>
                  </w:pPr>
                  <w:r>
                    <w:rPr>
                      <w:color w:val="auto"/>
                    </w:rPr>
                    <w:t>COD</w:t>
                  </w:r>
                </w:p>
              </w:tc>
              <w:tc>
                <w:tcPr>
                  <w:tcW w:w="929" w:type="pct"/>
                  <w:tcBorders>
                    <w:left w:val="single" w:sz="4" w:space="0" w:color="auto"/>
                  </w:tcBorders>
                  <w:vAlign w:val="center"/>
                </w:tcPr>
                <w:p>
                  <w:pPr>
                    <w:pStyle w:val="23"/>
                    <w:bidi w:val="0"/>
                    <w:rPr>
                      <w:color w:val="auto"/>
                      <w:lang w:val="en-US" w:eastAsia="zh-CN"/>
                    </w:rPr>
                  </w:pPr>
                  <w:r>
                    <w:rPr>
                      <w:rFonts w:hint="eastAsia"/>
                      <w:color w:val="auto"/>
                      <w:lang w:val="en-US" w:eastAsia="zh-CN"/>
                    </w:rPr>
                    <w:t>0.376</w:t>
                  </w:r>
                </w:p>
              </w:tc>
              <w:tc>
                <w:tcPr>
                  <w:tcW w:w="887"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0</w:t>
                  </w:r>
                </w:p>
              </w:tc>
              <w:tc>
                <w:tcPr>
                  <w:tcW w:w="1111" w:type="pct"/>
                  <w:tcBorders>
                    <w:left w:val="single" w:sz="4" w:space="0" w:color="auto"/>
                  </w:tcBorders>
                  <w:vAlign w:val="center"/>
                </w:tcPr>
                <w:p>
                  <w:pPr>
                    <w:pStyle w:val="23"/>
                    <w:bidi w:val="0"/>
                    <w:rPr>
                      <w:color w:val="auto"/>
                      <w:lang w:val="en-US" w:eastAsia="zh-CN"/>
                    </w:rPr>
                  </w:pPr>
                  <w:r>
                    <w:rPr>
                      <w:rFonts w:hint="eastAsia"/>
                      <w:color w:val="auto"/>
                      <w:lang w:val="en-US" w:eastAsia="zh-CN"/>
                    </w:rPr>
                    <w:t>0.868</w:t>
                  </w:r>
                </w:p>
              </w:tc>
              <w:tc>
                <w:tcPr>
                  <w:tcW w:w="1003"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+0.492</w:t>
                  </w:r>
                </w:p>
              </w:tc>
            </w:tr>
          </w:tbl>
          <w:p>
            <w:pPr>
              <w:bidi w:val="0"/>
              <w:rPr>
                <w:color w:val="auto"/>
                <w:highlight w:val="yellow"/>
              </w:rPr>
            </w:pPr>
            <w:r>
              <w:rPr>
                <w:rFonts w:hint="eastAsia"/>
                <w:color w:val="auto"/>
                <w:lang w:val="en-US" w:eastAsia="zh-CN"/>
              </w:rPr>
              <w:t>综上，</w:t>
            </w:r>
            <w:r>
              <w:rPr>
                <w:color w:val="auto"/>
                <w:lang w:val="en-US" w:eastAsia="zh-CN"/>
              </w:rPr>
              <w:t>本项目</w:t>
            </w:r>
            <w:r>
              <w:rPr>
                <w:rFonts w:hint="eastAsia"/>
                <w:color w:val="auto"/>
                <w:lang w:val="en-US" w:eastAsia="zh-CN"/>
              </w:rPr>
              <w:t>完成后全厂污染物总量控制指标为</w:t>
            </w:r>
            <w:r>
              <w:rPr>
                <w:color w:val="auto"/>
                <w:lang w:val="en-US" w:eastAsia="zh-CN"/>
              </w:rPr>
              <w:t>：</w:t>
            </w:r>
            <w:r>
              <w:rPr>
                <w:color w:val="auto"/>
              </w:rPr>
              <w:t>COD：</w:t>
            </w:r>
            <w:r>
              <w:rPr>
                <w:rFonts w:hint="eastAsia"/>
                <w:color w:val="auto"/>
                <w:lang w:val="en-US" w:eastAsia="zh-CN"/>
              </w:rPr>
              <w:t>0.868</w:t>
            </w:r>
            <w:r>
              <w:rPr>
                <w:color w:val="auto"/>
              </w:rPr>
              <w:t>t/a；NH</w:t>
            </w:r>
            <w:r>
              <w:rPr>
                <w:color w:val="auto"/>
                <w:vertAlign w:val="subscript"/>
              </w:rPr>
              <w:t>3</w:t>
            </w:r>
            <w:r>
              <w:rPr>
                <w:color w:val="auto"/>
              </w:rPr>
              <w:t>-N：</w:t>
            </w:r>
            <w:r>
              <w:rPr>
                <w:color w:val="auto"/>
                <w:lang w:val="en-US" w:eastAsia="zh-CN"/>
              </w:rPr>
              <w:t>0.04</w:t>
            </w:r>
            <w:r>
              <w:rPr>
                <w:rFonts w:hint="eastAsia"/>
                <w:color w:val="auto"/>
                <w:lang w:val="en-US" w:eastAsia="zh-CN"/>
              </w:rPr>
              <w:t>4</w:t>
            </w:r>
            <w:r>
              <w:rPr>
                <w:color w:val="auto"/>
              </w:rPr>
              <w:t>t/a；SO</w:t>
            </w:r>
            <w:r>
              <w:rPr>
                <w:color w:val="auto"/>
                <w:vertAlign w:val="subscript"/>
              </w:rPr>
              <w:t>2</w:t>
            </w:r>
            <w:r>
              <w:rPr>
                <w:color w:val="auto"/>
              </w:rPr>
              <w:t>：</w:t>
            </w:r>
            <w:r>
              <w:rPr>
                <w:color w:val="auto"/>
                <w:lang w:val="en-US" w:eastAsia="zh-CN"/>
              </w:rPr>
              <w:t>0.078</w:t>
            </w:r>
            <w:r>
              <w:rPr>
                <w:color w:val="auto"/>
              </w:rPr>
              <w:t>t/a；NOx：</w:t>
            </w:r>
            <w:r>
              <w:rPr>
                <w:color w:val="auto"/>
                <w:lang w:val="en-US" w:eastAsia="zh-CN"/>
              </w:rPr>
              <w:t>0.388</w:t>
            </w:r>
            <w:r>
              <w:rPr>
                <w:color w:val="auto"/>
              </w:rPr>
              <w:t>t/a</w:t>
            </w:r>
            <w:r>
              <w:rPr>
                <w:color w:val="auto"/>
                <w:lang w:eastAsia="zh-CN"/>
              </w:rPr>
              <w:t>；</w:t>
            </w:r>
            <w:r>
              <w:rPr>
                <w:color w:val="auto"/>
                <w:lang w:val="en-US" w:eastAsia="zh-CN"/>
              </w:rPr>
              <w:t>非甲烷总烃：</w:t>
            </w:r>
            <w:r>
              <w:rPr>
                <w:rFonts w:hint="eastAsia"/>
                <w:color w:val="auto"/>
                <w:lang w:val="en-US" w:eastAsia="zh-CN"/>
              </w:rPr>
              <w:t>0.113</w:t>
            </w:r>
            <w:r>
              <w:rPr>
                <w:color w:val="auto"/>
                <w:lang w:eastAsia="zh-CN"/>
              </w:rPr>
              <w:t>t/a</w:t>
            </w:r>
            <w:r>
              <w:rPr>
                <w:rFonts w:hint="eastAsia"/>
                <w:color w:val="auto"/>
                <w:lang w:eastAsia="zh-CN"/>
              </w:rPr>
              <w:t>；</w:t>
            </w:r>
            <w:r>
              <w:rPr>
                <w:rFonts w:hint="eastAsia"/>
                <w:color w:val="auto"/>
                <w:lang w:val="en-US" w:eastAsia="zh-CN"/>
              </w:rPr>
              <w:t>颗粒物0.078t。</w:t>
            </w:r>
          </w:p>
          <w:p>
            <w:pPr>
              <w:bidi w:val="0"/>
              <w:spacing w:line="360" w:lineRule="auto"/>
              <w:rPr>
                <w:color w:val="auto"/>
              </w:rPr>
            </w:pPr>
          </w:p>
        </w:tc>
      </w:tr>
    </w:tbl>
    <w:p>
      <w:pPr>
        <w:jc w:val="center"/>
        <w:outlineLvl w:val="0"/>
        <w:rPr>
          <w:rFonts w:ascii="Times New Roman" w:eastAsia="黑体" w:hAnsi="Times New Roman"/>
          <w:snapToGrid w:val="0"/>
          <w:color w:val="auto"/>
          <w:sz w:val="30"/>
          <w:szCs w:val="30"/>
        </w:rPr>
      </w:pPr>
      <w:r>
        <w:rPr>
          <w:rFonts w:ascii="Times New Roman" w:eastAsia="黑体" w:hAnsi="Times New Roman"/>
          <w:snapToGrid w:val="0"/>
          <w:color w:val="auto"/>
          <w:sz w:val="36"/>
          <w:szCs w:val="36"/>
        </w:rPr>
        <w:br w:type="page"/>
      </w:r>
      <w:r>
        <w:rPr>
          <w:rFonts w:ascii="Times New Roman" w:eastAsia="黑体" w:hAnsi="Times New Roman"/>
          <w:b/>
          <w:bCs/>
          <w:snapToGrid w:val="0"/>
          <w:color w:val="auto"/>
          <w:sz w:val="30"/>
          <w:szCs w:val="30"/>
        </w:rPr>
        <w:t>四、主要环境影响和保护措施</w:t>
      </w:r>
    </w:p>
    <w:tbl>
      <w:tblPr>
        <w:jc w:val="center"/>
        <w:tblW w:w="898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21"/>
        <w:gridCol w:w="8360"/>
      </w:tblGrid>
      <w:tr>
        <w:trPr>
          <w:trHeight w:val="2580"/>
        </w:trPr>
        <w:tc>
          <w:tcPr>
            <w:tcW w:w="621" w:type="dxa"/>
            <w:tcBorders>
              <w:tl2br w:val="nil"/>
              <w:tr2bl w:val="nil"/>
            </w:tcBorders>
            <w:tcMar>
              <w:left w:w="28"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Chars="0" w:firstLine="0"/>
              <w:jc w:val="center"/>
              <w:textAlignment w:val="auto"/>
              <w:rPr>
                <w:rFonts w:ascii="Times New Roman" w:hAnsi="Times New Roman"/>
                <w:color w:val="auto"/>
              </w:rPr>
            </w:pPr>
            <w:r>
              <w:rPr>
                <w:rFonts w:ascii="Times New Roman" w:hAnsi="Times New Roman"/>
                <w:color w:val="auto"/>
              </w:rPr>
              <w:t>施工</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Chars="0" w:firstLine="0"/>
              <w:jc w:val="center"/>
              <w:textAlignment w:val="auto"/>
              <w:rPr>
                <w:rFonts w:ascii="Times New Roman" w:hAnsi="Times New Roman"/>
                <w:color w:val="auto"/>
              </w:rPr>
            </w:pPr>
            <w:r>
              <w:rPr>
                <w:rFonts w:ascii="Times New Roman" w:hAnsi="Times New Roman"/>
                <w:color w:val="auto"/>
              </w:rPr>
              <w:t>期环</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Chars="0" w:firstLine="0"/>
              <w:jc w:val="center"/>
              <w:textAlignment w:val="auto"/>
              <w:rPr>
                <w:rFonts w:ascii="Times New Roman" w:hAnsi="Times New Roman"/>
                <w:color w:val="auto"/>
              </w:rPr>
            </w:pPr>
            <w:r>
              <w:rPr>
                <w:rFonts w:ascii="Times New Roman" w:hAnsi="Times New Roman"/>
                <w:color w:val="auto"/>
              </w:rPr>
              <w:t>境保</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Chars="0" w:firstLine="0"/>
              <w:jc w:val="center"/>
              <w:textAlignment w:val="auto"/>
              <w:rPr>
                <w:rFonts w:ascii="Times New Roman" w:hAnsi="Times New Roman"/>
                <w:color w:val="auto"/>
              </w:rPr>
            </w:pPr>
            <w:r>
              <w:rPr>
                <w:rFonts w:ascii="Times New Roman" w:hAnsi="Times New Roman"/>
                <w:color w:val="auto"/>
              </w:rPr>
              <w:t>护措</w:t>
            </w:r>
          </w:p>
          <w:p>
            <w:pPr>
              <w:adjustRightInd w:val="0"/>
              <w:snapToGrid w:val="0"/>
              <w:spacing w:before="0" w:beforeAutospacing="0" w:after="0" w:afterAutospacing="0" w:line="240" w:lineRule="auto"/>
              <w:ind w:left="0" w:firstLineChars="0" w:firstLine="0"/>
              <w:jc w:val="both"/>
              <w:rPr>
                <w:rFonts w:ascii="Times New Roman" w:hAnsi="Times New Roman"/>
                <w:bCs/>
                <w:color w:val="auto"/>
                <w:kern w:val="2"/>
                <w:sz w:val="21"/>
                <w:szCs w:val="21"/>
              </w:rPr>
            </w:pPr>
            <w:r>
              <w:rPr>
                <w:rFonts w:ascii="Times New Roman" w:hAnsi="Times New Roman"/>
                <w:color w:val="auto"/>
              </w:rPr>
              <w:t>施</w:t>
            </w:r>
          </w:p>
        </w:tc>
        <w:tc>
          <w:tcPr>
            <w:tcW w:w="8360" w:type="dxa"/>
            <w:tcBorders>
              <w:tl2br w:val="nil"/>
              <w:tr2bl w:val="nil"/>
            </w:tcBorders>
            <w:vAlign w:val="center"/>
          </w:tcPr>
          <w:p>
            <w:pPr>
              <w:spacing w:line="360" w:lineRule="auto"/>
              <w:ind w:firstLineChars="200" w:firstLine="480"/>
              <w:rPr>
                <w:color w:val="auto"/>
                <w:sz w:val="24"/>
                <w:szCs w:val="32"/>
              </w:rPr>
            </w:pPr>
            <w:r>
              <w:rPr>
                <w:color w:val="auto"/>
                <w:sz w:val="24"/>
              </w:rPr>
              <w:t>本项目</w:t>
            </w:r>
            <w:r>
              <w:rPr>
                <w:rFonts w:hint="eastAsia"/>
                <w:color w:val="auto"/>
                <w:sz w:val="24"/>
                <w:lang w:val="en-US" w:eastAsia="zh-CN"/>
              </w:rPr>
              <w:t>利用现有车间进行建设，施工期主要为生产设备的安装调试以及污水处理站的扩容工程</w:t>
            </w:r>
            <w:r>
              <w:rPr>
                <w:color w:val="auto"/>
                <w:sz w:val="24"/>
                <w:szCs w:val="32"/>
              </w:rPr>
              <w:t>。</w:t>
            </w:r>
          </w:p>
          <w:p>
            <w:pPr>
              <w:bidi w:val="0"/>
              <w:spacing w:line="360" w:lineRule="auto"/>
              <w:rPr>
                <w:color w:val="auto"/>
              </w:rPr>
            </w:pPr>
            <w:r>
              <w:rPr>
                <w:color w:val="auto"/>
              </w:rPr>
              <w:t>1、大气环境影响分析</w:t>
            </w:r>
          </w:p>
          <w:p>
            <w:pPr>
              <w:spacing w:line="360" w:lineRule="auto"/>
              <w:ind w:firstLineChars="200" w:firstLine="480"/>
              <w:contextualSpacing/>
              <w:rPr>
                <w:rFonts w:hint="eastAsia"/>
                <w:color w:val="auto"/>
              </w:rPr>
            </w:pPr>
            <w:r>
              <w:rPr>
                <w:rFonts w:hint="eastAsia"/>
                <w:color w:val="auto"/>
              </w:rPr>
              <w:t>本项目施工期</w:t>
            </w:r>
            <w:r>
              <w:rPr>
                <w:rFonts w:hint="eastAsia"/>
                <w:color w:val="auto"/>
                <w:lang w:val="en-US" w:eastAsia="zh-CN"/>
              </w:rPr>
              <w:t>主要为污水处理站的扩容改造以及</w:t>
            </w:r>
            <w:r>
              <w:rPr>
                <w:rFonts w:hint="eastAsia"/>
                <w:color w:val="auto"/>
              </w:rPr>
              <w:t>设备安装</w:t>
            </w:r>
            <w:r>
              <w:rPr>
                <w:rFonts w:hint="eastAsia"/>
                <w:color w:val="auto"/>
                <w:lang w:eastAsia="zh-CN"/>
              </w:rPr>
              <w:t>，</w:t>
            </w:r>
            <w:r>
              <w:rPr>
                <w:rFonts w:hint="eastAsia"/>
                <w:color w:val="auto"/>
              </w:rPr>
              <w:t>建筑材料、设备的运输及建筑垃圾清运会引起道路扬尘，主要污染物为颗粒物，对周边区域大气环境有一定影响。</w:t>
            </w:r>
          </w:p>
          <w:p>
            <w:pPr>
              <w:spacing w:line="360" w:lineRule="auto"/>
              <w:ind w:firstLineChars="200" w:firstLine="480"/>
              <w:contextualSpacing/>
              <w:rPr>
                <w:rFonts w:hint="eastAsia"/>
                <w:color w:val="auto"/>
              </w:rPr>
            </w:pPr>
            <w:r>
              <w:rPr>
                <w:rFonts w:hint="eastAsia"/>
                <w:color w:val="auto"/>
              </w:rPr>
              <w:t>为减少扬尘（颗粒物）的产生，采取以下控制措施：</w:t>
            </w:r>
          </w:p>
          <w:p>
            <w:pPr>
              <w:spacing w:line="360" w:lineRule="auto"/>
              <w:ind w:firstLineChars="200" w:firstLine="480"/>
              <w:contextualSpacing/>
              <w:rPr>
                <w:rFonts w:hint="eastAsia"/>
                <w:color w:val="auto"/>
              </w:rPr>
            </w:pPr>
            <w:r>
              <w:rPr>
                <w:rFonts w:hint="eastAsia"/>
                <w:color w:val="auto"/>
              </w:rPr>
              <w:t>①设备的运输及建筑垃圾清运过程中，运输车辆减速慢行，运输垃圾采用</w:t>
            </w:r>
            <w:r>
              <w:rPr>
                <w:rFonts w:hint="eastAsia"/>
                <w:color w:val="auto"/>
                <w:lang w:eastAsia="zh-CN"/>
              </w:rPr>
              <w:t>篷布</w:t>
            </w:r>
            <w:r>
              <w:rPr>
                <w:rFonts w:hint="eastAsia"/>
                <w:color w:val="auto"/>
              </w:rPr>
              <w:t>遮盖，以避免沿途洒落，对运输道路及时进行清扫，并进行泼洒抑尘，减少扬尘，装修期间加强对施工场地的管理，适当向作业面、地面洒水，每天不少于2次；</w:t>
            </w:r>
          </w:p>
          <w:p>
            <w:pPr>
              <w:spacing w:line="360" w:lineRule="auto"/>
              <w:ind w:firstLineChars="200" w:firstLine="480"/>
              <w:contextualSpacing/>
              <w:rPr>
                <w:rFonts w:hint="eastAsia"/>
                <w:color w:val="auto"/>
              </w:rPr>
            </w:pPr>
            <w:r>
              <w:rPr>
                <w:rFonts w:hint="eastAsia"/>
                <w:color w:val="auto"/>
              </w:rPr>
              <w:t>②施工现场禁止搅拌混凝土、砂浆；</w:t>
            </w:r>
          </w:p>
          <w:p>
            <w:pPr>
              <w:spacing w:line="360" w:lineRule="auto"/>
              <w:ind w:firstLineChars="200" w:firstLine="480"/>
              <w:contextualSpacing/>
              <w:rPr>
                <w:rFonts w:hint="eastAsia"/>
                <w:color w:val="auto"/>
              </w:rPr>
            </w:pPr>
            <w:r>
              <w:rPr>
                <w:rFonts w:hint="eastAsia"/>
                <w:color w:val="auto"/>
              </w:rPr>
              <w:t>③在发布重污染天气预警期间内，厂区内不得开展施工作业，预警解除后，方可开工；</w:t>
            </w:r>
          </w:p>
          <w:p>
            <w:pPr>
              <w:spacing w:line="360" w:lineRule="auto"/>
              <w:ind w:firstLineChars="200" w:firstLine="480"/>
              <w:contextualSpacing/>
              <w:rPr>
                <w:rFonts w:eastAsia="宋体" w:hint="eastAsia"/>
                <w:color w:val="auto"/>
                <w:lang w:eastAsia="zh-CN"/>
              </w:rPr>
            </w:pPr>
            <w:r>
              <w:rPr>
                <w:rFonts w:hint="eastAsia"/>
                <w:color w:val="auto"/>
              </w:rPr>
              <w:t>④建设单位必须委托具有垃圾运输资格的运输单位进行渣土及垃圾运输。采取密闭运输，车身应保持整洁，防止建筑材料、垃圾和工程渣土飞扬、洒落、流溢，严禁抛扔或随意倾倒，保证运输途中不污染城市道路和环境，对不符合要求的运输车辆和驾驶人员，严禁进场进行装运作业</w:t>
            </w:r>
            <w:r>
              <w:rPr>
                <w:rFonts w:hint="eastAsia"/>
                <w:color w:val="auto"/>
                <w:lang w:eastAsia="zh-CN"/>
              </w:rPr>
              <w:t>。</w:t>
            </w:r>
          </w:p>
          <w:p>
            <w:pPr>
              <w:spacing w:line="360" w:lineRule="auto"/>
              <w:ind w:firstLineChars="200" w:firstLine="480"/>
              <w:contextualSpacing/>
              <w:rPr>
                <w:color w:val="auto"/>
                <w:sz w:val="24"/>
              </w:rPr>
            </w:pPr>
            <w:r>
              <w:rPr>
                <w:color w:val="auto"/>
                <w:sz w:val="24"/>
              </w:rPr>
              <w:t>采取以上措施施工期厂界扬尘可达到《施工场地扬尘排放标准》（DB13/2934-2019）表1扬尘排放浓度限值要求，即监测点浓度限值PM</w:t>
            </w:r>
            <w:r>
              <w:rPr>
                <w:color w:val="auto"/>
                <w:sz w:val="24"/>
                <w:vertAlign w:val="subscript"/>
              </w:rPr>
              <w:t>10</w:t>
            </w:r>
            <w:r>
              <w:rPr>
                <w:color w:val="auto"/>
                <w:sz w:val="24"/>
              </w:rPr>
              <w:t>≤80μg/</w:t>
            </w:r>
            <w:r>
              <w:rPr>
                <w:rFonts w:hint="eastAsia"/>
                <w:color w:val="auto"/>
                <w:sz w:val="24"/>
                <w:lang w:eastAsia="zh-CN"/>
              </w:rPr>
              <w:t>m³</w:t>
            </w:r>
            <w:r>
              <w:rPr>
                <w:color w:val="auto"/>
                <w:sz w:val="24"/>
              </w:rPr>
              <w:t>，为达标排放，对区域大气环境影响较小。</w:t>
            </w:r>
          </w:p>
          <w:p>
            <w:pPr>
              <w:spacing w:line="360" w:lineRule="auto"/>
              <w:ind w:firstLineChars="200" w:firstLine="480"/>
              <w:rPr>
                <w:b/>
                <w:bCs/>
                <w:color w:val="auto"/>
                <w:sz w:val="24"/>
                <w:szCs w:val="24"/>
              </w:rPr>
            </w:pPr>
            <w:r>
              <w:rPr>
                <w:color w:val="auto"/>
                <w:sz w:val="24"/>
                <w:szCs w:val="24"/>
              </w:rPr>
              <w:t>2、水环境影响分析</w:t>
            </w:r>
          </w:p>
          <w:p>
            <w:pPr>
              <w:spacing w:line="360" w:lineRule="auto"/>
              <w:ind w:firstLineChars="200" w:firstLine="480"/>
              <w:rPr>
                <w:color w:val="auto"/>
                <w:sz w:val="24"/>
                <w:szCs w:val="24"/>
              </w:rPr>
            </w:pPr>
            <w:r>
              <w:rPr>
                <w:color w:val="auto"/>
                <w:sz w:val="24"/>
                <w:szCs w:val="24"/>
              </w:rPr>
              <w:t>项目施工过程中产生的污水主要</w:t>
            </w:r>
            <w:r>
              <w:rPr>
                <w:rFonts w:hint="eastAsia"/>
                <w:color w:val="auto"/>
                <w:sz w:val="24"/>
                <w:szCs w:val="24"/>
                <w:lang w:eastAsia="zh-CN"/>
              </w:rPr>
              <w:t>来自</w:t>
            </w:r>
            <w:r>
              <w:rPr>
                <w:color w:val="auto"/>
                <w:sz w:val="24"/>
                <w:szCs w:val="24"/>
              </w:rPr>
              <w:t>施工人员的生活污水。施工期工人主要来自当地，生活污水产生量较少，这部分生活污水可用作洒水降尘，不外排。因此，项目施工期间对区域水环境影响较小。</w:t>
            </w:r>
          </w:p>
          <w:p>
            <w:pPr>
              <w:spacing w:line="360" w:lineRule="auto"/>
              <w:ind w:firstLineChars="200" w:firstLine="480"/>
              <w:rPr>
                <w:color w:val="auto"/>
                <w:sz w:val="24"/>
                <w:szCs w:val="24"/>
              </w:rPr>
            </w:pPr>
            <w:r>
              <w:rPr>
                <w:color w:val="auto"/>
                <w:sz w:val="24"/>
                <w:szCs w:val="24"/>
              </w:rPr>
              <w:t>3、声环境影响分析</w:t>
            </w:r>
          </w:p>
          <w:p>
            <w:pPr>
              <w:spacing w:line="360" w:lineRule="auto"/>
              <w:ind w:firstLineChars="200" w:firstLine="480"/>
              <w:contextualSpacing/>
              <w:rPr>
                <w:color w:val="auto"/>
                <w:sz w:val="24"/>
              </w:rPr>
            </w:pPr>
            <w:r>
              <w:rPr>
                <w:color w:val="auto"/>
                <w:sz w:val="24"/>
              </w:rPr>
              <w:t>施工期的噪声主要来自现场各类机械设备及运输车辆的运行，其特点是间歇性或阵发性，并具备流动性、声压级较高等特征。为减轻施工噪声对附近村庄的影响，本项目将采取如下措施：</w:t>
            </w:r>
          </w:p>
          <w:p>
            <w:pPr>
              <w:spacing w:line="360" w:lineRule="auto"/>
              <w:ind w:firstLineChars="200" w:firstLine="480"/>
              <w:contextualSpacing/>
              <w:rPr>
                <w:color w:val="auto"/>
                <w:sz w:val="24"/>
              </w:rPr>
            </w:pPr>
            <w:r>
              <w:rPr>
                <w:color w:val="auto"/>
                <w:sz w:val="24"/>
              </w:rPr>
              <w:t>①人为控制。增强施工人员的环保意识，施工现场禁止大声喧哗吵闹、高声歌唱等；作业中搬运物件必须轻拿轻放，钢铁件堆放不发出大的响声，严禁抛掷物件造成噪声。</w:t>
            </w:r>
          </w:p>
          <w:p>
            <w:pPr>
              <w:spacing w:line="360" w:lineRule="auto"/>
              <w:ind w:firstLineChars="200" w:firstLine="480"/>
              <w:contextualSpacing/>
              <w:rPr>
                <w:color w:val="auto"/>
                <w:sz w:val="24"/>
              </w:rPr>
            </w:pPr>
            <w:r>
              <w:rPr>
                <w:color w:val="auto"/>
                <w:sz w:val="24"/>
              </w:rPr>
              <w:t>②作业时间上控制。禁止在夜间22:00～次日6:00及午间12:00～14:00施工；特殊情况确需连续作业或夜间作业的，需采取有效降噪措施，事先做好周边群众工作，并报当地环保局备案后施工。</w:t>
            </w:r>
          </w:p>
          <w:p>
            <w:pPr>
              <w:spacing w:line="360" w:lineRule="auto"/>
              <w:ind w:firstLineChars="200" w:firstLine="480"/>
              <w:contextualSpacing/>
              <w:rPr>
                <w:color w:val="auto"/>
                <w:sz w:val="24"/>
              </w:rPr>
            </w:pPr>
            <w:r>
              <w:rPr>
                <w:color w:val="auto"/>
                <w:sz w:val="24"/>
              </w:rPr>
              <w:t>③强噪声机械降噪控制。合理布局施工场地，对施工现场内的强噪声机械加装</w:t>
            </w:r>
            <w:r>
              <w:rPr>
                <w:rFonts w:hint="eastAsia"/>
                <w:color w:val="auto"/>
                <w:sz w:val="24"/>
                <w:lang w:eastAsia="zh-CN"/>
              </w:rPr>
              <w:t>消声</w:t>
            </w:r>
            <w:r>
              <w:rPr>
                <w:color w:val="auto"/>
                <w:sz w:val="24"/>
              </w:rPr>
              <w:t>、减震设施，实施封闭式或半封闭式操作，设置必要的围挡。</w:t>
            </w:r>
          </w:p>
          <w:p>
            <w:pPr>
              <w:spacing w:line="360" w:lineRule="auto"/>
              <w:ind w:firstLineChars="200" w:firstLine="480"/>
              <w:contextualSpacing/>
              <w:rPr>
                <w:color w:val="auto"/>
                <w:sz w:val="24"/>
              </w:rPr>
            </w:pPr>
            <w:r>
              <w:rPr>
                <w:color w:val="auto"/>
                <w:sz w:val="24"/>
              </w:rPr>
              <w:t>通过采取以上措施，可将施工期噪声降至最低，施工噪声对附近居民产生的影响会大大减轻，满足</w:t>
            </w:r>
            <w:r>
              <w:rPr>
                <w:rFonts w:hint="eastAsia"/>
                <w:color w:val="auto"/>
                <w:sz w:val="24"/>
              </w:rPr>
              <w:t>《建筑施工噪声排放标准》（GB 12523-2025）</w:t>
            </w:r>
            <w:r>
              <w:rPr>
                <w:color w:val="auto"/>
                <w:sz w:val="24"/>
              </w:rPr>
              <w:t>表1标准限值要求。</w:t>
            </w:r>
          </w:p>
          <w:p>
            <w:pPr>
              <w:spacing w:line="360" w:lineRule="auto"/>
              <w:ind w:firstLineChars="200" w:firstLine="480"/>
              <w:rPr>
                <w:color w:val="auto"/>
                <w:sz w:val="24"/>
                <w:szCs w:val="24"/>
              </w:rPr>
            </w:pPr>
            <w:r>
              <w:rPr>
                <w:color w:val="auto"/>
                <w:sz w:val="24"/>
                <w:szCs w:val="24"/>
              </w:rPr>
              <w:t>4、固体废弃物环境影响分析</w:t>
            </w:r>
          </w:p>
          <w:p>
            <w:pPr>
              <w:spacing w:line="360" w:lineRule="auto"/>
              <w:ind w:firstLineChars="200" w:firstLine="480"/>
              <w:rPr>
                <w:color w:val="auto"/>
                <w:sz w:val="24"/>
                <w:szCs w:val="24"/>
              </w:rPr>
            </w:pPr>
            <w:r>
              <w:rPr>
                <w:color w:val="auto"/>
                <w:sz w:val="24"/>
                <w:szCs w:val="24"/>
              </w:rPr>
              <w:t>施工期产生的固体废物主要为建筑垃圾和生活垃圾，均为一般固废。</w:t>
            </w:r>
          </w:p>
          <w:p>
            <w:pPr>
              <w:spacing w:line="360" w:lineRule="auto"/>
              <w:ind w:firstLineChars="200" w:firstLine="480"/>
              <w:rPr>
                <w:color w:val="auto"/>
                <w:sz w:val="24"/>
                <w:szCs w:val="24"/>
              </w:rPr>
            </w:pPr>
            <w:r>
              <w:rPr>
                <w:color w:val="auto"/>
                <w:sz w:val="24"/>
                <w:szCs w:val="24"/>
              </w:rPr>
              <w:t>对于在施工过程中产生的建筑垃圾，可回收废料如钢筋头、废木板等将尽量由施工单位回收利用，其他不可回收的建筑垃圾运至垃圾填埋场作填埋处理。</w:t>
            </w:r>
          </w:p>
          <w:p>
            <w:pPr>
              <w:spacing w:line="360" w:lineRule="auto"/>
              <w:ind w:firstLineChars="200" w:firstLine="480"/>
              <w:rPr>
                <w:color w:val="auto"/>
                <w:sz w:val="24"/>
                <w:szCs w:val="24"/>
              </w:rPr>
            </w:pPr>
            <w:r>
              <w:rPr>
                <w:color w:val="auto"/>
                <w:sz w:val="24"/>
                <w:szCs w:val="24"/>
              </w:rPr>
              <w:t>另外，施工人员还将产生一定量的生活垃圾，生活垃圾有专人清扫收集，用专用封闭车辆送至</w:t>
            </w:r>
            <w:r>
              <w:rPr>
                <w:rFonts w:hint="eastAsia"/>
                <w:color w:val="auto"/>
                <w:sz w:val="24"/>
                <w:szCs w:val="24"/>
                <w:lang w:val="en-US" w:eastAsia="zh-CN"/>
              </w:rPr>
              <w:t>环卫部门处置</w:t>
            </w:r>
            <w:r>
              <w:rPr>
                <w:color w:val="auto"/>
                <w:sz w:val="24"/>
                <w:szCs w:val="24"/>
              </w:rPr>
              <w:t>。</w:t>
            </w:r>
          </w:p>
          <w:p>
            <w:pPr>
              <w:spacing w:line="360" w:lineRule="auto"/>
              <w:ind w:firstLineChars="200" w:firstLine="480"/>
              <w:rPr>
                <w:color w:val="auto"/>
                <w:sz w:val="24"/>
                <w:szCs w:val="24"/>
              </w:rPr>
            </w:pPr>
            <w:r>
              <w:rPr>
                <w:color w:val="auto"/>
                <w:sz w:val="24"/>
                <w:szCs w:val="24"/>
              </w:rPr>
              <w:t>经采取上述防治措施后，施工期对周围环境的影响较小。施工期对周围环境的影响是局部的、暂时的、随着工程的建成完工而消失。固体废物的处理满足《一般工业固体废物贮存和填埋污染控制标准》（GB18599-2020）中相关要求规定。</w:t>
            </w:r>
          </w:p>
          <w:p>
            <w:pPr>
              <w:spacing w:line="360" w:lineRule="auto"/>
              <w:ind w:firstLineChars="200" w:firstLine="480"/>
              <w:rPr>
                <w:color w:val="auto"/>
                <w:sz w:val="24"/>
                <w:szCs w:val="24"/>
              </w:rPr>
            </w:pPr>
          </w:p>
          <w:p>
            <w:pPr>
              <w:spacing w:line="360" w:lineRule="auto"/>
              <w:ind w:firstLineChars="200" w:firstLine="480"/>
              <w:rPr>
                <w:color w:val="auto"/>
                <w:sz w:val="24"/>
                <w:szCs w:val="24"/>
              </w:rPr>
            </w:pPr>
          </w:p>
          <w:p>
            <w:pPr>
              <w:spacing w:line="360" w:lineRule="auto"/>
              <w:ind w:firstLineChars="200" w:firstLine="480"/>
              <w:rPr>
                <w:color w:val="auto"/>
                <w:sz w:val="24"/>
                <w:szCs w:val="24"/>
              </w:rPr>
            </w:pPr>
          </w:p>
          <w:p>
            <w:pPr>
              <w:spacing w:line="360" w:lineRule="auto"/>
              <w:ind w:firstLineChars="200" w:firstLine="480"/>
              <w:rPr>
                <w:color w:val="auto"/>
                <w:sz w:val="24"/>
                <w:szCs w:val="24"/>
              </w:rPr>
            </w:pPr>
          </w:p>
          <w:p>
            <w:pPr>
              <w:spacing w:line="360" w:lineRule="auto"/>
              <w:ind w:firstLineChars="200" w:firstLine="480"/>
              <w:rPr>
                <w:color w:val="auto"/>
                <w:sz w:val="24"/>
                <w:szCs w:val="24"/>
              </w:rPr>
            </w:pPr>
          </w:p>
          <w:p>
            <w:pPr>
              <w:spacing w:line="360" w:lineRule="auto"/>
              <w:ind w:firstLineChars="200" w:firstLine="480"/>
              <w:rPr>
                <w:color w:val="auto"/>
                <w:sz w:val="24"/>
                <w:szCs w:val="24"/>
              </w:rPr>
            </w:pPr>
          </w:p>
          <w:p>
            <w:pPr>
              <w:spacing w:line="360" w:lineRule="auto"/>
              <w:ind w:firstLineChars="200" w:firstLine="480"/>
              <w:rPr>
                <w:color w:val="auto"/>
                <w:sz w:val="24"/>
                <w:szCs w:val="24"/>
              </w:rPr>
            </w:pPr>
          </w:p>
        </w:tc>
      </w:tr>
      <w:tr>
        <w:trPr>
          <w:trHeight w:val="525"/>
        </w:trPr>
        <w:tc>
          <w:tcPr>
            <w:tcW w:w="621" w:type="dxa"/>
            <w:tcBorders>
              <w:tl2br w:val="nil"/>
              <w:tr2bl w:val="nil"/>
            </w:tcBorders>
            <w:tcMar>
              <w:left w:w="28"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Chars="0" w:firstLine="0"/>
              <w:jc w:val="center"/>
              <w:textAlignment w:val="auto"/>
              <w:rPr>
                <w:rFonts w:ascii="Times New Roman" w:hAnsi="Times New Roman"/>
                <w:color w:val="auto"/>
              </w:rPr>
            </w:pPr>
            <w:r>
              <w:rPr>
                <w:rFonts w:ascii="Times New Roman" w:hAnsi="Times New Roman"/>
                <w:color w:val="auto"/>
              </w:rPr>
              <w:t>运营期环境影响和保护措施</w:t>
            </w:r>
          </w:p>
        </w:tc>
        <w:tc>
          <w:tcPr>
            <w:tcW w:w="8360" w:type="dxa"/>
            <w:tcBorders>
              <w:tl2br w:val="nil"/>
              <w:tr2bl w:val="nil"/>
            </w:tcBorders>
            <w:vAlign w:val="center"/>
          </w:tcPr>
          <w:p>
            <w:pPr>
              <w:adjustRightInd w:val="0"/>
              <w:snapToGrid w:val="0"/>
              <w:spacing w:line="360" w:lineRule="auto"/>
              <w:ind w:firstLineChars="200" w:firstLine="480"/>
              <w:rPr>
                <w:rFonts w:eastAsia="宋体"/>
                <w:b/>
                <w:bCs/>
                <w:snapToGrid w:val="0"/>
                <w:color w:val="auto"/>
                <w:kern w:val="0"/>
                <w:sz w:val="24"/>
                <w:lang w:val="en-US" w:eastAsia="zh-CN"/>
              </w:rPr>
            </w:pPr>
            <w:r>
              <w:rPr>
                <w:rFonts w:hint="eastAsia"/>
                <w:b/>
                <w:bCs/>
                <w:snapToGrid w:val="0"/>
                <w:color w:val="auto"/>
                <w:kern w:val="0"/>
                <w:sz w:val="24"/>
                <w:lang w:val="en-US" w:eastAsia="zh-CN"/>
              </w:rPr>
              <w:t>一、废气</w:t>
            </w:r>
          </w:p>
          <w:p>
            <w:pPr>
              <w:adjustRightInd w:val="0"/>
              <w:snapToGrid w:val="0"/>
              <w:spacing w:line="360" w:lineRule="auto"/>
              <w:ind w:firstLineChars="200" w:firstLine="480"/>
              <w:rPr>
                <w:b/>
                <w:bCs/>
                <w:snapToGrid w:val="0"/>
                <w:color w:val="auto"/>
                <w:kern w:val="0"/>
                <w:sz w:val="24"/>
              </w:rPr>
            </w:pPr>
            <w:r>
              <w:rPr>
                <w:b/>
                <w:bCs/>
                <w:snapToGrid w:val="0"/>
                <w:color w:val="auto"/>
                <w:kern w:val="0"/>
                <w:sz w:val="24"/>
              </w:rPr>
              <w:t>1、</w:t>
            </w:r>
            <w:r>
              <w:rPr>
                <w:rFonts w:hint="eastAsia"/>
                <w:b/>
                <w:bCs/>
                <w:snapToGrid w:val="0"/>
                <w:color w:val="auto"/>
                <w:kern w:val="0"/>
                <w:sz w:val="24"/>
                <w:lang w:val="en-US" w:eastAsia="zh-CN"/>
              </w:rPr>
              <w:t>有组织</w:t>
            </w:r>
            <w:r>
              <w:rPr>
                <w:b/>
                <w:bCs/>
                <w:snapToGrid w:val="0"/>
                <w:color w:val="auto"/>
                <w:kern w:val="0"/>
                <w:sz w:val="24"/>
              </w:rPr>
              <w:t>废气</w:t>
            </w:r>
          </w:p>
          <w:p>
            <w:pPr>
              <w:bidi w:val="0"/>
              <w:rPr>
                <w:color w:val="auto"/>
                <w:lang w:val="en-US" w:eastAsia="zh-CN"/>
              </w:rPr>
            </w:pPr>
            <w:r>
              <w:rPr>
                <w:rFonts w:hint="eastAsia"/>
                <w:color w:val="auto"/>
                <w:lang w:val="en-US" w:eastAsia="zh-CN"/>
              </w:rPr>
              <w:t>本项目完成后全厂废气排放情况如下：</w:t>
            </w:r>
          </w:p>
          <w:p>
            <w:pPr>
              <w:bidi w:val="0"/>
              <w:rPr>
                <w:rFonts w:hint="eastAsia"/>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打码、热合封口、贴管、饮料灌装、检测实验室、食品添加剂生产、包装膜加热废气</w:t>
            </w:r>
          </w:p>
          <w:p>
            <w:pPr>
              <w:bidi w:val="0"/>
              <w:rPr>
                <w:rFonts w:hint="eastAsia"/>
                <w:color w:val="auto"/>
                <w:lang w:val="en-US" w:eastAsia="zh-CN"/>
              </w:rPr>
            </w:pPr>
            <w:r>
              <w:rPr>
                <w:rFonts w:hint="eastAsia"/>
                <w:color w:val="auto"/>
                <w:lang w:val="en-US" w:eastAsia="zh-CN"/>
              </w:rPr>
              <w:t>①打码废气</w:t>
            </w:r>
          </w:p>
          <w:p>
            <w:pPr>
              <w:bidi w:val="0"/>
              <w:rPr>
                <w:color w:val="auto"/>
                <w:lang w:val="en-US" w:eastAsia="zh-CN"/>
              </w:rPr>
            </w:pPr>
            <w:r>
              <w:rPr>
                <w:rFonts w:hint="eastAsia"/>
                <w:color w:val="auto"/>
                <w:lang w:val="en-US" w:eastAsia="zh-CN"/>
              </w:rPr>
              <w:t>根据油墨成分说明，油墨有机成分为20%，本次以最不利情况考虑，油墨中有机成分全部挥发来计算，现有工程油墨用量为0.1t/a，则非甲烷总烃产生量为0.02t/a。</w:t>
            </w:r>
          </w:p>
          <w:p>
            <w:pPr>
              <w:bidi w:val="0"/>
              <w:rPr>
                <w:color w:val="auto"/>
                <w:lang w:val="en-US" w:eastAsia="zh-CN"/>
              </w:rPr>
            </w:pPr>
            <w:r>
              <w:rPr>
                <w:rFonts w:hint="eastAsia"/>
                <w:color w:val="auto"/>
                <w:lang w:val="en-US" w:eastAsia="zh-CN"/>
              </w:rPr>
              <w:t>②热合封口废气</w:t>
            </w:r>
          </w:p>
          <w:p>
            <w:pPr>
              <w:bidi w:val="0"/>
              <w:rPr>
                <w:rFonts w:hint="eastAsia"/>
                <w:color w:val="auto"/>
                <w:lang w:val="en-US" w:eastAsia="zh-CN"/>
                <w:highlight w:val="none"/>
              </w:rPr>
            </w:pPr>
            <w:r>
              <w:rPr>
                <w:color w:val="auto"/>
                <w:lang w:val="en-US" w:eastAsia="zh-CN"/>
                <w:highlight w:val="none"/>
              </w:rPr>
              <w:t>本项目包装膜加热过程中会产生有机废气，参考《排放源统计调查产排污核算方法和系数手册》-2921塑料薄膜制造行业，非甲烷总烃产生系数为2.5kg/t，本项目产品需要</w:t>
            </w:r>
            <w:r>
              <w:rPr>
                <w:rFonts w:hint="eastAsia"/>
                <w:color w:val="auto"/>
                <w:lang w:val="en-US" w:eastAsia="zh-CN"/>
                <w:highlight w:val="none"/>
              </w:rPr>
              <w:t>加热的PE</w:t>
            </w:r>
            <w:r>
              <w:rPr>
                <w:color w:val="auto"/>
                <w:lang w:val="en-US" w:eastAsia="zh-CN"/>
                <w:highlight w:val="none"/>
              </w:rPr>
              <w:t>包装</w:t>
            </w:r>
            <w:r>
              <w:rPr>
                <w:rFonts w:hint="eastAsia"/>
                <w:color w:val="auto"/>
                <w:lang w:val="en-US" w:eastAsia="zh-CN"/>
                <w:highlight w:val="none"/>
              </w:rPr>
              <w:t>材料为10</w:t>
            </w:r>
            <w:r>
              <w:rPr>
                <w:color w:val="auto"/>
                <w:lang w:val="en-US" w:eastAsia="zh-CN"/>
                <w:highlight w:val="none"/>
              </w:rPr>
              <w:t>t/a，则非甲烷总烃产生量为</w:t>
            </w:r>
            <w:r>
              <w:rPr>
                <w:rFonts w:hint="eastAsia"/>
                <w:color w:val="auto"/>
                <w:lang w:val="en-US" w:eastAsia="zh-CN"/>
                <w:highlight w:val="none"/>
              </w:rPr>
              <w:t>0.025</w:t>
            </w:r>
            <w:r>
              <w:rPr>
                <w:color w:val="auto"/>
                <w:lang w:val="en-US" w:eastAsia="zh-CN"/>
                <w:highlight w:val="none"/>
              </w:rPr>
              <w:t>t/a</w:t>
            </w:r>
            <w:r>
              <w:rPr>
                <w:rFonts w:hint="eastAsia"/>
                <w:color w:val="auto"/>
                <w:lang w:val="en-US" w:eastAsia="zh-CN"/>
                <w:highlight w:val="none"/>
              </w:rPr>
              <w:t>。</w:t>
            </w:r>
          </w:p>
          <w:p>
            <w:pPr>
              <w:bidi w:val="0"/>
              <w:rPr>
                <w:color w:val="auto"/>
                <w:lang w:val="en-US" w:eastAsia="zh-CN"/>
                <w:highlight w:val="none"/>
              </w:rPr>
            </w:pPr>
            <w:r>
              <w:rPr>
                <w:color w:val="auto"/>
                <w:lang w:val="en-US" w:eastAsia="zh-CN"/>
                <w:highlight w:val="none"/>
              </w:rPr>
              <w:t>③</w:t>
            </w:r>
            <w:r>
              <w:rPr>
                <w:rFonts w:hint="eastAsia"/>
                <w:color w:val="auto"/>
                <w:lang w:val="en-US" w:eastAsia="zh-CN"/>
                <w:highlight w:val="none"/>
              </w:rPr>
              <w:t>PE</w:t>
            </w:r>
            <w:r>
              <w:rPr>
                <w:color w:val="auto"/>
                <w:lang w:val="en-US" w:eastAsia="zh-CN"/>
                <w:highlight w:val="none"/>
              </w:rPr>
              <w:t>包装膜加热废气</w:t>
            </w:r>
          </w:p>
          <w:p>
            <w:pPr>
              <w:bidi w:val="0"/>
              <w:rPr>
                <w:color w:val="auto"/>
                <w:lang w:val="en-US" w:eastAsia="zh-CN"/>
                <w:highlight w:val="none"/>
              </w:rPr>
            </w:pPr>
            <w:r>
              <w:rPr>
                <w:color w:val="auto"/>
                <w:lang w:val="en-US" w:eastAsia="zh-CN"/>
                <w:highlight w:val="none"/>
              </w:rPr>
              <w:t>本项目包装膜加热过程中会产生有机废气，</w:t>
            </w:r>
            <w:r>
              <w:rPr>
                <w:rFonts w:hint="eastAsia"/>
                <w:color w:val="auto"/>
                <w:lang w:val="en-US" w:eastAsia="zh-CN"/>
                <w:highlight w:val="none"/>
              </w:rPr>
              <w:t>参考《排放源统计调查产排污核算方法和系数手册》-2921塑料薄膜制造行业，非甲烷总烃产生系数为2.5kg/t，</w:t>
            </w:r>
            <w:r>
              <w:rPr>
                <w:color w:val="auto"/>
                <w:lang w:val="en-US" w:eastAsia="zh-CN"/>
                <w:highlight w:val="none"/>
              </w:rPr>
              <w:t>本项目产品需要加热的PE包装材料为</w:t>
            </w:r>
            <w:r>
              <w:rPr>
                <w:rFonts w:hint="eastAsia"/>
                <w:color w:val="auto"/>
                <w:lang w:val="en-US" w:eastAsia="zh-CN"/>
                <w:highlight w:val="none"/>
              </w:rPr>
              <w:t>1</w:t>
            </w:r>
            <w:r>
              <w:rPr>
                <w:color w:val="auto"/>
                <w:lang w:val="en-US" w:eastAsia="zh-CN"/>
                <w:highlight w:val="none"/>
              </w:rPr>
              <w:t>5t/a，则非甲烷总烃产生量为0.</w:t>
            </w:r>
            <w:r>
              <w:rPr>
                <w:rFonts w:hint="eastAsia"/>
                <w:color w:val="auto"/>
                <w:lang w:val="en-US" w:eastAsia="zh-CN"/>
                <w:highlight w:val="none"/>
              </w:rPr>
              <w:t>038</w:t>
            </w:r>
            <w:r>
              <w:rPr>
                <w:color w:val="auto"/>
                <w:lang w:val="en-US" w:eastAsia="zh-CN"/>
                <w:highlight w:val="none"/>
              </w:rPr>
              <w:t>t/a。</w:t>
            </w:r>
          </w:p>
          <w:p>
            <w:pPr>
              <w:bidi w:val="0"/>
              <w:rPr>
                <w:rFonts w:hint="eastAsia"/>
                <w:color w:val="auto"/>
                <w:lang w:val="en-US" w:eastAsia="zh-CN"/>
              </w:rPr>
            </w:pPr>
            <w:r>
              <w:rPr>
                <w:rFonts w:hint="eastAsia"/>
                <w:color w:val="auto"/>
                <w:lang w:val="en-US" w:eastAsia="zh-CN"/>
              </w:rPr>
              <w:t>④贴管废气</w:t>
            </w:r>
          </w:p>
          <w:p>
            <w:pPr>
              <w:bidi w:val="0"/>
              <w:rPr>
                <w:color w:val="auto"/>
                <w:lang w:val="en-US" w:eastAsia="zh-CN"/>
              </w:rPr>
            </w:pPr>
            <w:r>
              <w:rPr>
                <w:color w:val="auto"/>
                <w:lang w:val="en-US" w:eastAsia="zh-CN"/>
              </w:rPr>
              <w:t>本项目贴管过程中热熔胶加热熔化和挤出过程中会产生挥发性有机物废气，参考《排放源统计调查产排污核算方法和系数手册》中2927日用塑料制品制造行业系数表，挤出工序挥发性有机物产污系数为2.7kg/t-产品，项目热熔胶使用量为10t/a，则非甲烷总烃产生量为0.027t/a。</w:t>
            </w:r>
          </w:p>
          <w:p>
            <w:pPr>
              <w:bidi w:val="0"/>
              <w:rPr>
                <w:rFonts w:hint="eastAsia"/>
                <w:color w:val="auto"/>
                <w:lang w:val="en-US" w:eastAsia="zh-CN"/>
              </w:rPr>
            </w:pPr>
            <w:r>
              <w:rPr>
                <w:rFonts w:hint="eastAsia"/>
                <w:color w:val="auto"/>
                <w:lang w:val="en-US" w:eastAsia="zh-CN"/>
              </w:rPr>
              <w:t>⑤食品添加剂生产废气</w:t>
            </w:r>
          </w:p>
          <w:p>
            <w:pPr>
              <w:bidi w:val="0"/>
              <w:rPr>
                <w:rFonts w:hint="eastAsia"/>
                <w:color w:val="auto"/>
                <w:lang w:val="en-US" w:eastAsia="zh-CN"/>
              </w:rPr>
            </w:pPr>
            <w:r>
              <w:rPr>
                <w:rFonts w:hint="eastAsia"/>
                <w:color w:val="auto"/>
                <w:lang w:val="en-US" w:eastAsia="zh-CN"/>
              </w:rPr>
              <w:t>项目液体和乳化食品添加剂生产过程中会产生挥发性有机物废气。参考《排放源统计调查产排污核算方法和系数手册》-日用化学产品制造行业系数手册-香精挥发性有机物产污系数为250g/t产品，项目产能为300t/a，则非甲烷总烃产生量为0.075t/a。</w:t>
            </w:r>
          </w:p>
          <w:p>
            <w:pPr>
              <w:bidi w:val="0"/>
              <w:rPr>
                <w:rFonts w:hint="eastAsia"/>
                <w:color w:val="auto"/>
                <w:lang w:val="en-US" w:eastAsia="zh-CN"/>
              </w:rPr>
            </w:pPr>
            <w:r>
              <w:rPr>
                <w:rFonts w:hint="eastAsia"/>
                <w:color w:val="auto"/>
                <w:lang w:val="en-US" w:eastAsia="zh-CN"/>
              </w:rPr>
              <w:t>引用张欢等在《恶臭污染评价分级方法》中基于韦伯-费希纳公式所建立的臭气强度与臭气浓度的关系，将臭气强度6级法与我国《恶臭污染物排放标准》（GB14554-1993） 结合，该分级法以臭气强度的嗅觉感觉和实验经验为分级依据，对臭气浓度进行等级划分，提高了分级的准确程度臭气浓度在国际上通常根据嗅觉判别标准，将臭气强度划分为6级，臭气强度分级、恶臭浓度与臭气强度的关系分别见下表。</w:t>
            </w:r>
          </w:p>
          <w:p>
            <w:pPr>
              <w:pStyle w:val="24"/>
              <w:bidi w:val="0"/>
              <w:rPr>
                <w:rFonts w:hint="eastAsia"/>
                <w:color w:val="auto"/>
                <w:lang w:val="en-US" w:eastAsia="zh-CN"/>
              </w:rPr>
            </w:pPr>
            <w:r>
              <w:rPr>
                <w:rFonts w:hint="eastAsia"/>
                <w:color w:val="auto"/>
                <w:lang w:val="en-US" w:eastAsia="zh-CN"/>
              </w:rPr>
              <w:t>表4-1  臭气强度分级</w:t>
            </w:r>
          </w:p>
          <w:tbl>
            <w:tblPr>
              <w:jc w:val="left"/>
              <w:tblInd w:w="0" w:type="dxa"/>
              <w:tblW w:w="499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060"/>
              <w:gridCol w:w="4062"/>
            </w:tblGrid>
            <w:tr>
              <w:trPr>
                <w:trHeight w:val="23"/>
              </w:trPr>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强度等级</w:t>
                  </w:r>
                </w:p>
              </w:tc>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嗅觉判别标准</w:t>
                  </w:r>
                </w:p>
              </w:tc>
            </w:tr>
            <w:tr>
              <w:trPr>
                <w:trHeight w:val="23"/>
              </w:trPr>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无臭</w:t>
                  </w:r>
                </w:p>
              </w:tc>
            </w:tr>
            <w:tr>
              <w:trPr>
                <w:trHeight w:val="23"/>
              </w:trPr>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w:t>
                  </w:r>
                </w:p>
              </w:tc>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微有臭气感觉（仪器检知）</w:t>
                  </w:r>
                </w:p>
              </w:tc>
            </w:tr>
            <w:tr>
              <w:trPr>
                <w:trHeight w:val="23"/>
              </w:trPr>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w:t>
                  </w:r>
                </w:p>
              </w:tc>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略有臭味的感觉（嗅觉感知）</w:t>
                  </w:r>
                </w:p>
              </w:tc>
            </w:tr>
            <w:tr>
              <w:trPr>
                <w:trHeight w:val="23"/>
              </w:trPr>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3</w:t>
                  </w:r>
                </w:p>
              </w:tc>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臭味明显</w:t>
                  </w:r>
                </w:p>
              </w:tc>
            </w:tr>
            <w:tr>
              <w:trPr>
                <w:trHeight w:val="23"/>
              </w:trPr>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4</w:t>
                  </w:r>
                </w:p>
              </w:tc>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臭气较强</w:t>
                  </w:r>
                </w:p>
              </w:tc>
            </w:tr>
            <w:tr>
              <w:trPr>
                <w:trHeight w:val="23"/>
              </w:trPr>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5</w:t>
                  </w:r>
                </w:p>
              </w:tc>
              <w:tc>
                <w:tcPr>
                  <w:tcW w:w="1000" w:type="dxa"/>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强烈恶臭</w:t>
                  </w:r>
                </w:p>
              </w:tc>
            </w:tr>
          </w:tbl>
          <w:p>
            <w:pPr>
              <w:pStyle w:val="24"/>
              <w:bidi w:val="0"/>
              <w:rPr>
                <w:rFonts w:hint="eastAsia"/>
                <w:color w:val="auto"/>
                <w:lang w:val="en-US" w:eastAsia="zh-CN"/>
              </w:rPr>
            </w:pPr>
            <w:r>
              <w:rPr>
                <w:rFonts w:hint="eastAsia"/>
                <w:color w:val="auto"/>
                <w:lang w:val="en-US" w:eastAsia="zh-CN"/>
              </w:rPr>
              <w:t>表4-2  恶臭污染程度初步划分</w:t>
            </w:r>
          </w:p>
          <w:tbl>
            <w:tblPr>
              <w:jc w:val="center"/>
              <w:tblW w:w="499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058"/>
              <w:gridCol w:w="4063"/>
            </w:tblGrid>
            <w:tr>
              <w:trPr>
                <w:trHeight w:val="23"/>
              </w:trPr>
              <w:tc>
                <w:tcPr>
                  <w:tcW w:w="2498"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强度等级</w:t>
                  </w:r>
                </w:p>
              </w:tc>
              <w:tc>
                <w:tcPr>
                  <w:tcW w:w="2501"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臭气浓度（无量纲）</w:t>
                  </w:r>
                </w:p>
              </w:tc>
            </w:tr>
            <w:tr>
              <w:trPr>
                <w:trHeight w:val="23"/>
              </w:trPr>
              <w:tc>
                <w:tcPr>
                  <w:tcW w:w="2498"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2501"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0~10</w:t>
                  </w:r>
                </w:p>
              </w:tc>
            </w:tr>
            <w:tr>
              <w:trPr>
                <w:trHeight w:val="23"/>
              </w:trPr>
              <w:tc>
                <w:tcPr>
                  <w:tcW w:w="2498"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0~3</w:t>
                  </w:r>
                </w:p>
              </w:tc>
              <w:tc>
                <w:tcPr>
                  <w:tcW w:w="2501"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10~100</w:t>
                  </w:r>
                </w:p>
              </w:tc>
            </w:tr>
            <w:tr>
              <w:trPr>
                <w:trHeight w:val="23"/>
              </w:trPr>
              <w:tc>
                <w:tcPr>
                  <w:tcW w:w="2498"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3~4</w:t>
                  </w:r>
                </w:p>
              </w:tc>
              <w:tc>
                <w:tcPr>
                  <w:tcW w:w="2501"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100~300</w:t>
                  </w:r>
                </w:p>
              </w:tc>
            </w:tr>
            <w:tr>
              <w:trPr>
                <w:trHeight w:val="23"/>
              </w:trPr>
              <w:tc>
                <w:tcPr>
                  <w:tcW w:w="2498"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4~5</w:t>
                  </w:r>
                </w:p>
              </w:tc>
              <w:tc>
                <w:tcPr>
                  <w:tcW w:w="2501"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300~600</w:t>
                  </w:r>
                </w:p>
              </w:tc>
            </w:tr>
            <w:tr>
              <w:trPr>
                <w:trHeight w:val="23"/>
              </w:trPr>
              <w:tc>
                <w:tcPr>
                  <w:tcW w:w="2498"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≥5</w:t>
                  </w:r>
                </w:p>
              </w:tc>
              <w:tc>
                <w:tcPr>
                  <w:tcW w:w="2501" w:type="pct"/>
                  <w:tcBorders>
                    <w:tl2br w:val="nil"/>
                    <w:tr2bl w:val="nil"/>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≥600</w:t>
                  </w:r>
                </w:p>
              </w:tc>
            </w:tr>
          </w:tbl>
          <w:p>
            <w:pPr>
              <w:bidi w:val="0"/>
              <w:rPr>
                <w:rFonts w:hint="eastAsia"/>
                <w:color w:val="auto"/>
                <w:lang w:val="en-US" w:eastAsia="zh-CN"/>
              </w:rPr>
            </w:pPr>
            <w:r>
              <w:rPr>
                <w:rFonts w:hint="eastAsia"/>
                <w:color w:val="auto"/>
                <w:lang w:val="en-US" w:eastAsia="zh-CN"/>
              </w:rPr>
              <w:t>根据上表格，项目臭气浓度对应臭气强度分级为4级的阈值范围，当臭气强度为4~5级时，臭气浓度范围300~600，本次以臭气浓度600（无量纲）进行计算。</w:t>
            </w:r>
          </w:p>
          <w:p>
            <w:pPr>
              <w:bidi w:val="0"/>
              <w:rPr>
                <w:rFonts w:hint="eastAsia"/>
                <w:color w:val="auto"/>
                <w:lang w:val="en-US" w:eastAsia="zh-CN"/>
              </w:rPr>
            </w:pPr>
            <w:r>
              <w:rPr>
                <w:rFonts w:hint="eastAsia"/>
                <w:color w:val="auto"/>
                <w:lang w:val="en-US" w:eastAsia="zh-CN"/>
              </w:rPr>
              <w:t>⑥饮料灌装废气</w:t>
            </w:r>
          </w:p>
          <w:p>
            <w:pPr>
              <w:bidi w:val="0"/>
              <w:rPr>
                <w:color w:val="auto"/>
                <w:lang w:val="en-US" w:eastAsia="zh-CN"/>
              </w:rPr>
            </w:pPr>
            <w:r>
              <w:rPr>
                <w:rFonts w:hint="eastAsia"/>
                <w:color w:val="auto"/>
                <w:lang w:val="en-US" w:eastAsia="zh-CN"/>
              </w:rPr>
              <w:t>饮料生产过程中会添加具有挥发性的食品添加剂，参考《排放源统计调查产排污核算方法和系数手册》-日用化学产品制造行业系数手册-香精挥发性有机物产污系数为250g/t产品，饮料生产过程中食品添加剂用量为2t，则非甲烷总烃产生量为0.0005t。</w:t>
            </w:r>
          </w:p>
          <w:p>
            <w:pPr>
              <w:bidi w:val="0"/>
              <w:rPr>
                <w:rFonts w:hint="eastAsia"/>
                <w:color w:val="auto"/>
                <w:lang w:val="en-US" w:eastAsia="zh-CN"/>
              </w:rPr>
            </w:pPr>
            <w:r>
              <w:rPr>
                <w:rFonts w:hint="eastAsia"/>
                <w:color w:val="auto"/>
                <w:lang w:val="en-US" w:eastAsia="zh-CN"/>
              </w:rPr>
              <w:t>灌装过程中散出的异味参照表4-1、4-2，项目臭气浓度对应臭气强度分级为3级的阈值范围，当臭气强度为3~4级时，臭气浓度范围100~300，本次以臭气浓度300（无量纲）进行计算。</w:t>
            </w:r>
          </w:p>
          <w:p>
            <w:pPr>
              <w:bidi w:val="0"/>
              <w:rPr>
                <w:rFonts w:hint="eastAsia"/>
                <w:color w:val="auto"/>
                <w:lang w:val="en-US" w:eastAsia="zh-CN"/>
              </w:rPr>
            </w:pPr>
            <w:r>
              <w:rPr>
                <w:rFonts w:hint="eastAsia"/>
                <w:color w:val="auto"/>
                <w:lang w:val="en-US" w:eastAsia="zh-CN"/>
              </w:rPr>
              <w:t>⑦检测实验室废气</w:t>
            </w:r>
          </w:p>
          <w:p>
            <w:pPr>
              <w:bidi w:val="0"/>
              <w:rPr>
                <w:rFonts w:hint="eastAsia"/>
                <w:color w:val="auto"/>
                <w:lang w:eastAsia="zh-CN"/>
              </w:rPr>
            </w:pPr>
            <w:r>
              <w:rPr>
                <w:rFonts w:hint="eastAsia"/>
                <w:color w:val="auto"/>
                <w:lang w:val="en-US" w:eastAsia="zh-CN"/>
              </w:rPr>
              <w:t>废气主要为实验室中会挥发的药剂在存放和使用过程中产生的废气，实验室中会挥发的药剂为无水乙醇、石油醚（30-60），因此</w:t>
            </w:r>
            <w:r>
              <w:rPr>
                <w:rFonts w:hint="eastAsia"/>
                <w:color w:val="auto"/>
                <w:lang w:eastAsia="zh-CN"/>
              </w:rPr>
              <w:t>实验废气污染物主要为非甲烷总烃。</w:t>
            </w:r>
          </w:p>
          <w:p>
            <w:pPr>
              <w:bidi w:val="0"/>
              <w:rPr>
                <w:rFonts w:hint="eastAsia"/>
                <w:color w:val="auto"/>
                <w:lang w:val="en-US" w:eastAsia="zh-CN"/>
              </w:rPr>
            </w:pPr>
            <w:r>
              <w:rPr>
                <w:rFonts w:hint="eastAsia"/>
                <w:color w:val="auto"/>
                <w:lang w:eastAsia="zh-CN"/>
              </w:rPr>
              <w:t>本次废气的产生量按最不利的情况（</w:t>
            </w:r>
            <w:r>
              <w:rPr>
                <w:rFonts w:hint="eastAsia"/>
                <w:color w:val="auto"/>
                <w:lang w:val="en-US" w:eastAsia="zh-CN"/>
              </w:rPr>
              <w:t>全部挥发</w:t>
            </w:r>
            <w:r>
              <w:rPr>
                <w:rFonts w:hint="eastAsia"/>
                <w:color w:val="auto"/>
                <w:lang w:eastAsia="zh-CN"/>
              </w:rPr>
              <w:t>）</w:t>
            </w:r>
            <w:r>
              <w:rPr>
                <w:rFonts w:hint="eastAsia"/>
                <w:color w:val="auto"/>
                <w:lang w:val="en-US" w:eastAsia="zh-CN"/>
              </w:rPr>
              <w:t>计算</w:t>
            </w:r>
            <w:r>
              <w:rPr>
                <w:rFonts w:hint="eastAsia"/>
                <w:color w:val="auto"/>
                <w:lang w:eastAsia="zh-CN"/>
              </w:rPr>
              <w:t>，</w:t>
            </w:r>
            <w:r>
              <w:rPr>
                <w:rFonts w:hint="eastAsia"/>
                <w:color w:val="auto"/>
                <w:lang w:val="en-US" w:eastAsia="zh-CN"/>
              </w:rPr>
              <w:t>各污染物产生量如下表。</w:t>
            </w:r>
          </w:p>
          <w:p>
            <w:pPr>
              <w:pStyle w:val="24"/>
              <w:bidi w:val="0"/>
              <w:rPr>
                <w:color w:val="auto"/>
                <w:lang w:val="en-US" w:eastAsia="zh-CN"/>
              </w:rPr>
            </w:pPr>
            <w:r>
              <w:rPr>
                <w:color w:val="auto"/>
                <w:lang w:val="en-US" w:eastAsia="zh-CN"/>
              </w:rPr>
              <w:t>表4-</w:t>
            </w:r>
            <w:r>
              <w:rPr>
                <w:rFonts w:hint="eastAsia"/>
                <w:color w:val="auto"/>
                <w:lang w:val="en-US" w:eastAsia="zh-CN"/>
              </w:rPr>
              <w:t>3</w:t>
            </w:r>
            <w:r>
              <w:rPr>
                <w:color w:val="auto"/>
                <w:lang w:val="en-US" w:eastAsia="zh-CN"/>
              </w:rPr>
              <w:t xml:space="preserve">  挥发量情况表</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155"/>
              <w:gridCol w:w="1525"/>
              <w:gridCol w:w="989"/>
              <w:gridCol w:w="1159"/>
              <w:gridCol w:w="1259"/>
              <w:gridCol w:w="1039"/>
            </w:tblGrid>
            <w:tr>
              <w:tc>
                <w:tcPr>
                  <w:tcW w:w="1325" w:type="pct"/>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名称</w:t>
                  </w:r>
                </w:p>
              </w:tc>
              <w:tc>
                <w:tcPr>
                  <w:tcW w:w="938" w:type="pct"/>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污染物</w:t>
                  </w:r>
                </w:p>
              </w:tc>
              <w:tc>
                <w:tcPr>
                  <w:tcW w:w="608" w:type="pct"/>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使用量</w:t>
                  </w:r>
                </w:p>
              </w:tc>
              <w:tc>
                <w:tcPr>
                  <w:tcW w:w="713" w:type="pct"/>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密度</w:t>
                  </w:r>
                </w:p>
              </w:tc>
              <w:tc>
                <w:tcPr>
                  <w:tcW w:w="774" w:type="pct"/>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纯物质量</w:t>
                  </w:r>
                </w:p>
              </w:tc>
              <w:tc>
                <w:tcPr>
                  <w:tcW w:w="639" w:type="pct"/>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产生量</w:t>
                  </w:r>
                </w:p>
              </w:tc>
            </w:tr>
            <w:tr>
              <w:tc>
                <w:tcPr>
                  <w:tcW w:w="1325" w:type="pct"/>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无水乙醇</w:t>
                  </w:r>
                </w:p>
              </w:tc>
              <w:tc>
                <w:tcPr>
                  <w:tcW w:w="938" w:type="pct"/>
                  <w:vMerge w:val="restart"/>
                  <w:tcBorders>
                    <w:left w:val="single" w:sz="4" w:space="0" w:color="auto"/>
                  </w:tcBorders>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非甲烷总烃</w:t>
                  </w:r>
                </w:p>
              </w:tc>
              <w:tc>
                <w:tcPr>
                  <w:tcW w:w="608" w:type="pct"/>
                  <w:tcBorders>
                    <w:left w:val="single" w:sz="4" w:space="0" w:color="auto"/>
                  </w:tcBorders>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5000g</w:t>
                  </w:r>
                </w:p>
              </w:tc>
              <w:tc>
                <w:tcPr>
                  <w:tcW w:w="713" w:type="pct"/>
                  <w:tcBorders>
                    <w:left w:val="single" w:sz="4" w:space="0" w:color="auto"/>
                  </w:tcBorders>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w:t>
                  </w:r>
                </w:p>
              </w:tc>
              <w:tc>
                <w:tcPr>
                  <w:tcW w:w="774" w:type="pct"/>
                  <w:tcBorders>
                    <w:left w:val="single" w:sz="4" w:space="0" w:color="auto"/>
                  </w:tcBorders>
                  <w:shd w:val="clear" w:color="auto" w:fill="auto"/>
                  <w:vAlign w:val="center"/>
                </w:tcPr>
                <w:p>
                  <w:pPr>
                    <w:pStyle w:val="25"/>
                    <w:tabs>
                      <w:tab w:val="left" w:pos="1680"/>
                      <w:tab w:val="left" w:pos="3465"/>
                    </w:tabs>
                    <w:bidi w:val="0"/>
                    <w:ind w:left="0" w:right="0" w:firstLine="0"/>
                    <w:jc w:val="center"/>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5000g</w:t>
                  </w:r>
                </w:p>
              </w:tc>
              <w:tc>
                <w:tcPr>
                  <w:tcW w:w="639" w:type="pct"/>
                  <w:vMerge w:val="restart"/>
                  <w:tcBorders>
                    <w:left w:val="single" w:sz="4" w:space="0" w:color="auto"/>
                  </w:tcBorders>
                  <w:vAlign w:val="center"/>
                </w:tcPr>
                <w:p>
                  <w:pPr>
                    <w:pStyle w:val="25"/>
                    <w:tabs>
                      <w:tab w:val="left" w:pos="1680"/>
                      <w:tab w:val="left" w:pos="3465"/>
                    </w:tabs>
                    <w:bidi w:val="0"/>
                    <w:ind w:left="0" w:right="0" w:firstLine="0"/>
                    <w:jc w:val="center"/>
                    <w:rPr>
                      <w:color w:val="auto"/>
                      <w:lang w:val="en-US" w:eastAsia="zh-CN"/>
                    </w:rPr>
                  </w:pPr>
                  <w:r>
                    <w:rPr>
                      <w:rFonts w:hint="eastAsia"/>
                      <w:color w:val="auto"/>
                      <w:lang w:eastAsia="zh-CN"/>
                    </w:rPr>
                    <w:t>0.013</w:t>
                  </w:r>
                  <w:r>
                    <w:rPr>
                      <w:rFonts w:hint="eastAsia"/>
                      <w:color w:val="auto"/>
                      <w:lang w:val="en-US" w:eastAsia="zh-CN"/>
                    </w:rPr>
                    <w:t>t/a</w:t>
                  </w:r>
                </w:p>
              </w:tc>
            </w:tr>
            <w:tr>
              <w:tc>
                <w:tcPr>
                  <w:tcW w:w="1325" w:type="pct"/>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石油醚（30-60）</w:t>
                  </w:r>
                </w:p>
              </w:tc>
              <w:tc>
                <w:tcPr>
                  <w:tcW w:w="938" w:type="pct"/>
                  <w:vMerge/>
                  <w:tcBorders>
                    <w:left w:val="single" w:sz="4" w:space="0" w:color="auto"/>
                  </w:tcBorders>
                  <w:vAlign w:val="center"/>
                </w:tcPr>
                <w:p/>
              </w:tc>
              <w:tc>
                <w:tcPr>
                  <w:tcW w:w="608" w:type="pct"/>
                  <w:tcBorders>
                    <w:left w:val="single" w:sz="4" w:space="0" w:color="auto"/>
                  </w:tcBorders>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8000g</w:t>
                  </w:r>
                </w:p>
              </w:tc>
              <w:tc>
                <w:tcPr>
                  <w:tcW w:w="713" w:type="pct"/>
                  <w:tcBorders>
                    <w:left w:val="single" w:sz="4" w:space="0" w:color="auto"/>
                  </w:tcBorders>
                  <w:vAlign w:val="center"/>
                </w:tcPr>
                <w:p>
                  <w:pPr>
                    <w:pStyle w:val="25"/>
                    <w:tabs>
                      <w:tab w:val="left" w:pos="1680"/>
                      <w:tab w:val="left" w:pos="3465"/>
                    </w:tabs>
                    <w:bidi w:val="0"/>
                    <w:ind w:left="0" w:right="0" w:firstLine="0"/>
                    <w:jc w:val="center"/>
                    <w:rPr>
                      <w:color w:val="auto"/>
                      <w:lang w:val="en-US" w:eastAsia="zh-CN"/>
                    </w:rPr>
                  </w:pPr>
                  <w:r>
                    <w:rPr>
                      <w:rFonts w:hint="eastAsia"/>
                      <w:color w:val="auto"/>
                      <w:lang w:val="en-US" w:eastAsia="zh-CN"/>
                    </w:rPr>
                    <w:t>/</w:t>
                  </w:r>
                </w:p>
              </w:tc>
              <w:tc>
                <w:tcPr>
                  <w:tcW w:w="774" w:type="pct"/>
                  <w:tcBorders>
                    <w:left w:val="single" w:sz="4" w:space="0" w:color="auto"/>
                  </w:tcBorders>
                  <w:shd w:val="clear" w:color="auto" w:fill="auto"/>
                  <w:vAlign w:val="center"/>
                </w:tcPr>
                <w:p>
                  <w:pPr>
                    <w:pStyle w:val="25"/>
                    <w:tabs>
                      <w:tab w:val="left" w:pos="1680"/>
                      <w:tab w:val="left" w:pos="3465"/>
                    </w:tabs>
                    <w:bidi w:val="0"/>
                    <w:ind w:left="0" w:right="0" w:firstLine="0"/>
                    <w:jc w:val="center"/>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8000g</w:t>
                  </w:r>
                </w:p>
              </w:tc>
              <w:tc>
                <w:tcPr>
                  <w:tcW w:w="639" w:type="pct"/>
                  <w:vMerge/>
                  <w:tcBorders>
                    <w:left w:val="single" w:sz="4" w:space="0" w:color="auto"/>
                  </w:tcBorders>
                  <w:vAlign w:val="center"/>
                </w:tcPr>
                <w:p/>
              </w:tc>
            </w:tr>
          </w:tbl>
          <w:p>
            <w:pPr>
              <w:bidi w:val="0"/>
              <w:rPr>
                <w:rFonts w:hint="eastAsia"/>
                <w:color w:val="auto"/>
                <w:lang w:val="en-US" w:eastAsia="zh-CN"/>
              </w:rPr>
            </w:pPr>
            <w:r>
              <w:rPr>
                <w:rFonts w:hint="eastAsia"/>
                <w:color w:val="auto"/>
                <w:lang w:val="en-US" w:eastAsia="zh-CN"/>
              </w:rPr>
              <w:t>检测实验室非甲烷总烃产生量为0.013t/a。</w:t>
            </w:r>
          </w:p>
          <w:p>
            <w:pPr>
              <w:bidi w:val="0"/>
              <w:rPr>
                <w:rFonts w:hint="eastAsia"/>
                <w:color w:val="auto"/>
                <w:lang w:val="en-US" w:eastAsia="zh-CN"/>
              </w:rPr>
            </w:pPr>
            <w:r>
              <w:rPr>
                <w:rFonts w:hint="eastAsia"/>
                <w:color w:val="auto"/>
                <w:lang w:val="en-US" w:eastAsia="zh-CN"/>
              </w:rPr>
              <w:t>热合封口、食品添加剂生产、饮料灌装废气收集方式为中央换气系统收集，液体、乳化剂食品添加剂和饮料生产区域面积约为800㎡，生产区高度为2.5m，设计每小时换气5次，则需风机为10000m³/h；</w:t>
            </w:r>
          </w:p>
          <w:p>
            <w:pPr>
              <w:bidi w:val="0"/>
              <w:rPr>
                <w:rFonts w:hint="eastAsia"/>
                <w:color w:val="auto"/>
                <w:lang w:eastAsia="zh-CN"/>
              </w:rPr>
            </w:pPr>
            <w:r>
              <w:rPr>
                <w:rFonts w:hint="eastAsia"/>
                <w:color w:val="auto"/>
                <w:lang w:val="en-US" w:eastAsia="zh-CN"/>
              </w:rPr>
              <w:t>打码、贴管、包装膜加热废气，通过集气罩收集，在贴管机、喷码机、自动包装线上方共设置3个集气罩，每个集气罩面积为2㎡，集气罩</w:t>
            </w:r>
            <w:r>
              <w:rPr>
                <w:rFonts w:hint="eastAsia"/>
                <w:color w:val="auto"/>
                <w:lang w:eastAsia="zh-CN"/>
              </w:rPr>
              <w:t>控制风速为</w:t>
            </w:r>
            <w:r>
              <w:rPr>
                <w:rFonts w:hint="eastAsia"/>
                <w:color w:val="auto"/>
                <w:lang w:val="en-US" w:eastAsia="zh-CN"/>
              </w:rPr>
              <w:t>0.3</w:t>
            </w:r>
            <w:r>
              <w:rPr>
                <w:rFonts w:hint="eastAsia"/>
                <w:color w:val="auto"/>
                <w:lang w:eastAsia="zh-CN"/>
              </w:rPr>
              <w:t>m/s，根据《排风罩的分类及技术条件》（GB/T16758-2008），排风罩风量计算公式如下：</w:t>
            </w:r>
          </w:p>
          <w:p>
            <w:pPr>
              <w:bidi w:val="0"/>
              <w:rPr>
                <w:rFonts w:hint="eastAsia"/>
                <w:color w:val="auto"/>
                <w:lang w:val="en-US" w:eastAsia="zh-CN"/>
              </w:rPr>
            </w:pPr>
            <w:r>
              <w:rPr>
                <w:rFonts w:hint="eastAsia"/>
                <w:color w:val="auto"/>
                <w:lang w:val="en-US" w:eastAsia="zh-CN"/>
              </w:rPr>
              <w:t>Q=F×v×3600</w:t>
            </w:r>
          </w:p>
          <w:p>
            <w:pPr>
              <w:bidi w:val="0"/>
              <w:rPr>
                <w:rFonts w:hint="eastAsia"/>
                <w:color w:val="auto"/>
                <w:lang w:eastAsia="zh-CN"/>
              </w:rPr>
            </w:pPr>
            <w:r>
              <w:rPr>
                <w:rFonts w:hint="eastAsia"/>
                <w:color w:val="auto"/>
                <w:lang w:eastAsia="zh-CN"/>
              </w:rPr>
              <w:t>式中：</w:t>
            </w:r>
          </w:p>
          <w:p>
            <w:pPr>
              <w:bidi w:val="0"/>
              <w:rPr>
                <w:rFonts w:hint="eastAsia"/>
                <w:color w:val="auto"/>
                <w:lang w:eastAsia="zh-CN"/>
              </w:rPr>
            </w:pPr>
            <w:r>
              <w:rPr>
                <w:rFonts w:hint="eastAsia"/>
                <w:color w:val="auto"/>
                <w:lang w:eastAsia="zh-CN"/>
              </w:rPr>
              <w:t>Q--排风罩的排风量，m³/s；</w:t>
            </w:r>
          </w:p>
          <w:p>
            <w:pPr>
              <w:bidi w:val="0"/>
              <w:rPr>
                <w:rFonts w:hint="eastAsia"/>
                <w:color w:val="auto"/>
                <w:lang w:eastAsia="zh-CN"/>
              </w:rPr>
            </w:pPr>
            <w:r>
              <w:rPr>
                <w:rFonts w:hint="eastAsia"/>
                <w:color w:val="auto"/>
                <w:lang w:eastAsia="zh-CN"/>
              </w:rPr>
              <w:t>F--排风罩罩口面积，㎡；</w:t>
            </w:r>
          </w:p>
          <w:p>
            <w:pPr>
              <w:bidi w:val="0"/>
              <w:rPr>
                <w:rFonts w:hint="eastAsia"/>
                <w:color w:val="auto"/>
                <w:lang w:eastAsia="zh-CN"/>
              </w:rPr>
            </w:pPr>
            <w:r>
              <w:rPr>
                <w:rFonts w:hint="eastAsia"/>
                <w:color w:val="auto"/>
                <w:lang w:eastAsia="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filled="f" style="width:12.0pt;height:12.0pt;" o:ole="">
                  <v:imagedata r:id="rId16" o:title="image12"/>
                  <o:lock aspectratio="t"/>
                  <w10:anchorLock/>
                </v:shape>
                <o:OLEObject Type="Embed" ProgID="Equation.DSMT4" ShapeID="_x0000_i1025" DrawAspect="Content" ObjectID="_1393063351" r:id="rId17"/>
              </w:object>
            </w:r>
            <w:r>
              <w:rPr>
                <w:rFonts w:hint="eastAsia"/>
                <w:color w:val="auto"/>
                <w:lang w:eastAsia="zh-CN"/>
              </w:rPr>
              <w:t>--排风罩罩口平均风速，m/s。</w:t>
            </w:r>
          </w:p>
          <w:p>
            <w:pPr>
              <w:bidi w:val="0"/>
              <w:rPr>
                <w:color w:val="auto"/>
                <w:lang w:val="en-US" w:eastAsia="zh-CN"/>
              </w:rPr>
            </w:pPr>
            <w:r>
              <w:rPr>
                <w:rFonts w:hint="eastAsia"/>
                <w:color w:val="auto"/>
                <w:lang w:val="en-US" w:eastAsia="zh-CN"/>
              </w:rPr>
              <w:t>则喷码、贴管、包装膜加热工序废气所需风量为3×2㎡×0.3m/s×3600=6480m³/h。</w:t>
            </w:r>
          </w:p>
          <w:p>
            <w:pPr>
              <w:bidi w:val="0"/>
              <w:rPr>
                <w:color w:val="auto"/>
                <w:lang w:val="en-US" w:eastAsia="zh-CN"/>
              </w:rPr>
            </w:pPr>
            <w:r>
              <w:rPr>
                <w:rFonts w:hint="eastAsia"/>
                <w:color w:val="auto"/>
                <w:lang w:val="en-US" w:eastAsia="zh-CN"/>
              </w:rPr>
              <w:t>检测实验室内设置4个万向集气罩，单个集气罩面积为0.1㎡，控制风速为0.3m/s，根据上文公式计算，风量为4×0.1㎡×0.3m/s×3600=432m³/h，实验室配备通风橱2个，单个风量500m³/h，超净工作台1个，风量为1000m³/h</w:t>
            </w:r>
          </w:p>
          <w:p>
            <w:pPr>
              <w:bidi w:val="0"/>
              <w:rPr>
                <w:color w:val="auto"/>
                <w:lang w:val="en-US" w:eastAsia="zh-CN"/>
              </w:rPr>
            </w:pPr>
            <w:r>
              <w:rPr>
                <w:rFonts w:hint="eastAsia"/>
                <w:color w:val="auto"/>
                <w:lang w:val="en-US" w:eastAsia="zh-CN"/>
              </w:rPr>
              <w:t>综上打码、热合封口、贴管、饮料灌装、检测实验室、食品添加剂生产、包装膜加热废气总所需风量为10000m³/h+6480m³/h+432m³/h+500m³/h×2+1000m³/h=18912m³//h，因此，设计风量为20000m³/h的风机，能够满足需要。</w:t>
            </w:r>
          </w:p>
          <w:p>
            <w:pPr>
              <w:bidi w:val="0"/>
              <w:rPr>
                <w:color w:val="auto"/>
                <w:lang w:val="en-US" w:eastAsia="zh-CN"/>
              </w:rPr>
            </w:pPr>
            <w:r>
              <w:rPr>
                <w:rFonts w:hint="eastAsia"/>
                <w:color w:val="auto"/>
                <w:lang w:val="en-US" w:eastAsia="zh-CN"/>
              </w:rPr>
              <w:t>热合封口、食品添加剂生产、饮料灌装废气收集方式为中央换气系统收集（收集效率为100%），打码、贴管、包装膜加热采用集气罩收集（收集效率90%），检测实验室废气通过通风橱和集气罩收集（收集效率90%），收集的非甲烷总烃量为（0.02+0.038+0.027+0.013）×90%+0.025+0.075+0.0005=0.189t/a。</w:t>
            </w:r>
          </w:p>
          <w:p>
            <w:pPr>
              <w:bidi w:val="0"/>
              <w:rPr>
                <w:color w:val="auto"/>
                <w:lang w:val="en-US" w:eastAsia="zh-CN"/>
              </w:rPr>
            </w:pPr>
            <w:r>
              <w:rPr>
                <w:rFonts w:hint="eastAsia"/>
                <w:color w:val="auto"/>
                <w:lang w:val="en-US" w:eastAsia="zh-CN"/>
              </w:rPr>
              <w:t>有组织非甲烷总烃产生量为0.189t/a，臭气浓度600（无量纲），废气收集后经干式过滤+两级活性炭吸附装置处理（一级处理效率30%，二级处理效率20%，综合处理效率约40%），有组织非甲烷总烃排放量为0.113t/a，有组织排放速率0.05kg/h，有组织排放浓度</w:t>
            </w:r>
            <w:r>
              <w:rPr>
                <w:rFonts w:cs="Times New Roman" w:hint="eastAsia"/>
                <w:color w:val="auto"/>
                <w:lang w:val="en-US" w:eastAsia="zh-CN"/>
              </w:rPr>
              <w:t>2.36</w:t>
            </w:r>
            <w:r>
              <w:rPr>
                <w:rFonts w:ascii="Times New Roman" w:cs="Times New Roman" w:hAnsi="Times New Roman"/>
                <w:color w:val="auto"/>
                <w:lang w:val="en-US" w:eastAsia="zh-CN"/>
              </w:rPr>
              <w:t>mg/m³</w:t>
            </w:r>
            <w:r>
              <w:rPr>
                <w:rFonts w:hint="eastAsia"/>
                <w:color w:val="auto"/>
                <w:lang w:val="en-US" w:eastAsia="zh-CN"/>
              </w:rPr>
              <w:t>；有组织排放臭气浓度360（无量纲）。</w:t>
            </w:r>
          </w:p>
          <w:p>
            <w:pPr>
              <w:bidi w:val="0"/>
              <w:rPr>
                <w:rFonts w:hint="eastAsia"/>
                <w:color w:val="auto"/>
                <w:lang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粉料灌装、真空上料、喷雾干燥废气</w:t>
            </w:r>
          </w:p>
          <w:p>
            <w:pPr>
              <w:bidi w:val="0"/>
              <w:rPr>
                <w:rFonts w:hint="eastAsia"/>
                <w:color w:val="auto"/>
                <w:lang w:val="en-US" w:eastAsia="zh-CN"/>
              </w:rPr>
            </w:pPr>
            <w:r>
              <w:rPr>
                <w:rFonts w:hint="eastAsia"/>
                <w:color w:val="auto"/>
                <w:lang w:val="en-US" w:eastAsia="zh-CN"/>
              </w:rPr>
              <w:t>①粉料灌装</w:t>
            </w:r>
          </w:p>
          <w:p>
            <w:pPr>
              <w:bidi w:val="0"/>
              <w:rPr>
                <w:rFonts w:hint="eastAsia"/>
                <w:color w:val="auto"/>
                <w:lang w:val="en-US" w:eastAsia="zh-CN"/>
              </w:rPr>
            </w:pPr>
            <w:r>
              <w:rPr>
                <w:rFonts w:hint="eastAsia"/>
                <w:color w:val="auto"/>
                <w:lang w:val="en-US" w:eastAsia="zh-CN"/>
              </w:rPr>
              <w:t>粉料灌装过程中会产生颗粒物废气，参考《第二次全国污染源普查工业污染源产排污系数手册》1469其他调味品、发酵制品制造行业系数手册粉料配制工序的产污系数为0.099kg/t-产品，本项目粉末产品年产量2310t/a，则颗粒物年产生量约为0.229t/a。</w:t>
            </w:r>
          </w:p>
          <w:p>
            <w:pPr>
              <w:bidi w:val="0"/>
              <w:rPr>
                <w:rFonts w:hint="eastAsia"/>
                <w:color w:val="auto"/>
                <w:lang w:val="en-US" w:eastAsia="zh-CN"/>
              </w:rPr>
            </w:pPr>
            <w:r>
              <w:rPr>
                <w:rFonts w:hint="eastAsia"/>
                <w:color w:val="auto"/>
                <w:lang w:val="en-US" w:eastAsia="zh-CN"/>
              </w:rPr>
              <w:t>②真空上料</w:t>
            </w:r>
          </w:p>
          <w:p>
            <w:pPr>
              <w:bidi w:val="0"/>
              <w:rPr>
                <w:color w:val="auto"/>
                <w:lang w:val="en-US" w:eastAsia="zh-CN"/>
              </w:rPr>
            </w:pPr>
            <w:r>
              <w:rPr>
                <w:rFonts w:hint="eastAsia"/>
                <w:color w:val="auto"/>
                <w:lang w:val="en-US" w:eastAsia="zh-CN"/>
              </w:rPr>
              <w:t>真空上料用管道将物料抽送至混合机中，总物料量为2300t，真空上料机配备旋风分离系统将气流与物料分离，分离效率为99.99%，因此真空上料废气颗粒物产生量为0.23t/a。</w:t>
            </w:r>
          </w:p>
          <w:p>
            <w:pPr>
              <w:bidi w:val="0"/>
              <w:rPr>
                <w:rFonts w:hint="eastAsia"/>
                <w:color w:val="auto"/>
                <w:lang w:val="en-US" w:eastAsia="zh-CN"/>
              </w:rPr>
            </w:pPr>
            <w:r>
              <w:rPr>
                <w:rFonts w:hint="eastAsia"/>
                <w:color w:val="auto"/>
                <w:lang w:val="en-US" w:eastAsia="zh-CN"/>
              </w:rPr>
              <w:t>③喷雾干燥</w:t>
            </w:r>
          </w:p>
          <w:p>
            <w:pPr>
              <w:bidi w:val="0"/>
              <w:rPr>
                <w:color w:val="auto"/>
                <w:lang w:val="en-US" w:eastAsia="zh-CN"/>
              </w:rPr>
            </w:pPr>
            <w:r>
              <w:rPr>
                <w:color w:val="auto"/>
                <w:lang w:val="en-US" w:eastAsia="zh-CN"/>
              </w:rPr>
              <w:t>进入喷雾干燥工序的总物料量为</w:t>
            </w:r>
            <w:r>
              <w:rPr>
                <w:rFonts w:hint="eastAsia"/>
                <w:color w:val="auto"/>
                <w:lang w:val="en-US" w:eastAsia="zh-CN"/>
              </w:rPr>
              <w:t>50</w:t>
            </w:r>
            <w:r>
              <w:rPr>
                <w:color w:val="auto"/>
                <w:lang w:val="en-US" w:eastAsia="zh-CN"/>
              </w:rPr>
              <w:t>t，经干燥后物料量为</w:t>
            </w:r>
            <w:r>
              <w:rPr>
                <w:rFonts w:hint="eastAsia"/>
                <w:color w:val="auto"/>
                <w:lang w:val="en-US" w:eastAsia="zh-CN"/>
              </w:rPr>
              <w:t>10</w:t>
            </w:r>
            <w:r>
              <w:rPr>
                <w:color w:val="auto"/>
                <w:lang w:val="en-US" w:eastAsia="zh-CN"/>
              </w:rPr>
              <w:t>t，</w:t>
            </w:r>
            <w:r>
              <w:rPr>
                <w:rFonts w:hint="eastAsia"/>
                <w:color w:val="auto"/>
                <w:lang w:val="en-US" w:eastAsia="zh-CN"/>
              </w:rPr>
              <w:t>干燥的物料随气流进入旋风灌装机进行分离，分离效率为99%，因此喷雾干燥</w:t>
            </w:r>
            <w:r>
              <w:rPr>
                <w:color w:val="auto"/>
                <w:lang w:val="en-US" w:eastAsia="zh-CN"/>
              </w:rPr>
              <w:t>废气</w:t>
            </w:r>
            <w:r>
              <w:rPr>
                <w:rFonts w:hint="eastAsia"/>
                <w:color w:val="auto"/>
                <w:lang w:val="en-US" w:eastAsia="zh-CN"/>
              </w:rPr>
              <w:t>颗粒物产生量为0.1t/a。</w:t>
            </w:r>
          </w:p>
          <w:p>
            <w:pPr>
              <w:bidi w:val="0"/>
              <w:rPr>
                <w:rFonts w:hint="eastAsia"/>
                <w:color w:val="auto"/>
                <w:lang w:val="en-US" w:eastAsia="zh-CN"/>
              </w:rPr>
            </w:pPr>
            <w:r>
              <w:rPr>
                <w:color w:val="auto"/>
                <w:lang w:val="en-US" w:eastAsia="zh-CN"/>
              </w:rPr>
              <w:t>在粉末灌装机（2台）、</w:t>
            </w:r>
            <w:r>
              <w:rPr>
                <w:rFonts w:hint="eastAsia"/>
                <w:color w:val="auto"/>
                <w:lang w:val="en-US" w:eastAsia="zh-CN"/>
              </w:rPr>
              <w:t>旋风灌装机（1台）侧向设置</w:t>
            </w:r>
            <w:r>
              <w:rPr>
                <w:color w:val="auto"/>
                <w:lang w:val="en-US" w:eastAsia="zh-CN"/>
              </w:rPr>
              <w:t>集气罩</w:t>
            </w:r>
            <w:r>
              <w:rPr>
                <w:rFonts w:hint="eastAsia"/>
                <w:color w:val="auto"/>
                <w:lang w:val="en-US" w:eastAsia="zh-CN"/>
              </w:rPr>
              <w:t>收集废气</w:t>
            </w:r>
            <w:r>
              <w:rPr>
                <w:color w:val="auto"/>
                <w:lang w:val="en-US" w:eastAsia="zh-CN"/>
              </w:rPr>
              <w:t>，根据《局部排风设施控制风速检测与评估技术规范》（AQ/T4274-2016），颗粒物废气参照粉尘上吸式控制风速为</w:t>
            </w:r>
            <w:r>
              <w:rPr>
                <w:rFonts w:hint="eastAsia"/>
                <w:color w:val="auto"/>
                <w:lang w:val="en-US" w:eastAsia="zh-CN"/>
              </w:rPr>
              <w:t>1.0</w:t>
            </w:r>
            <w:r>
              <w:rPr>
                <w:color w:val="auto"/>
                <w:lang w:val="en-US" w:eastAsia="zh-CN"/>
              </w:rPr>
              <w:t>m/s，</w:t>
            </w:r>
            <w:r>
              <w:rPr>
                <w:rFonts w:hint="eastAsia"/>
                <w:color w:val="auto"/>
                <w:lang w:val="en-US" w:eastAsia="zh-CN"/>
              </w:rPr>
              <w:t>单个</w:t>
            </w:r>
            <w:r>
              <w:rPr>
                <w:color w:val="auto"/>
                <w:lang w:val="en-US" w:eastAsia="zh-CN"/>
              </w:rPr>
              <w:t>集气罩罩口面积为</w:t>
            </w:r>
            <w:r>
              <w:rPr>
                <w:rFonts w:hint="eastAsia"/>
                <w:color w:val="auto"/>
                <w:lang w:val="en-US" w:eastAsia="zh-CN"/>
              </w:rPr>
              <w:t>0.3</w:t>
            </w:r>
            <w:r>
              <w:rPr>
                <w:color w:val="auto"/>
                <w:lang w:val="en-US" w:eastAsia="zh-CN"/>
              </w:rPr>
              <w:t>㎡。经计算，风量为</w:t>
            </w:r>
            <w:r>
              <w:rPr>
                <w:rFonts w:hint="eastAsia"/>
                <w:color w:val="auto"/>
                <w:lang w:val="en-US" w:eastAsia="zh-CN"/>
              </w:rPr>
              <w:t>3240</w:t>
            </w:r>
            <w:r>
              <w:rPr>
                <w:color w:val="auto"/>
                <w:lang w:val="en-US" w:eastAsia="zh-CN"/>
              </w:rPr>
              <w:t>m³/h</w:t>
            </w:r>
            <w:r>
              <w:rPr>
                <w:rFonts w:hint="eastAsia"/>
                <w:color w:val="auto"/>
                <w:lang w:val="en-US" w:eastAsia="zh-CN"/>
              </w:rPr>
              <w:t>。</w:t>
            </w:r>
          </w:p>
          <w:p>
            <w:pPr>
              <w:bidi w:val="0"/>
              <w:rPr>
                <w:color w:val="auto"/>
                <w:lang w:val="en-US" w:eastAsia="zh-CN"/>
              </w:rPr>
            </w:pPr>
            <w:r>
              <w:rPr>
                <w:rFonts w:hint="eastAsia"/>
                <w:color w:val="auto"/>
                <w:lang w:val="en-US" w:eastAsia="zh-CN"/>
              </w:rPr>
              <w:t>喷雾干燥机设计排出风量为1000m³/h，单台真空上料机设计排放量为300m³/h，因此该废气总风量为2700m³/h+1000m³/h+5×300m³/h=5740m³/h，</w:t>
            </w:r>
            <w:r>
              <w:rPr>
                <w:color w:val="auto"/>
                <w:lang w:val="en-US" w:eastAsia="zh-CN"/>
              </w:rPr>
              <w:t>因此，设计风量为</w:t>
            </w:r>
            <w:r>
              <w:rPr>
                <w:rFonts w:hint="eastAsia"/>
                <w:color w:val="auto"/>
                <w:lang w:val="en-US" w:eastAsia="zh-CN"/>
              </w:rPr>
              <w:t>10</w:t>
            </w:r>
            <w:r>
              <w:rPr>
                <w:color w:val="auto"/>
                <w:lang w:val="en-US" w:eastAsia="zh-CN"/>
              </w:rPr>
              <w:t>000m³/h的风机，能够满足需要。</w:t>
            </w:r>
          </w:p>
          <w:p>
            <w:pPr>
              <w:bidi w:val="0"/>
              <w:rPr>
                <w:rFonts w:ascii="Times New Roman" w:cs="Times New Roman" w:hAnsi="Times New Roman"/>
                <w:color w:val="auto"/>
                <w:lang w:val="en-US" w:eastAsia="zh-CN"/>
              </w:rPr>
            </w:pPr>
            <w:r>
              <w:rPr>
                <w:color w:val="auto"/>
                <w:lang w:val="en-US" w:eastAsia="zh-CN"/>
              </w:rPr>
              <w:t>粉料灌装</w:t>
            </w:r>
            <w:r>
              <w:rPr>
                <w:rFonts w:hint="eastAsia"/>
                <w:color w:val="auto"/>
                <w:lang w:val="en-US" w:eastAsia="zh-CN"/>
              </w:rPr>
              <w:t>废气采用集气罩收集（收集效率为90%），喷雾干燥、真空上料废气采用管道收集（收集效率100%），有组织颗粒物产生量为0.29×90%+0.23+0.1=0.536t/a，废气经1套“布袋除尘器处理”（处理效率90%），处理后有组织颗粒物排放量为0.054t/a，排放速率0.02kg/h，排放浓度</w:t>
            </w:r>
            <w:r>
              <w:rPr>
                <w:rFonts w:ascii="Times New Roman" w:cs="Times New Roman" w:hAnsi="Times New Roman"/>
                <w:color w:val="auto"/>
                <w:lang w:val="en-US" w:eastAsia="zh-CN"/>
              </w:rPr>
              <w:t>2.23mg/m³。</w:t>
            </w:r>
          </w:p>
          <w:p>
            <w:pPr>
              <w:bidi w:val="0"/>
              <w:spacing w:line="360" w:lineRule="auto"/>
              <w:rPr>
                <w:rFonts w:hint="eastAsia"/>
                <w:color w:val="auto"/>
                <w:lang w:val="en-US" w:eastAsia="zh-CN"/>
              </w:rPr>
            </w:pPr>
            <w:r>
              <w:rPr>
                <w:rFonts w:hint="eastAsia"/>
                <w:color w:val="auto"/>
                <w:lang w:val="en-US" w:eastAsia="zh-CN"/>
              </w:rPr>
              <w:t>（3）污水处理站废气</w:t>
            </w:r>
          </w:p>
          <w:p>
            <w:pPr>
              <w:bidi w:val="0"/>
              <w:spacing w:line="360" w:lineRule="auto"/>
              <w:rPr>
                <w:rFonts w:hint="eastAsia"/>
                <w:color w:val="auto"/>
                <w:lang w:val="en-US" w:eastAsia="zh-CN"/>
              </w:rPr>
            </w:pPr>
            <w:r>
              <w:rPr>
                <w:rFonts w:hint="eastAsia"/>
                <w:color w:val="auto"/>
                <w:lang w:val="en-US" w:eastAsia="zh-CN"/>
              </w:rPr>
              <w:t>污水处理站产生的恶臭气体主要污染物为NH</w:t>
            </w:r>
            <w:r>
              <w:rPr>
                <w:rFonts w:hint="eastAsia"/>
                <w:color w:val="auto"/>
                <w:vertAlign w:val="subscript"/>
                <w:lang w:val="en-US" w:eastAsia="zh-CN"/>
              </w:rPr>
              <w:t>3</w:t>
            </w:r>
            <w:r>
              <w:rPr>
                <w:rFonts w:hint="eastAsia"/>
                <w:color w:val="auto"/>
                <w:lang w:val="en-US" w:eastAsia="zh-CN"/>
              </w:rPr>
              <w:t>、H</w:t>
            </w:r>
            <w:r>
              <w:rPr>
                <w:rFonts w:hint="eastAsia"/>
                <w:color w:val="auto"/>
                <w:vertAlign w:val="subscript"/>
                <w:lang w:val="en-US" w:eastAsia="zh-CN"/>
              </w:rPr>
              <w:t>2</w:t>
            </w:r>
            <w:r>
              <w:rPr>
                <w:rFonts w:hint="eastAsia"/>
                <w:color w:val="auto"/>
                <w:lang w:val="en-US" w:eastAsia="zh-CN"/>
              </w:rPr>
              <w:t>S、臭气浓度。</w:t>
            </w:r>
          </w:p>
          <w:p>
            <w:pPr>
              <w:bidi w:val="0"/>
              <w:spacing w:line="360" w:lineRule="auto"/>
              <w:rPr>
                <w:rFonts w:hint="eastAsia"/>
                <w:color w:val="auto"/>
                <w:lang w:val="en-US" w:eastAsia="zh-CN"/>
              </w:rPr>
            </w:pPr>
            <w:r>
              <w:rPr>
                <w:rFonts w:hint="eastAsia"/>
                <w:color w:val="auto"/>
                <w:lang w:val="en-US" w:eastAsia="zh-CN"/>
              </w:rPr>
              <w:t>污水处理站恶臭物质各处理单元的排污系数一般可通过单位时间内单位体积散发量表征，项目污水处理站氨和硫化氢的产生量参照“污水泵站的恶臭评价与治理对策，环境工程，2012年第30卷增刊”中给出的污水处理构筑物单位面积恶臭污染物排放源强：氨0.623mg/s-㎡、硫化氢1.351x10</w:t>
            </w:r>
            <w:r>
              <w:rPr>
                <w:rFonts w:hint="eastAsia"/>
                <w:color w:val="auto"/>
                <w:vertAlign w:val="superscript"/>
                <w:lang w:val="en-US" w:eastAsia="zh-CN"/>
              </w:rPr>
              <w:t>-3</w:t>
            </w:r>
            <w:r>
              <w:rPr>
                <w:rFonts w:hint="eastAsia"/>
                <w:color w:val="auto"/>
                <w:lang w:val="en-US" w:eastAsia="zh-CN"/>
              </w:rPr>
              <w:t>mg/s-㎡，厂区污水处理站扩容后面积为150㎡，则项目污水处理站氨的产生量为0.807t/a，硫化氢的产生量为0.002t/a。</w:t>
            </w:r>
          </w:p>
          <w:p>
            <w:pPr>
              <w:bidi w:val="0"/>
              <w:spacing w:line="360" w:lineRule="auto"/>
              <w:rPr>
                <w:rFonts w:hint="eastAsia"/>
                <w:color w:val="auto"/>
                <w:lang w:val="en-US" w:eastAsia="zh-CN"/>
              </w:rPr>
            </w:pPr>
            <w:r>
              <w:rPr>
                <w:rFonts w:hint="eastAsia"/>
                <w:color w:val="auto"/>
                <w:lang w:val="en-US" w:eastAsia="zh-CN"/>
              </w:rPr>
              <w:t>根据表4-1、4-2，项目臭气浓度对应臭气强度分级为5级的阈值范围，当臭气强度为4~5级时，臭气浓度范围300~600，本次以臭气浓度600（无量纲）进行计算。</w:t>
            </w:r>
          </w:p>
          <w:p>
            <w:pPr>
              <w:bidi w:val="0"/>
              <w:spacing w:line="360" w:lineRule="auto"/>
              <w:rPr>
                <w:rFonts w:hint="eastAsia"/>
                <w:color w:val="auto"/>
                <w:lang w:val="en-US" w:eastAsia="zh-CN"/>
              </w:rPr>
            </w:pPr>
            <w:r>
              <w:rPr>
                <w:rFonts w:hint="eastAsia"/>
                <w:color w:val="auto"/>
                <w:lang w:val="en-US" w:eastAsia="zh-CN"/>
              </w:rPr>
              <w:t>本项目污水处理站池体顶部加盖盖板密闭，同时设置抽风系统（收集效率90%，设计风量5000m³/h），氨有组织产生量为0.807×90%=0.726t/a；硫化氢有组织产生量为0.002×90%=0.0018t/a；有组织产生臭气浓度600（无量纲）。废气经“碱喷淋装置”处理（处理效率90%）处理后，氨有组织排放量为0.073t/a，排放速率为0.03kg/h，排放浓度为6.05mg/m³；硫化氢有组织排放量为0.00018t/a，排放速率为0.00075kg/h，排放浓度为0.15mg/m³；有组织排放臭气浓度60（无量纲）。</w:t>
            </w:r>
          </w:p>
          <w:p>
            <w:pPr>
              <w:bidi w:val="0"/>
              <w:spacing w:line="360" w:lineRule="auto"/>
              <w:rPr>
                <w:rFonts w:hint="eastAsia"/>
                <w:color w:val="auto"/>
                <w:lang w:val="en-US" w:eastAsia="zh-CN"/>
              </w:rPr>
            </w:pPr>
            <w:r>
              <w:rPr>
                <w:rFonts w:hint="eastAsia"/>
                <w:color w:val="auto"/>
                <w:lang w:val="en-US" w:eastAsia="zh-CN"/>
              </w:rPr>
              <w:t>（4）蒸汽发生器烟气</w:t>
            </w:r>
          </w:p>
          <w:p>
            <w:pPr>
              <w:bidi w:val="0"/>
              <w:spacing w:line="360" w:lineRule="auto"/>
              <w:rPr>
                <w:color w:val="auto"/>
                <w:lang w:val="en-US" w:eastAsia="zh-CN"/>
              </w:rPr>
            </w:pPr>
            <w:r>
              <w:rPr>
                <w:rFonts w:hint="eastAsia"/>
                <w:color w:val="auto"/>
                <w:lang w:val="en-US" w:eastAsia="zh-CN"/>
              </w:rPr>
              <w:t>蒸汽发生器</w:t>
            </w:r>
            <w:r>
              <w:rPr>
                <w:color w:val="auto"/>
                <w:lang w:val="en-US" w:eastAsia="zh-CN"/>
              </w:rPr>
              <w:t>燃烧会产生NOx、SO</w:t>
            </w:r>
            <w:r>
              <w:rPr>
                <w:color w:val="auto"/>
                <w:vertAlign w:val="subscript"/>
                <w:lang w:val="en-US" w:eastAsia="zh-CN"/>
              </w:rPr>
              <w:t>2</w:t>
            </w:r>
            <w:r>
              <w:rPr>
                <w:color w:val="auto"/>
                <w:lang w:val="en-US" w:eastAsia="zh-CN"/>
              </w:rPr>
              <w:t>、颗粒物，根据《排放源统计调查产排污核算方法和系数手册》-4430工业锅炉（热力供应）行业系数手册中产污系数：工业废气量107753Nm³/万m³-原料、SO</w:t>
            </w:r>
            <w:r>
              <w:rPr>
                <w:color w:val="auto"/>
                <w:vertAlign w:val="subscript"/>
                <w:lang w:val="en-US" w:eastAsia="zh-CN"/>
              </w:rPr>
              <w:t>2</w:t>
            </w:r>
            <w:r>
              <w:rPr>
                <w:color w:val="auto"/>
                <w:lang w:val="en-US" w:eastAsia="zh-CN"/>
              </w:rPr>
              <w:t>0.02Skg/万m³-原料（本项目使用一类天然气，根据《天然气》（GB 17820-2018）要求一类天然气中总硫含量要小于20mg/m³，本次以硫含量20mg/m³进行计算）、NOx 3.03kg/万m³-原料</w:t>
            </w:r>
            <w:r>
              <w:rPr>
                <w:rFonts w:hint="eastAsia"/>
                <w:color w:val="auto"/>
                <w:lang w:val="en-US" w:eastAsia="zh-CN"/>
              </w:rPr>
              <w:t>。</w:t>
            </w:r>
            <w:r>
              <w:rPr>
                <w:color w:val="auto"/>
                <w:lang w:val="en-US" w:eastAsia="zh-CN"/>
              </w:rPr>
              <w:t>颗粒物</w:t>
            </w:r>
            <w:r>
              <w:rPr>
                <w:rFonts w:hint="eastAsia"/>
                <w:color w:val="auto"/>
                <w:lang w:val="en-US" w:eastAsia="zh-CN"/>
              </w:rPr>
              <w:t>排放情况引用石家庄市栾城区华英工贸有限责任公司天然气锅炉烟气监测数据（检测单位：河北欣蓝环境科技有限公司，报告编号XLKJ自行监测（2023）11019号），颗粒物排放浓度为3.1mg/m³</w:t>
            </w:r>
            <w:r>
              <w:rPr>
                <w:color w:val="auto"/>
                <w:lang w:val="en-US" w:eastAsia="zh-CN"/>
              </w:rPr>
              <w:t>。</w:t>
            </w:r>
            <w:r>
              <w:rPr>
                <w:rFonts w:hint="eastAsia"/>
                <w:color w:val="auto"/>
                <w:lang w:val="en-US" w:eastAsia="zh-CN"/>
              </w:rPr>
              <w:t>该企业锅炉功率为4t/h，与本项目蒸汽发生器功率相同，且天然气来源均为石家庄装备制造产业园供气管道，因此具有可类比性。</w:t>
            </w:r>
          </w:p>
          <w:p>
            <w:pPr>
              <w:bidi w:val="0"/>
              <w:spacing w:line="360" w:lineRule="auto"/>
              <w:rPr>
                <w:color w:val="auto"/>
                <w:lang w:val="en-US" w:eastAsia="zh-CN"/>
              </w:rPr>
            </w:pPr>
            <w:r>
              <w:rPr>
                <w:color w:val="auto"/>
                <w:lang w:val="en-US" w:eastAsia="zh-CN"/>
              </w:rPr>
              <w:t>本项目天然气年用量72万m³/a，则废气排放量7758216m³/a，NOx排放量0.218t/a，排放速率0.091kg/h，排放浓度28.1mg/m³、SO</w:t>
            </w:r>
            <w:r>
              <w:rPr>
                <w:color w:val="auto"/>
                <w:vertAlign w:val="subscript"/>
                <w:lang w:val="en-US" w:eastAsia="zh-CN"/>
              </w:rPr>
              <w:t>2</w:t>
            </w:r>
            <w:r>
              <w:rPr>
                <w:color w:val="auto"/>
                <w:lang w:val="en-US" w:eastAsia="zh-CN"/>
              </w:rPr>
              <w:t>排放量0.029t/a，排放速率0.012kg/h，排放浓度3.74mg/m³、颗粒物排放量0.0</w:t>
            </w:r>
            <w:r>
              <w:rPr>
                <w:rFonts w:hint="eastAsia"/>
                <w:color w:val="auto"/>
                <w:lang w:val="en-US" w:eastAsia="zh-CN"/>
              </w:rPr>
              <w:t>24</w:t>
            </w:r>
            <w:r>
              <w:rPr>
                <w:color w:val="auto"/>
                <w:lang w:val="en-US" w:eastAsia="zh-CN"/>
              </w:rPr>
              <w:t>t/a，排放速率0.01</w:t>
            </w:r>
            <w:r>
              <w:rPr>
                <w:rFonts w:hint="eastAsia"/>
                <w:color w:val="auto"/>
                <w:lang w:val="en-US" w:eastAsia="zh-CN"/>
              </w:rPr>
              <w:t>kg/h</w:t>
            </w:r>
            <w:r>
              <w:rPr>
                <w:color w:val="auto"/>
                <w:lang w:val="en-US" w:eastAsia="zh-CN"/>
              </w:rPr>
              <w:t>，排放浓度</w:t>
            </w:r>
            <w:r>
              <w:rPr>
                <w:rFonts w:hint="eastAsia"/>
                <w:color w:val="auto"/>
                <w:lang w:val="en-US" w:eastAsia="zh-CN"/>
              </w:rPr>
              <w:t>3.1</w:t>
            </w:r>
            <w:r>
              <w:rPr>
                <w:color w:val="auto"/>
                <w:lang w:val="en-US" w:eastAsia="zh-CN"/>
              </w:rPr>
              <w:t>mg/m³</w:t>
            </w:r>
            <w:r>
              <w:rPr>
                <w:rFonts w:hint="eastAsia"/>
                <w:color w:val="auto"/>
                <w:lang w:val="en-US" w:eastAsia="zh-CN"/>
              </w:rPr>
              <w:t>，烟气黑度＜1级</w:t>
            </w:r>
            <w:r>
              <w:rPr>
                <w:color w:val="auto"/>
                <w:lang w:val="en-US" w:eastAsia="zh-CN"/>
              </w:rPr>
              <w:t>。</w:t>
            </w:r>
          </w:p>
          <w:p>
            <w:pPr>
              <w:bidi w:val="0"/>
              <w:rPr>
                <w:rFonts w:hint="eastAsia"/>
                <w:color w:val="auto"/>
                <w:lang w:val="en-US" w:eastAsia="zh-CN"/>
              </w:rPr>
            </w:pPr>
            <w:r>
              <w:rPr>
                <w:rFonts w:hint="eastAsia"/>
                <w:color w:val="auto"/>
                <w:lang w:val="en-US" w:eastAsia="zh-CN"/>
              </w:rPr>
              <w:t>（5）研发实验室废气</w:t>
            </w:r>
          </w:p>
          <w:p>
            <w:pPr>
              <w:bidi w:val="0"/>
              <w:rPr>
                <w:color w:val="auto"/>
                <w:lang w:val="en-US" w:eastAsia="zh-CN"/>
              </w:rPr>
            </w:pPr>
            <w:r>
              <w:rPr>
                <w:rFonts w:hint="eastAsia"/>
                <w:color w:val="auto"/>
                <w:lang w:val="en-US" w:eastAsia="zh-CN"/>
              </w:rPr>
              <w:t>研发实验室废气主要为调配样品过程中产生的异味，</w:t>
            </w:r>
            <w:r>
              <w:rPr>
                <w:color w:val="auto"/>
                <w:lang w:val="en-US" w:eastAsia="zh-CN"/>
              </w:rPr>
              <w:t>参照上述表格，根据</w:t>
            </w:r>
            <w:r>
              <w:rPr>
                <w:rFonts w:hint="eastAsia"/>
                <w:color w:val="auto"/>
                <w:lang w:val="en-US" w:eastAsia="zh-CN"/>
              </w:rPr>
              <w:t>上述</w:t>
            </w:r>
            <w:r>
              <w:rPr>
                <w:color w:val="auto"/>
                <w:lang w:val="en-US" w:eastAsia="zh-CN"/>
              </w:rPr>
              <w:t>表格，项目臭气浓度对应臭气强度分级为</w:t>
            </w:r>
            <w:r>
              <w:rPr>
                <w:rFonts w:hint="eastAsia"/>
                <w:color w:val="auto"/>
                <w:lang w:val="en-US" w:eastAsia="zh-CN"/>
              </w:rPr>
              <w:t>3</w:t>
            </w:r>
            <w:r>
              <w:rPr>
                <w:color w:val="auto"/>
                <w:lang w:val="en-US" w:eastAsia="zh-CN"/>
              </w:rPr>
              <w:t>级的阈值范围，当臭气强度为</w:t>
            </w:r>
            <w:r>
              <w:rPr>
                <w:rFonts w:hint="eastAsia"/>
                <w:color w:val="auto"/>
                <w:lang w:val="en-US" w:eastAsia="zh-CN"/>
              </w:rPr>
              <w:t>3</w:t>
            </w:r>
            <w:r>
              <w:rPr>
                <w:color w:val="auto"/>
                <w:lang w:val="en-US" w:eastAsia="zh-CN"/>
              </w:rPr>
              <w:t>~</w:t>
            </w:r>
            <w:r>
              <w:rPr>
                <w:rFonts w:hint="eastAsia"/>
                <w:color w:val="auto"/>
                <w:lang w:val="en-US" w:eastAsia="zh-CN"/>
              </w:rPr>
              <w:t>4</w:t>
            </w:r>
            <w:r>
              <w:rPr>
                <w:color w:val="auto"/>
                <w:lang w:val="en-US" w:eastAsia="zh-CN"/>
              </w:rPr>
              <w:t>级时，臭气浓度范围</w:t>
            </w:r>
            <w:r>
              <w:rPr>
                <w:rFonts w:hint="eastAsia"/>
                <w:color w:val="auto"/>
                <w:lang w:val="en-US" w:eastAsia="zh-CN"/>
              </w:rPr>
              <w:t>100</w:t>
            </w:r>
            <w:r>
              <w:rPr>
                <w:color w:val="auto"/>
                <w:lang w:val="en-US" w:eastAsia="zh-CN"/>
              </w:rPr>
              <w:t>~</w:t>
            </w:r>
            <w:r>
              <w:rPr>
                <w:rFonts w:hint="eastAsia"/>
                <w:color w:val="auto"/>
                <w:lang w:val="en-US" w:eastAsia="zh-CN"/>
              </w:rPr>
              <w:t>3</w:t>
            </w:r>
            <w:r>
              <w:rPr>
                <w:color w:val="auto"/>
                <w:lang w:val="en-US" w:eastAsia="zh-CN"/>
              </w:rPr>
              <w:t>00，本次以臭气浓度</w:t>
            </w:r>
            <w:r>
              <w:rPr>
                <w:rFonts w:hint="eastAsia"/>
                <w:color w:val="auto"/>
                <w:lang w:val="en-US" w:eastAsia="zh-CN"/>
              </w:rPr>
              <w:t>3</w:t>
            </w:r>
            <w:r>
              <w:rPr>
                <w:color w:val="auto"/>
                <w:lang w:val="en-US" w:eastAsia="zh-CN"/>
              </w:rPr>
              <w:t>00（无量纲）进行计算。</w:t>
            </w:r>
          </w:p>
          <w:p>
            <w:pPr>
              <w:bidi w:val="0"/>
              <w:rPr>
                <w:rFonts w:hint="eastAsia"/>
                <w:color w:val="auto"/>
                <w:lang w:val="en-US" w:eastAsia="zh-CN"/>
              </w:rPr>
            </w:pPr>
            <w:r>
              <w:rPr>
                <w:rFonts w:hint="eastAsia"/>
                <w:color w:val="auto"/>
                <w:lang w:val="en-US" w:eastAsia="zh-CN"/>
              </w:rPr>
              <w:t>在实验室操作台上方设置万向集气罩收集废气，单个面积为0.1㎡，共设置20个，控制风速为0.3m/s，根据上文公式计算，风量为20×0.1㎡×0.3m/s×3600=2160m³/h，因此，设计风量为5000m³/h的风机，能够满足需要。</w:t>
            </w:r>
          </w:p>
          <w:p>
            <w:pPr>
              <w:bidi w:val="0"/>
              <w:rPr>
                <w:color w:val="auto"/>
                <w:lang w:val="en-US" w:eastAsia="zh-CN"/>
              </w:rPr>
            </w:pPr>
            <w:r>
              <w:rPr>
                <w:rFonts w:hint="eastAsia"/>
                <w:color w:val="auto"/>
                <w:lang w:val="en-US" w:eastAsia="zh-CN"/>
              </w:rPr>
              <w:t>废气收集后经活性炭吸附装置处理后（处理效率70%），有组织排放臭气浓度90（无量纲）。</w:t>
            </w:r>
          </w:p>
          <w:p>
            <w:pPr>
              <w:widowControl/>
              <w:spacing w:line="360" w:lineRule="auto"/>
              <w:ind w:firstLineChars="200" w:firstLine="480"/>
              <w:rPr>
                <w:rFonts w:hint="eastAsia"/>
                <w:b/>
                <w:bCs/>
                <w:color w:val="auto"/>
                <w:sz w:val="24"/>
                <w:lang w:val="en-US" w:eastAsia="zh-CN"/>
              </w:rPr>
            </w:pPr>
            <w:r>
              <w:rPr>
                <w:rFonts w:hint="eastAsia"/>
                <w:b/>
                <w:bCs/>
                <w:color w:val="auto"/>
                <w:sz w:val="24"/>
                <w:lang w:val="en-US" w:eastAsia="zh-CN"/>
              </w:rPr>
              <w:t>2、无组织废气</w:t>
            </w:r>
          </w:p>
          <w:p>
            <w:pPr>
              <w:spacing w:line="360" w:lineRule="auto"/>
              <w:rPr>
                <w:color w:val="auto"/>
                <w:sz w:val="24"/>
                <w:lang w:val="en-US" w:eastAsia="zh-CN"/>
              </w:rPr>
            </w:pPr>
            <w:r>
              <w:rPr>
                <w:rFonts w:hint="eastAsia"/>
                <w:color w:val="auto"/>
                <w:sz w:val="24"/>
                <w:lang w:val="en-US" w:eastAsia="zh-CN"/>
              </w:rPr>
              <w:t>全厂无组织排放废气主要为打码、贴管、检测实验室、包装膜加热、粉料灌装、污水处理站未被收集的废气。</w:t>
            </w:r>
          </w:p>
          <w:p>
            <w:pPr>
              <w:spacing w:line="360" w:lineRule="auto"/>
              <w:rPr>
                <w:rFonts w:hint="eastAsia"/>
                <w:color w:val="auto"/>
                <w:sz w:val="24"/>
                <w:lang w:val="en-US" w:eastAsia="zh-CN"/>
              </w:rPr>
            </w:pPr>
            <w:r>
              <w:rPr>
                <w:rFonts w:hint="eastAsia"/>
                <w:color w:val="auto"/>
                <w:sz w:val="24"/>
                <w:lang w:val="en-US" w:eastAsia="zh-CN"/>
              </w:rPr>
              <w:t>全厂无组织非甲烷总烃排放量为0.019t/a，排放速率0.008kg/h；无组织颗粒物排放量为0.023t/a，排放速率0.01kg/h；</w:t>
            </w:r>
            <w:r>
              <w:rPr>
                <w:rFonts w:hint="eastAsia"/>
                <w:color w:val="auto"/>
                <w:sz w:val="24"/>
                <w:lang w:val="en-US" w:eastAsia="zh-CN"/>
                <w:highlight w:val="none"/>
              </w:rPr>
              <w:t>无组织氨排放量为0.081t/a</w:t>
            </w:r>
            <w:r>
              <w:rPr>
                <w:rFonts w:hint="eastAsia"/>
                <w:color w:val="auto"/>
                <w:sz w:val="24"/>
                <w:lang w:eastAsia="zh-CN"/>
                <w:highlight w:val="none"/>
              </w:rPr>
              <w:t>，</w:t>
            </w:r>
            <w:r>
              <w:rPr>
                <w:rFonts w:hint="eastAsia"/>
                <w:color w:val="auto"/>
                <w:sz w:val="24"/>
                <w:lang w:val="en-US" w:eastAsia="zh-CN"/>
                <w:highlight w:val="none"/>
              </w:rPr>
              <w:t>排放速率0.034kg/h；无组织硫化氢排放量为0.0002t/a，排放速率0.00008kg/h。</w:t>
            </w:r>
          </w:p>
          <w:p>
            <w:pPr>
              <w:spacing w:line="360" w:lineRule="auto"/>
              <w:rPr>
                <w:rFonts w:ascii="Times New Roman" w:cs="Times New Roman" w:hAnsi="Times New Roman"/>
                <w:color w:val="auto"/>
                <w:sz w:val="24"/>
                <w:lang w:val="en-US" w:eastAsia="zh-CN"/>
                <w:highlight w:val="none"/>
              </w:rPr>
            </w:pPr>
            <w:r>
              <w:rPr>
                <w:rFonts w:cs="Times New Roman" w:hint="eastAsia"/>
                <w:color w:val="auto"/>
                <w:sz w:val="24"/>
                <w:lang w:val="en-US" w:eastAsia="zh-CN"/>
                <w:highlight w:val="none"/>
              </w:rPr>
              <w:t>采用</w:t>
            </w:r>
            <w:r>
              <w:rPr>
                <w:rFonts w:ascii="Times New Roman" w:cs="Times New Roman" w:hAnsi="Times New Roman"/>
                <w:color w:val="auto"/>
                <w:sz w:val="24"/>
                <w:lang w:val="en-US" w:eastAsia="zh-CN"/>
                <w:highlight w:val="none"/>
              </w:rPr>
              <w:t>AERSCREEN模式对无组织排放源厂界浓度进行预测，厂界非甲烷总烃贡献浓度为0.02</w:t>
            </w:r>
            <w:r>
              <w:rPr>
                <w:rFonts w:cs="Times New Roman" w:hint="eastAsia"/>
                <w:color w:val="auto"/>
                <w:sz w:val="24"/>
                <w:lang w:val="en-US" w:eastAsia="zh-CN"/>
                <w:highlight w:val="none"/>
              </w:rPr>
              <w:t>1</w:t>
            </w:r>
            <w:r>
              <w:rPr>
                <w:rFonts w:ascii="Times New Roman" w:cs="Times New Roman" w:hAnsi="Times New Roman"/>
                <w:color w:val="auto"/>
                <w:sz w:val="24"/>
                <w:lang w:val="en-US" w:eastAsia="zh-CN"/>
                <w:highlight w:val="none"/>
              </w:rPr>
              <w:t>mg/m³，颗粒物贡献浓度为0.03mg/m³，无组织氨贡献浓度为0.</w:t>
            </w:r>
            <w:r>
              <w:rPr>
                <w:rFonts w:cs="Times New Roman" w:hint="eastAsia"/>
                <w:color w:val="auto"/>
                <w:sz w:val="24"/>
                <w:lang w:val="en-US" w:eastAsia="zh-CN"/>
                <w:highlight w:val="none"/>
              </w:rPr>
              <w:t>09</w:t>
            </w:r>
            <w:r>
              <w:rPr>
                <w:rFonts w:ascii="Times New Roman" w:cs="Times New Roman" w:hAnsi="Times New Roman"/>
                <w:color w:val="auto"/>
                <w:sz w:val="24"/>
                <w:lang w:val="en-US" w:eastAsia="zh-CN"/>
                <w:highlight w:val="none"/>
              </w:rPr>
              <w:t>mg/m³，无组织硫化氢贡献浓度为0.000</w:t>
            </w:r>
            <w:r>
              <w:rPr>
                <w:rFonts w:cs="Times New Roman" w:hint="eastAsia"/>
                <w:color w:val="auto"/>
                <w:sz w:val="24"/>
                <w:lang w:val="en-US" w:eastAsia="zh-CN"/>
                <w:highlight w:val="none"/>
              </w:rPr>
              <w:t>3</w:t>
            </w:r>
            <w:r>
              <w:rPr>
                <w:rFonts w:ascii="Times New Roman" w:cs="Times New Roman" w:hAnsi="Times New Roman"/>
                <w:color w:val="auto"/>
                <w:sz w:val="24"/>
                <w:lang w:val="en-US" w:eastAsia="zh-CN"/>
                <w:highlight w:val="none"/>
              </w:rPr>
              <w:t>mg/m³。</w:t>
            </w:r>
          </w:p>
          <w:p>
            <w:pPr>
              <w:spacing w:line="360" w:lineRule="auto"/>
              <w:rPr>
                <w:rFonts w:ascii="Times New Roman" w:cs="Times New Roman" w:hAnsi="Times New Roman"/>
                <w:color w:val="auto"/>
                <w:sz w:val="24"/>
                <w:lang w:val="en-US" w:eastAsia="zh-CN"/>
                <w:highlight w:val="yellow"/>
              </w:rPr>
            </w:pPr>
          </w:p>
          <w:p>
            <w:pPr>
              <w:spacing w:line="360" w:lineRule="auto"/>
              <w:rPr>
                <w:rFonts w:ascii="Times New Roman" w:cs="Times New Roman" w:hAnsi="Times New Roman"/>
                <w:color w:val="auto"/>
                <w:sz w:val="24"/>
                <w:lang w:val="en-US" w:eastAsia="zh-CN"/>
                <w:highlight w:val="yellow"/>
              </w:rPr>
            </w:pPr>
          </w:p>
          <w:p>
            <w:pPr>
              <w:spacing w:line="360" w:lineRule="auto"/>
              <w:rPr>
                <w:rFonts w:ascii="Times New Roman" w:cs="Times New Roman" w:hAnsi="Times New Roman"/>
                <w:color w:val="auto"/>
                <w:sz w:val="24"/>
                <w:lang w:val="en-US" w:eastAsia="zh-CN"/>
                <w:highlight w:val="yellow"/>
              </w:rPr>
            </w:pPr>
          </w:p>
          <w:p>
            <w:pPr>
              <w:spacing w:line="360" w:lineRule="auto"/>
              <w:rPr>
                <w:rFonts w:ascii="Times New Roman" w:cs="Times New Roman" w:hAnsi="Times New Roman"/>
                <w:color w:val="auto"/>
                <w:sz w:val="24"/>
                <w:lang w:val="en-US" w:eastAsia="zh-CN"/>
                <w:highlight w:val="yellow"/>
              </w:rPr>
            </w:pPr>
          </w:p>
          <w:p>
            <w:pPr>
              <w:spacing w:line="360" w:lineRule="auto"/>
              <w:rPr>
                <w:rFonts w:ascii="Times New Roman" w:cs="Times New Roman" w:hAnsi="Times New Roman"/>
                <w:color w:val="auto"/>
                <w:sz w:val="24"/>
                <w:lang w:val="en-US" w:eastAsia="zh-CN"/>
                <w:highlight w:val="yellow"/>
              </w:rPr>
            </w:pPr>
          </w:p>
        </w:tc>
      </w:tr>
    </w:tbl>
    <w:p>
      <w:pPr>
        <w:ind w:left="420"/>
        <w:rPr>
          <w:b/>
          <w:color w:val="auto"/>
          <w:kern w:val="0"/>
          <w:szCs w:val="28"/>
        </w:rPr>
        <w:sectPr>
          <w:pgSz w:w="11907" w:h="16840"/>
          <w:pgMar w:top="1417" w:right="1417" w:bottom="1417" w:left="1417" w:header="851" w:footer="851" w:gutter="0"/>
          <w:pgNumType/>
          <w:cols w:num="1" w:space="720"/>
          <w:docGrid w:linePitch="312" w:charSpace="0"/>
        </w:sectPr>
      </w:pPr>
    </w:p>
    <w:tbl>
      <w:tblPr>
        <w:jc w:val="left"/>
        <w:tblInd w:w="0" w:type="dxa"/>
        <w:tblW w:w="13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42"/>
        <w:gridCol w:w="12786"/>
      </w:tblGrid>
      <w:tr>
        <w:tc>
          <w:tcPr>
            <w:tcW w:w="442" w:type="dxa"/>
          </w:tcPr>
          <w:p>
            <w:pPr>
              <w:ind w:left="420"/>
              <w:rPr>
                <w:b/>
                <w:color w:val="auto"/>
                <w:kern w:val="0"/>
                <w:szCs w:val="28"/>
              </w:rPr>
            </w:pPr>
          </w:p>
        </w:tc>
        <w:tc>
          <w:tcPr>
            <w:tcW w:w="12786" w:type="dxa"/>
          </w:tcPr>
          <w:p>
            <w:pPr>
              <w:pStyle w:val="24"/>
              <w:bidi w:val="0"/>
              <w:rPr>
                <w:color w:val="auto"/>
              </w:rPr>
            </w:pPr>
            <w:r>
              <w:rPr>
                <w:color w:val="auto"/>
              </w:rPr>
              <w:t>表4-</w:t>
            </w:r>
            <w:r>
              <w:rPr>
                <w:rFonts w:hint="eastAsia"/>
                <w:color w:val="auto"/>
                <w:lang w:val="en-US" w:eastAsia="zh-CN"/>
              </w:rPr>
              <w:t>4</w:t>
            </w:r>
            <w:r>
              <w:rPr>
                <w:rFonts w:hint="eastAsia"/>
                <w:color w:val="auto"/>
              </w:rPr>
              <w:t xml:space="preserve">   本项目</w:t>
            </w:r>
            <w:r>
              <w:rPr>
                <w:color w:val="auto"/>
              </w:rPr>
              <w:t>废气排放源一览表</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311"/>
              <w:gridCol w:w="624"/>
              <w:gridCol w:w="1253"/>
              <w:gridCol w:w="1189"/>
              <w:gridCol w:w="426"/>
              <w:gridCol w:w="426"/>
              <w:gridCol w:w="1068"/>
              <w:gridCol w:w="764"/>
              <w:gridCol w:w="715"/>
              <w:gridCol w:w="426"/>
              <w:gridCol w:w="1272"/>
              <w:gridCol w:w="1093"/>
              <w:gridCol w:w="993"/>
            </w:tblGrid>
            <w:tr>
              <w:trPr>
                <w:trHeight w:val="23"/>
              </w:trPr>
              <w:tc>
                <w:tcPr>
                  <w:vMerge w:val="restart"/>
                  <w:tcBorders>
                    <w:tl2br w:val="nil"/>
                    <w:tr2bl w:val="nil"/>
                  </w:tcBorders>
                  <w:vAlign w:val="center"/>
                </w:tcPr>
                <w:p>
                  <w:pPr>
                    <w:pStyle w:val="23"/>
                    <w:bidi w:val="0"/>
                    <w:rPr>
                      <w:color w:val="auto"/>
                    </w:rPr>
                  </w:pPr>
                  <w:r>
                    <w:rPr>
                      <w:color w:val="auto"/>
                    </w:rPr>
                    <w:t>产污环节</w:t>
                  </w:r>
                </w:p>
              </w:tc>
              <w:tc>
                <w:tcPr>
                  <w:vMerge w:val="restart"/>
                  <w:tcBorders>
                    <w:tl2br w:val="nil"/>
                    <w:tr2bl w:val="nil"/>
                  </w:tcBorders>
                  <w:vAlign w:val="center"/>
                </w:tcPr>
                <w:p>
                  <w:pPr>
                    <w:pStyle w:val="23"/>
                    <w:bidi w:val="0"/>
                    <w:rPr>
                      <w:color w:val="auto"/>
                    </w:rPr>
                  </w:pPr>
                  <w:r>
                    <w:rPr>
                      <w:color w:val="auto"/>
                    </w:rPr>
                    <w:t>污染物种类</w:t>
                  </w:r>
                </w:p>
              </w:tc>
              <w:tc>
                <w:tcPr>
                  <w:vMerge w:val="restart"/>
                  <w:tcBorders>
                    <w:tl2br w:val="nil"/>
                    <w:tr2bl w:val="nil"/>
                  </w:tcBorders>
                  <w:vAlign w:val="center"/>
                </w:tcPr>
                <w:p>
                  <w:pPr>
                    <w:pStyle w:val="23"/>
                    <w:bidi w:val="0"/>
                    <w:rPr>
                      <w:color w:val="auto"/>
                    </w:rPr>
                  </w:pPr>
                  <w:r>
                    <w:rPr>
                      <w:color w:val="auto"/>
                    </w:rPr>
                    <w:t>污染物产生量（t/a）</w:t>
                  </w:r>
                </w:p>
              </w:tc>
              <w:tc>
                <w:tcPr>
                  <w:vMerge w:val="restart"/>
                  <w:tcBorders>
                    <w:tl2br w:val="nil"/>
                    <w:tr2bl w:val="nil"/>
                  </w:tcBorders>
                  <w:vAlign w:val="center"/>
                </w:tcPr>
                <w:p>
                  <w:pPr>
                    <w:pStyle w:val="23"/>
                    <w:bidi w:val="0"/>
                    <w:rPr>
                      <w:color w:val="auto"/>
                    </w:rPr>
                  </w:pPr>
                  <w:r>
                    <w:rPr>
                      <w:color w:val="auto"/>
                    </w:rPr>
                    <w:t>污染物</w:t>
                  </w:r>
                  <w:r>
                    <w:rPr>
                      <w:rFonts w:hint="eastAsia"/>
                      <w:color w:val="auto"/>
                      <w:lang w:val="en-US" w:eastAsia="zh-CN"/>
                    </w:rPr>
                    <w:t>产生</w:t>
                  </w:r>
                  <w:r>
                    <w:rPr>
                      <w:color w:val="auto"/>
                    </w:rPr>
                    <w:t>浓度（mg/</w:t>
                  </w:r>
                  <w:r>
                    <w:rPr>
                      <w:rFonts w:hint="eastAsia"/>
                      <w:color w:val="auto"/>
                    </w:rPr>
                    <w:t>m</w:t>
                  </w:r>
                  <w:r>
                    <w:rPr>
                      <w:rFonts w:ascii="Times New Roman" w:cs="Times New Roman" w:hAnsi="Times New Roman"/>
                      <w:color w:val="auto"/>
                    </w:rPr>
                    <w:t>³</w:t>
                  </w:r>
                  <w:r>
                    <w:rPr>
                      <w:color w:val="auto"/>
                    </w:rPr>
                    <w:t>）</w:t>
                  </w:r>
                </w:p>
              </w:tc>
              <w:tc>
                <w:tcPr>
                  <w:vMerge w:val="restart"/>
                  <w:tcBorders>
                    <w:tl2br w:val="nil"/>
                    <w:tr2bl w:val="nil"/>
                  </w:tcBorders>
                  <w:vAlign w:val="center"/>
                </w:tcPr>
                <w:p>
                  <w:pPr>
                    <w:pStyle w:val="23"/>
                    <w:bidi w:val="0"/>
                    <w:rPr>
                      <w:color w:val="auto"/>
                    </w:rPr>
                  </w:pPr>
                  <w:r>
                    <w:rPr>
                      <w:color w:val="auto"/>
                    </w:rPr>
                    <w:t>排放形式</w:t>
                  </w:r>
                </w:p>
              </w:tc>
              <w:tc>
                <w:tcPr>
                  <w:gridSpan w:val="5"/>
                  <w:tcBorders>
                    <w:tl2br w:val="nil"/>
                    <w:tr2bl w:val="nil"/>
                  </w:tcBorders>
                  <w:vAlign w:val="center"/>
                </w:tcPr>
                <w:p>
                  <w:pPr>
                    <w:pStyle w:val="23"/>
                    <w:bidi w:val="0"/>
                    <w:rPr>
                      <w:color w:val="auto"/>
                    </w:rPr>
                  </w:pPr>
                  <w:r>
                    <w:rPr>
                      <w:color w:val="auto"/>
                    </w:rPr>
                    <w:t>治理设施</w:t>
                  </w:r>
                </w:p>
              </w:tc>
              <w:tc>
                <w:tcPr>
                  <w:vMerge w:val="restart"/>
                  <w:tcBorders>
                    <w:tl2br w:val="nil"/>
                    <w:tr2bl w:val="nil"/>
                  </w:tcBorders>
                  <w:vAlign w:val="center"/>
                </w:tcPr>
                <w:p>
                  <w:pPr>
                    <w:pStyle w:val="23"/>
                    <w:bidi w:val="0"/>
                    <w:rPr>
                      <w:color w:val="auto"/>
                    </w:rPr>
                  </w:pPr>
                  <w:r>
                    <w:rPr>
                      <w:color w:val="auto"/>
                    </w:rPr>
                    <w:t>污染物排放浓度（mg/</w:t>
                  </w:r>
                  <w:r>
                    <w:rPr>
                      <w:rFonts w:hint="eastAsia"/>
                      <w:color w:val="auto"/>
                    </w:rPr>
                    <w:t>m</w:t>
                  </w:r>
                  <w:r>
                    <w:rPr>
                      <w:rFonts w:ascii="Times New Roman" w:cs="Times New Roman" w:hAnsi="Times New Roman"/>
                      <w:color w:val="auto"/>
                    </w:rPr>
                    <w:t>³</w:t>
                  </w:r>
                  <w:r>
                    <w:rPr>
                      <w:color w:val="auto"/>
                    </w:rPr>
                    <w:t>）</w:t>
                  </w:r>
                </w:p>
              </w:tc>
              <w:tc>
                <w:tcPr>
                  <w:vMerge w:val="restart"/>
                  <w:tcBorders>
                    <w:tl2br w:val="nil"/>
                    <w:tr2bl w:val="nil"/>
                  </w:tcBorders>
                  <w:vAlign w:val="center"/>
                </w:tcPr>
                <w:p>
                  <w:pPr>
                    <w:pStyle w:val="23"/>
                    <w:bidi w:val="0"/>
                    <w:rPr>
                      <w:color w:val="auto"/>
                    </w:rPr>
                  </w:pPr>
                  <w:r>
                    <w:rPr>
                      <w:color w:val="auto"/>
                    </w:rPr>
                    <w:t>污染物排放速率（kg/h）</w:t>
                  </w:r>
                </w:p>
              </w:tc>
              <w:tc>
                <w:tcPr>
                  <w:vMerge w:val="restart"/>
                  <w:tcBorders>
                    <w:tl2br w:val="nil"/>
                    <w:tr2bl w:val="nil"/>
                  </w:tcBorders>
                  <w:vAlign w:val="center"/>
                </w:tcPr>
                <w:p>
                  <w:pPr>
                    <w:pStyle w:val="23"/>
                    <w:bidi w:val="0"/>
                    <w:rPr>
                      <w:color w:val="auto"/>
                    </w:rPr>
                  </w:pPr>
                  <w:r>
                    <w:rPr>
                      <w:color w:val="auto"/>
                    </w:rPr>
                    <w:t>污染物排放量（t/a）</w:t>
                  </w:r>
                </w:p>
              </w:tc>
            </w:tr>
            <w:tr>
              <w:trPr>
                <w:trHeight w:val="23"/>
              </w:trPr>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tcBorders>
                    <w:tl2br w:val="nil"/>
                    <w:tr2bl w:val="nil"/>
                  </w:tcBorders>
                  <w:vAlign w:val="center"/>
                </w:tcPr>
                <w:p>
                  <w:pPr>
                    <w:pStyle w:val="23"/>
                    <w:bidi w:val="0"/>
                    <w:rPr>
                      <w:color w:val="auto"/>
                    </w:rPr>
                  </w:pPr>
                  <w:r>
                    <w:rPr>
                      <w:color w:val="auto"/>
                    </w:rPr>
                    <w:t>污染防治设施名称及工艺</w:t>
                  </w:r>
                </w:p>
              </w:tc>
              <w:tc>
                <w:tcPr>
                  <w:tcBorders>
                    <w:tl2br w:val="nil"/>
                    <w:tr2bl w:val="nil"/>
                  </w:tcBorders>
                  <w:vAlign w:val="center"/>
                </w:tcPr>
                <w:p>
                  <w:pPr>
                    <w:pStyle w:val="23"/>
                    <w:bidi w:val="0"/>
                    <w:rPr>
                      <w:color w:val="auto"/>
                    </w:rPr>
                  </w:pPr>
                  <w:r>
                    <w:rPr>
                      <w:color w:val="auto"/>
                    </w:rPr>
                    <w:t>处理能力（</w:t>
                  </w:r>
                  <w:r>
                    <w:rPr>
                      <w:rFonts w:hint="eastAsia"/>
                      <w:color w:val="auto"/>
                      <w:lang w:val="en-US" w:eastAsia="zh-CN"/>
                    </w:rPr>
                    <w:t>m³</w:t>
                  </w:r>
                  <w:r>
                    <w:rPr>
                      <w:color w:val="auto"/>
                    </w:rPr>
                    <w:t>/h）</w:t>
                  </w:r>
                </w:p>
              </w:tc>
              <w:tc>
                <w:tcPr>
                  <w:tcBorders>
                    <w:tl2br w:val="nil"/>
                    <w:tr2bl w:val="nil"/>
                  </w:tcBorders>
                  <w:vAlign w:val="center"/>
                </w:tcPr>
                <w:p>
                  <w:pPr>
                    <w:pStyle w:val="23"/>
                    <w:bidi w:val="0"/>
                    <w:rPr>
                      <w:color w:val="auto"/>
                    </w:rPr>
                  </w:pPr>
                  <w:r>
                    <w:rPr>
                      <w:color w:val="auto"/>
                    </w:rPr>
                    <w:t>收集效率</w:t>
                  </w:r>
                </w:p>
              </w:tc>
              <w:tc>
                <w:tcPr>
                  <w:tcBorders>
                    <w:tl2br w:val="nil"/>
                    <w:tr2bl w:val="nil"/>
                  </w:tcBorders>
                  <w:vAlign w:val="center"/>
                </w:tcPr>
                <w:p>
                  <w:pPr>
                    <w:pStyle w:val="23"/>
                    <w:bidi w:val="0"/>
                    <w:rPr>
                      <w:color w:val="auto"/>
                    </w:rPr>
                  </w:pPr>
                  <w:r>
                    <w:rPr>
                      <w:color w:val="auto"/>
                    </w:rPr>
                    <w:t>治理工艺去除率</w:t>
                  </w:r>
                </w:p>
              </w:tc>
              <w:tc>
                <w:tcPr>
                  <w:tcBorders>
                    <w:tl2br w:val="nil"/>
                    <w:tr2bl w:val="nil"/>
                  </w:tcBorders>
                  <w:vAlign w:val="center"/>
                </w:tcPr>
                <w:p>
                  <w:pPr>
                    <w:pStyle w:val="23"/>
                    <w:bidi w:val="0"/>
                    <w:rPr>
                      <w:color w:val="auto"/>
                    </w:rPr>
                  </w:pPr>
                  <w:r>
                    <w:rPr>
                      <w:color w:val="auto"/>
                    </w:rPr>
                    <w:t>是否为可行技术</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r>
            <w:tr>
              <w:trPr>
                <w:trHeight w:val="23"/>
              </w:trPr>
              <w:tc>
                <w:tcPr>
                  <w:vMerge w:val="restart"/>
                  <w:tcBorders>
                    <w:tl2br w:val="nil"/>
                    <w:tr2bl w:val="nil"/>
                  </w:tcBorders>
                  <w:vAlign w:val="center"/>
                </w:tcPr>
                <w:p>
                  <w:pPr>
                    <w:pStyle w:val="23"/>
                    <w:bidi w:val="0"/>
                    <w:rPr>
                      <w:rFonts w:hint="eastAsia"/>
                      <w:color w:val="auto"/>
                      <w:lang w:val="en-US" w:eastAsia="zh-CN"/>
                    </w:rPr>
                  </w:pPr>
                  <w:r>
                    <w:rPr>
                      <w:rFonts w:hint="eastAsia"/>
                      <w:color w:val="auto"/>
                      <w:lang w:val="en-US" w:eastAsia="zh-CN"/>
                    </w:rPr>
                    <w:t>打码、热合封口、贴管、饮料灌装、检测实验室、食品添加剂生产、包装膜加热废气</w:t>
                  </w:r>
                </w:p>
              </w:tc>
              <w:tc>
                <w:tcPr>
                  <w:tcBorders>
                    <w:tl2br w:val="nil"/>
                    <w:tr2bl w:val="nil"/>
                  </w:tcBorders>
                  <w:vAlign w:val="center"/>
                </w:tcPr>
                <w:p>
                  <w:pPr>
                    <w:pStyle w:val="23"/>
                    <w:bidi w:val="0"/>
                    <w:rPr>
                      <w:color w:val="auto"/>
                      <w:lang w:val="en-US" w:eastAsia="zh-CN"/>
                    </w:rPr>
                  </w:pPr>
                  <w:r>
                    <w:rPr>
                      <w:rFonts w:hint="eastAsia"/>
                      <w:color w:val="auto"/>
                      <w:lang w:val="en-US" w:eastAsia="zh-CN"/>
                    </w:rPr>
                    <w:t>非甲烷总烃</w:t>
                  </w:r>
                </w:p>
              </w:tc>
              <w:tc>
                <w:tcPr>
                  <w:tcBorders>
                    <w:tl2br w:val="nil"/>
                    <w:tr2bl w:val="nil"/>
                  </w:tcBorders>
                  <w:vAlign w:val="center"/>
                </w:tcPr>
                <w:p>
                  <w:pPr>
                    <w:pStyle w:val="23"/>
                    <w:bidi w:val="0"/>
                    <w:rPr>
                      <w:color w:val="auto"/>
                      <w:lang w:val="en-US"/>
                    </w:rPr>
                  </w:pPr>
                  <w:r>
                    <w:rPr>
                      <w:color w:val="auto"/>
                      <w:lang w:val="en-US" w:eastAsia="zh-CN"/>
                    </w:rPr>
                    <w:t>0.</w:t>
                  </w:r>
                  <w:r>
                    <w:rPr>
                      <w:rFonts w:hint="eastAsia"/>
                      <w:color w:val="auto"/>
                      <w:lang w:val="en-US" w:eastAsia="zh-CN"/>
                    </w:rPr>
                    <w:t>189</w:t>
                  </w:r>
                </w:p>
              </w:tc>
              <w:tc>
                <w:tcPr>
                  <w:tcBorders>
                    <w:tl2br w:val="nil"/>
                    <w:tr2bl w:val="nil"/>
                  </w:tcBorders>
                  <w:shd w:val="clear" w:color="auto" w:fill="auto"/>
                  <w:vAlign w:val="center"/>
                </w:tcPr>
                <w:p>
                  <w:pPr>
                    <w:pStyle w:val="23"/>
                    <w:bidi w:val="0"/>
                    <w:rPr>
                      <w:color w:val="auto"/>
                      <w:lang w:val="en-US" w:eastAsia="zh-CN"/>
                    </w:rPr>
                  </w:pPr>
                  <w:r>
                    <w:rPr>
                      <w:rFonts w:hint="eastAsia"/>
                      <w:color w:val="auto"/>
                      <w:lang w:val="en-US" w:eastAsia="zh-CN"/>
                    </w:rPr>
                    <w:t>3.93</w:t>
                  </w:r>
                </w:p>
              </w:tc>
              <w:tc>
                <w:tcPr>
                  <w:vMerge w:val="restart"/>
                  <w:tcBorders>
                    <w:tl2br w:val="nil"/>
                    <w:tr2bl w:val="nil"/>
                  </w:tcBorders>
                  <w:vAlign w:val="center"/>
                </w:tcPr>
                <w:p>
                  <w:pPr>
                    <w:pStyle w:val="23"/>
                    <w:bidi w:val="0"/>
                    <w:rPr>
                      <w:color w:val="auto"/>
                      <w:lang w:val="en-US"/>
                    </w:rPr>
                  </w:pPr>
                  <w:r>
                    <w:rPr>
                      <w:color w:val="auto"/>
                    </w:rPr>
                    <w:t>有组织</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干式过滤+两级活性炭吸附装置</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20000</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90%/100%</w:t>
                  </w:r>
                </w:p>
              </w:tc>
              <w:tc>
                <w:tcPr>
                  <w:tcW w:w="715" w:type="dxa"/>
                  <w:vMerge w:val="restart"/>
                  <w:tcBorders>
                    <w:tl2br w:val="nil"/>
                    <w:tr2bl w:val="nil"/>
                  </w:tcBorders>
                  <w:vAlign w:val="center"/>
                </w:tcPr>
                <w:p>
                  <w:pPr>
                    <w:pStyle w:val="23"/>
                    <w:bidi w:val="0"/>
                    <w:rPr>
                      <w:color w:val="auto"/>
                      <w:lang w:val="en-US" w:eastAsia="zh-CN"/>
                    </w:rPr>
                  </w:pPr>
                  <w:r>
                    <w:rPr>
                      <w:rFonts w:hint="eastAsia"/>
                      <w:color w:val="auto"/>
                      <w:lang w:val="en-US" w:eastAsia="zh-CN"/>
                    </w:rPr>
                    <w:t>40%</w:t>
                  </w:r>
                </w:p>
              </w:tc>
              <w:tc>
                <w:tcPr>
                  <w:vMerge w:val="restar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是</w:t>
                  </w:r>
                </w:p>
              </w:tc>
              <w:tc>
                <w:tcPr>
                  <w:tcBorders>
                    <w:tl2br w:val="nil"/>
                    <w:tr2bl w:val="nil"/>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2.36</w:t>
                  </w:r>
                </w:p>
              </w:tc>
              <w:tc>
                <w:tcPr>
                  <w:tcBorders>
                    <w:tl2br w:val="nil"/>
                    <w:tr2bl w:val="nil"/>
                  </w:tcBorders>
                  <w:vAlign w:val="center"/>
                </w:tcPr>
                <w:p>
                  <w:pPr>
                    <w:pStyle w:val="25"/>
                    <w:tabs>
                      <w:tab w:val="left" w:pos="1680"/>
                      <w:tab w:val="left" w:pos="3465"/>
                    </w:tabs>
                    <w:bidi w:val="0"/>
                    <w:rPr>
                      <w:color w:val="auto"/>
                      <w:lang w:val="en-US" w:eastAsia="zh-CN"/>
                    </w:rPr>
                  </w:pPr>
                  <w:r>
                    <w:rPr>
                      <w:rFonts w:hint="eastAsia"/>
                      <w:color w:val="auto"/>
                      <w:lang w:val="en-US" w:eastAsia="zh-CN"/>
                    </w:rPr>
                    <w:t>0.05</w:t>
                  </w:r>
                </w:p>
              </w:tc>
              <w:tc>
                <w:tcPr>
                  <w:tcBorders>
                    <w:tl2br w:val="nil"/>
                    <w:tr2bl w:val="nil"/>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0.113</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color w:val="auto"/>
                      <w:lang w:val="en-US" w:eastAsia="zh-CN"/>
                    </w:rPr>
                  </w:pPr>
                  <w:r>
                    <w:rPr>
                      <w:rFonts w:hint="eastAsia"/>
                      <w:color w:val="auto"/>
                      <w:lang w:val="en-US" w:eastAsia="zh-CN"/>
                    </w:rPr>
                    <w:t>臭气浓度</w:t>
                  </w:r>
                </w:p>
              </w:tc>
              <w:tc>
                <w:tcPr>
                  <w:gridSpan w:val="2"/>
                  <w:tcBorders>
                    <w:tl2br w:val="nil"/>
                    <w:tr2bl w:val="nil"/>
                  </w:tcBorders>
                  <w:vAlign w:val="center"/>
                </w:tcPr>
                <w:p>
                  <w:pPr>
                    <w:pStyle w:val="23"/>
                    <w:bidi w:val="0"/>
                    <w:rPr>
                      <w:rFonts w:eastAsia="宋体"/>
                      <w:color w:val="auto"/>
                      <w:lang w:val="en-US" w:eastAsia="zh-CN"/>
                    </w:rPr>
                  </w:pPr>
                  <w:r>
                    <w:rPr>
                      <w:rFonts w:hint="eastAsia"/>
                      <w:color w:val="auto"/>
                      <w:lang w:val="en-US" w:eastAsia="zh-CN"/>
                    </w:rPr>
                    <w:t>600（无量纲）</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tcW w:w="715" w:type="dxa"/>
                  <w:vMerge/>
                  <w:tcBorders>
                    <w:tl2br w:val="nil"/>
                    <w:tr2bl w:val="nil"/>
                  </w:tcBorders>
                  <w:vAlign w:val="center"/>
                </w:tcPr>
                <w:p/>
              </w:tc>
              <w:tc>
                <w:tcPr>
                  <w:vMerge/>
                  <w:tcBorders>
                    <w:tl2br w:val="nil"/>
                    <w:tr2bl w:val="nil"/>
                  </w:tcBorders>
                  <w:vAlign w:val="center"/>
                </w:tcPr>
                <w:p/>
              </w:tc>
              <w:tc>
                <w:tcPr>
                  <w:gridSpan w:val="3"/>
                  <w:tcBorders>
                    <w:tl2br w:val="nil"/>
                    <w:tr2bl w:val="nil"/>
                  </w:tcBorders>
                  <w:vAlign w:val="center"/>
                </w:tcPr>
                <w:p>
                  <w:pPr>
                    <w:pStyle w:val="23"/>
                    <w:bidi w:val="0"/>
                    <w:rPr>
                      <w:rFonts w:eastAsia="宋体"/>
                      <w:color w:val="auto"/>
                      <w:lang w:val="en-US" w:eastAsia="zh-CN"/>
                    </w:rPr>
                  </w:pPr>
                  <w:r>
                    <w:rPr>
                      <w:rFonts w:hint="eastAsia"/>
                      <w:color w:val="auto"/>
                      <w:lang w:val="en-US" w:eastAsia="zh-CN"/>
                    </w:rPr>
                    <w:t>360（无量纲）</w:t>
                  </w:r>
                </w:p>
              </w:tc>
            </w:tr>
            <w:tr>
              <w:trPr>
                <w:trHeight w:val="23"/>
              </w:trPr>
              <w:tc>
                <w:tcPr>
                  <w:tcBorders>
                    <w:tl2br w:val="nil"/>
                    <w:tr2bl w:val="nil"/>
                  </w:tcBorders>
                  <w:vAlign w:val="center"/>
                </w:tcPr>
                <w:p>
                  <w:pPr>
                    <w:pStyle w:val="23"/>
                    <w:bidi w:val="0"/>
                    <w:rPr>
                      <w:color w:val="auto"/>
                      <w:lang w:val="en-US" w:eastAsia="zh-CN"/>
                    </w:rPr>
                  </w:pPr>
                  <w:r>
                    <w:rPr>
                      <w:rFonts w:hint="eastAsia"/>
                      <w:color w:val="auto"/>
                      <w:lang w:val="en-US" w:eastAsia="zh-CN"/>
                    </w:rPr>
                    <w:t>真空上料、喷雾干燥、粉料灌装</w:t>
                  </w:r>
                </w:p>
              </w:tc>
              <w:tc>
                <w:tcPr>
                  <w:tcBorders>
                    <w:tl2br w:val="nil"/>
                    <w:tr2bl w:val="nil"/>
                  </w:tcBorders>
                  <w:vAlign w:val="center"/>
                </w:tcPr>
                <w:p>
                  <w:pPr>
                    <w:pStyle w:val="23"/>
                    <w:bidi w:val="0"/>
                    <w:rPr>
                      <w:color w:val="auto"/>
                      <w:lang w:val="en-US" w:eastAsia="zh-CN"/>
                    </w:rPr>
                  </w:pPr>
                  <w:r>
                    <w:rPr>
                      <w:rFonts w:hint="eastAsia"/>
                      <w:color w:val="auto"/>
                      <w:lang w:val="en-US" w:eastAsia="zh-CN"/>
                    </w:rPr>
                    <w:t>颗粒物</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0.536</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22.34</w:t>
                  </w:r>
                </w:p>
              </w:tc>
              <w:tc>
                <w:tcPr>
                  <w:tcBorders>
                    <w:tl2br w:val="nil"/>
                    <w:tr2bl w:val="nil"/>
                  </w:tcBorders>
                  <w:vAlign w:val="center"/>
                </w:tcPr>
                <w:p>
                  <w:pPr>
                    <w:pStyle w:val="23"/>
                    <w:bidi w:val="0"/>
                    <w:rPr>
                      <w:color w:val="auto"/>
                      <w:lang w:val="en-US"/>
                    </w:rPr>
                  </w:pPr>
                  <w:r>
                    <w:rPr>
                      <w:color w:val="auto"/>
                      <w:lang w:val="en-US"/>
                    </w:rPr>
                    <w:t>有组织</w:t>
                  </w:r>
                </w:p>
              </w:tc>
              <w:tc>
                <w:tcPr>
                  <w:tcBorders>
                    <w:tl2br w:val="nil"/>
                    <w:tr2bl w:val="nil"/>
                  </w:tcBorders>
                  <w:vAlign w:val="center"/>
                </w:tcPr>
                <w:p>
                  <w:pPr>
                    <w:pStyle w:val="23"/>
                    <w:bidi w:val="0"/>
                    <w:rPr>
                      <w:color w:val="auto"/>
                      <w:lang w:val="en-US" w:eastAsia="zh-CN"/>
                    </w:rPr>
                  </w:pPr>
                  <w:r>
                    <w:rPr>
                      <w:rFonts w:hint="eastAsia"/>
                      <w:color w:val="auto"/>
                      <w:lang w:val="en-US" w:eastAsia="zh-CN"/>
                    </w:rPr>
                    <w:t>布袋除尘器</w:t>
                  </w:r>
                </w:p>
              </w:tc>
              <w:tc>
                <w:tcPr>
                  <w:tcBorders>
                    <w:tl2br w:val="nil"/>
                    <w:tr2bl w:val="nil"/>
                  </w:tcBorders>
                  <w:vAlign w:val="center"/>
                </w:tcPr>
                <w:p>
                  <w:pPr>
                    <w:pStyle w:val="23"/>
                    <w:bidi w:val="0"/>
                    <w:rPr>
                      <w:color w:val="auto"/>
                      <w:lang w:val="en-US" w:eastAsia="zh-CN"/>
                    </w:rPr>
                  </w:pPr>
                  <w:r>
                    <w:rPr>
                      <w:rFonts w:hint="eastAsia"/>
                      <w:color w:val="auto"/>
                      <w:lang w:val="en-US" w:eastAsia="zh-CN"/>
                    </w:rPr>
                    <w:t>10000</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90%/100%</w:t>
                  </w:r>
                </w:p>
              </w:tc>
              <w:tc>
                <w:tcPr>
                  <w:tcBorders>
                    <w:tl2br w:val="nil"/>
                    <w:tr2bl w:val="nil"/>
                  </w:tcBorders>
                  <w:vAlign w:val="center"/>
                </w:tcPr>
                <w:p>
                  <w:pPr>
                    <w:pStyle w:val="23"/>
                    <w:bidi w:val="0"/>
                    <w:rPr>
                      <w:color w:val="auto"/>
                      <w:lang w:val="en-US" w:eastAsia="zh-CN"/>
                    </w:rPr>
                  </w:pPr>
                  <w:r>
                    <w:rPr>
                      <w:rFonts w:hint="eastAsia"/>
                      <w:color w:val="auto"/>
                      <w:lang w:val="en-US" w:eastAsia="zh-CN"/>
                    </w:rPr>
                    <w:t>90%</w:t>
                  </w:r>
                </w:p>
              </w:tc>
              <w:tc>
                <w:tcPr>
                  <w:tcBorders>
                    <w:tl2br w:val="nil"/>
                    <w:tr2bl w:val="nil"/>
                  </w:tcBorders>
                  <w:vAlign w:val="center"/>
                </w:tcPr>
                <w:p>
                  <w:pPr>
                    <w:pStyle w:val="23"/>
                    <w:bidi w:val="0"/>
                    <w:rPr>
                      <w:color w:val="auto"/>
                      <w:lang w:val="en-US"/>
                    </w:rPr>
                  </w:pPr>
                  <w:r>
                    <w:rPr>
                      <w:color w:val="auto"/>
                      <w:lang w:val="en-US" w:eastAsia="zh-CN"/>
                    </w:rPr>
                    <w:t>是</w:t>
                  </w:r>
                </w:p>
              </w:tc>
              <w:tc>
                <w:tcPr>
                  <w:tcW w:w="1272" w:type="dxa"/>
                  <w:tcBorders>
                    <w:tl2br w:val="nil"/>
                    <w:tr2bl w:val="nil"/>
                  </w:tcBorders>
                  <w:vAlign w:val="center"/>
                </w:tcPr>
                <w:p>
                  <w:pPr>
                    <w:pStyle w:val="23"/>
                    <w:bidi w:val="0"/>
                    <w:ind w:firstLine="0"/>
                    <w:rPr>
                      <w:rFonts w:eastAsia="宋体"/>
                      <w:color w:val="auto"/>
                      <w:lang w:val="en-US" w:eastAsia="zh-CN"/>
                    </w:rPr>
                  </w:pPr>
                  <w:r>
                    <w:rPr>
                      <w:rFonts w:hint="eastAsia"/>
                      <w:color w:val="auto"/>
                      <w:lang w:val="en-US" w:eastAsia="zh-CN"/>
                    </w:rPr>
                    <w:t>2.23</w:t>
                  </w:r>
                </w:p>
              </w:tc>
              <w:tc>
                <w:tcPr>
                  <w:tcW w:w="1093" w:type="dxa"/>
                  <w:tcBorders>
                    <w:tl2br w:val="nil"/>
                    <w:tr2bl w:val="nil"/>
                  </w:tcBorders>
                  <w:vAlign w:val="center"/>
                </w:tcPr>
                <w:p>
                  <w:pPr>
                    <w:pStyle w:val="23"/>
                    <w:bidi w:val="0"/>
                    <w:ind w:firstLine="0"/>
                    <w:rPr>
                      <w:rFonts w:eastAsia="宋体"/>
                      <w:color w:val="auto"/>
                      <w:lang w:val="en-US" w:eastAsia="zh-CN"/>
                    </w:rPr>
                  </w:pPr>
                  <w:r>
                    <w:rPr>
                      <w:rFonts w:hint="eastAsia"/>
                      <w:color w:val="auto"/>
                      <w:lang w:val="en-US" w:eastAsia="zh-CN"/>
                    </w:rPr>
                    <w:t>0.02</w:t>
                  </w:r>
                </w:p>
              </w:tc>
              <w:tc>
                <w:tcPr>
                  <w:tcW w:w="993" w:type="dxa"/>
                  <w:tcBorders>
                    <w:tl2br w:val="nil"/>
                    <w:tr2bl w:val="nil"/>
                  </w:tcBorders>
                  <w:vAlign w:val="center"/>
                </w:tcPr>
                <w:p>
                  <w:pPr>
                    <w:pStyle w:val="23"/>
                    <w:bidi w:val="0"/>
                    <w:ind w:firstLine="0"/>
                    <w:rPr>
                      <w:rFonts w:eastAsia="宋体"/>
                      <w:color w:val="auto"/>
                      <w:lang w:val="en-US" w:eastAsia="zh-CN"/>
                    </w:rPr>
                  </w:pPr>
                  <w:r>
                    <w:rPr>
                      <w:rFonts w:eastAsia="宋体"/>
                      <w:color w:val="auto"/>
                      <w:lang w:val="en-US" w:eastAsia="zh-CN"/>
                    </w:rPr>
                    <w:t>0.</w:t>
                  </w:r>
                  <w:r>
                    <w:rPr>
                      <w:rFonts w:hint="eastAsia"/>
                      <w:color w:val="auto"/>
                      <w:lang w:val="en-US" w:eastAsia="zh-CN"/>
                    </w:rPr>
                    <w:t>054</w:t>
                  </w:r>
                </w:p>
              </w:tc>
            </w:tr>
            <w:tr>
              <w:trPr>
                <w:trHeight w:val="23"/>
              </w:trPr>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污水处理站</w:t>
                  </w:r>
                </w:p>
              </w:tc>
              <w:tc>
                <w:tcPr>
                  <w:tcBorders>
                    <w:tl2br w:val="nil"/>
                    <w:tr2bl w:val="nil"/>
                  </w:tcBorders>
                  <w:vAlign w:val="center"/>
                </w:tcPr>
                <w:p>
                  <w:pPr>
                    <w:pStyle w:val="23"/>
                    <w:bidi w:val="0"/>
                    <w:rPr>
                      <w:color w:val="auto"/>
                      <w:lang w:val="en-US" w:eastAsia="zh-CN"/>
                    </w:rPr>
                  </w:pPr>
                  <w:r>
                    <w:rPr>
                      <w:rFonts w:hint="eastAsia"/>
                      <w:color w:val="auto"/>
                      <w:lang w:val="en-US" w:eastAsia="zh-CN"/>
                    </w:rPr>
                    <w:t>NH</w:t>
                  </w:r>
                  <w:r>
                    <w:rPr>
                      <w:rFonts w:hint="eastAsia"/>
                      <w:color w:val="auto"/>
                      <w:vertAlign w:val="subscript"/>
                      <w:lang w:val="en-US" w:eastAsia="zh-CN"/>
                    </w:rPr>
                    <w:t>3</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0.726</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60.53</w:t>
                  </w:r>
                </w:p>
              </w:tc>
              <w:tc>
                <w:tcPr>
                  <w:vMerge w:val="restart"/>
                  <w:tcBorders>
                    <w:tl2br w:val="nil"/>
                    <w:tr2bl w:val="nil"/>
                  </w:tcBorders>
                  <w:vAlign w:val="center"/>
                </w:tcPr>
                <w:p>
                  <w:pPr>
                    <w:pStyle w:val="23"/>
                    <w:bidi w:val="0"/>
                    <w:rPr>
                      <w:color w:val="auto"/>
                      <w:lang w:val="en-US"/>
                    </w:rPr>
                  </w:pPr>
                  <w:r>
                    <w:rPr>
                      <w:color w:val="auto"/>
                      <w:lang w:val="en-US"/>
                    </w:rPr>
                    <w:t>有组织</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碱喷淋</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5000</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90%</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90%</w:t>
                  </w:r>
                </w:p>
              </w:tc>
              <w:tc>
                <w:tcPr>
                  <w:vMerge w:val="restar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是</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6.05</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0.03</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0.073</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color w:val="auto"/>
                      <w:lang w:val="en-US" w:eastAsia="zh-CN"/>
                    </w:rPr>
                  </w:pPr>
                  <w:r>
                    <w:rPr>
                      <w:rFonts w:hint="eastAsia"/>
                      <w:color w:val="auto"/>
                      <w:lang w:val="en-US" w:eastAsia="zh-CN"/>
                    </w:rPr>
                    <w:t>H</w:t>
                  </w:r>
                  <w:r>
                    <w:rPr>
                      <w:rFonts w:hint="eastAsia"/>
                      <w:color w:val="auto"/>
                      <w:vertAlign w:val="subscript"/>
                      <w:lang w:val="en-US" w:eastAsia="zh-CN"/>
                    </w:rPr>
                    <w:t>2</w:t>
                  </w:r>
                  <w:r>
                    <w:rPr>
                      <w:rFonts w:hint="eastAsia"/>
                      <w:color w:val="auto"/>
                      <w:lang w:val="en-US" w:eastAsia="zh-CN"/>
                    </w:rPr>
                    <w:t>S</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0.0018</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0.15</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0.02</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0.0001</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0.0002</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color w:val="auto"/>
                      <w:lang w:val="en-US" w:eastAsia="zh-CN"/>
                    </w:rPr>
                  </w:pPr>
                  <w:r>
                    <w:rPr>
                      <w:rFonts w:hint="eastAsia"/>
                      <w:color w:val="auto"/>
                      <w:lang w:val="en-US" w:eastAsia="zh-CN"/>
                    </w:rPr>
                    <w:t>臭气浓度</w:t>
                  </w:r>
                </w:p>
              </w:tc>
              <w:tc>
                <w:tcPr>
                  <w:gridSpan w:val="2"/>
                  <w:tcBorders>
                    <w:tl2br w:val="nil"/>
                    <w:tr2bl w:val="nil"/>
                  </w:tcBorders>
                  <w:vAlign w:val="center"/>
                </w:tcPr>
                <w:p>
                  <w:pPr>
                    <w:pStyle w:val="23"/>
                    <w:bidi w:val="0"/>
                    <w:rPr>
                      <w:rFonts w:eastAsia="宋体"/>
                      <w:color w:val="auto"/>
                      <w:lang w:val="en-US" w:eastAsia="zh-CN"/>
                    </w:rPr>
                  </w:pPr>
                  <w:r>
                    <w:rPr>
                      <w:rFonts w:hint="eastAsia"/>
                      <w:color w:val="auto"/>
                      <w:lang w:val="en-US" w:eastAsia="zh-CN"/>
                    </w:rPr>
                    <w:t>600（无量纲）</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gridSpan w:val="3"/>
                  <w:tcBorders>
                    <w:tl2br w:val="nil"/>
                    <w:tr2bl w:val="nil"/>
                  </w:tcBorders>
                  <w:vAlign w:val="center"/>
                </w:tcPr>
                <w:p>
                  <w:pPr>
                    <w:pStyle w:val="23"/>
                    <w:bidi w:val="0"/>
                    <w:rPr>
                      <w:rFonts w:eastAsia="宋体"/>
                      <w:color w:val="auto"/>
                      <w:lang w:val="en-US" w:eastAsia="zh-CN"/>
                    </w:rPr>
                  </w:pPr>
                  <w:r>
                    <w:rPr>
                      <w:rFonts w:hint="eastAsia"/>
                      <w:color w:val="auto"/>
                      <w:lang w:val="en-US" w:eastAsia="zh-CN"/>
                    </w:rPr>
                    <w:t>60（无量纲）</w:t>
                  </w:r>
                </w:p>
              </w:tc>
            </w:tr>
            <w:tr>
              <w:trPr>
                <w:trHeight w:val="23"/>
              </w:trPr>
              <w:tc>
                <w:tcPr>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蒸汽发生器</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NOx</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0.218</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28.1</w:t>
                  </w:r>
                </w:p>
              </w:tc>
              <w:tc>
                <w:tcPr>
                  <w:vMerge w:val="restart"/>
                  <w:tcBorders>
                    <w:tl2br w:val="nil"/>
                    <w:tr2bl w:val="nil"/>
                  </w:tcBorders>
                  <w:vAlign w:val="center"/>
                </w:tcPr>
                <w:p>
                  <w:pPr>
                    <w:pStyle w:val="23"/>
                    <w:bidi w:val="0"/>
                    <w:rPr>
                      <w:color w:val="auto"/>
                    </w:rPr>
                  </w:pPr>
                  <w:r>
                    <w:rPr>
                      <w:color w:val="auto"/>
                    </w:rPr>
                    <w:t>有组织</w:t>
                  </w:r>
                </w:p>
              </w:tc>
              <w:tc>
                <w:tcPr>
                  <w:vMerge w:val="restart"/>
                  <w:tcBorders>
                    <w:tl2br w:val="nil"/>
                    <w:tr2bl w:val="nil"/>
                  </w:tcBorders>
                  <w:vAlign w:val="center"/>
                </w:tcPr>
                <w:p>
                  <w:pPr>
                    <w:pStyle w:val="23"/>
                    <w:bidi w:val="0"/>
                    <w:rPr>
                      <w:color w:val="auto"/>
                    </w:rPr>
                  </w:pPr>
                  <w:r>
                    <w:rPr>
                      <w:rFonts w:hint="eastAsia"/>
                      <w:color w:val="auto"/>
                      <w:lang w:val="en-US" w:eastAsia="zh-CN"/>
                    </w:rPr>
                    <w:t>低氮燃烧技术</w:t>
                  </w:r>
                </w:p>
              </w:tc>
              <w:tc>
                <w:tcPr>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3232.59</w:t>
                  </w:r>
                </w:p>
              </w:tc>
              <w:tc>
                <w:tcPr>
                  <w:vMerge w:val="restart"/>
                  <w:tcBorders>
                    <w:tl2br w:val="nil"/>
                    <w:tr2bl w:val="nil"/>
                  </w:tcBorders>
                  <w:vAlign w:val="center"/>
                </w:tcPr>
                <w:p>
                  <w:pPr>
                    <w:pStyle w:val="23"/>
                    <w:bidi w:val="0"/>
                    <w:rPr>
                      <w:color w:val="auto"/>
                    </w:rPr>
                  </w:pPr>
                  <w:r>
                    <w:rPr>
                      <w:rFonts w:hint="eastAsia"/>
                      <w:color w:val="auto"/>
                      <w:lang w:val="en-US" w:eastAsia="zh-CN"/>
                    </w:rPr>
                    <w:t>100</w:t>
                  </w:r>
                  <w:r>
                    <w:rPr>
                      <w:color w:val="auto"/>
                    </w:rPr>
                    <w:t>%</w:t>
                  </w:r>
                </w:p>
              </w:tc>
              <w:tc>
                <w:tcPr>
                  <w:vMerge w:val="restart"/>
                  <w:tcBorders>
                    <w:tl2br w:val="nil"/>
                    <w:tr2bl w:val="nil"/>
                  </w:tcBorders>
                  <w:vAlign w:val="center"/>
                </w:tcPr>
                <w:p>
                  <w:pPr>
                    <w:pStyle w:val="23"/>
                    <w:bidi w:val="0"/>
                    <w:rPr>
                      <w:color w:val="auto"/>
                    </w:rPr>
                  </w:pPr>
                  <w:r>
                    <w:rPr>
                      <w:rFonts w:hint="eastAsia"/>
                      <w:color w:val="auto"/>
                      <w:lang w:val="en-US" w:eastAsia="zh-CN"/>
                    </w:rPr>
                    <w:t>/</w:t>
                  </w:r>
                </w:p>
              </w:tc>
              <w:tc>
                <w:tcPr>
                  <w:vMerge w:val="restart"/>
                  <w:tcBorders>
                    <w:tl2br w:val="nil"/>
                    <w:tr2bl w:val="nil"/>
                  </w:tcBorders>
                  <w:vAlign w:val="center"/>
                </w:tcPr>
                <w:p>
                  <w:pPr>
                    <w:pStyle w:val="23"/>
                    <w:bidi w:val="0"/>
                    <w:rPr>
                      <w:color w:val="auto"/>
                    </w:rPr>
                  </w:pPr>
                  <w:r>
                    <w:rPr>
                      <w:color w:val="auto"/>
                    </w:rPr>
                    <w:t>是</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28.1</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0.091</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0.218</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rFonts w:eastAsia="宋体"/>
                      <w:color w:val="auto"/>
                      <w:vertAlign w:val="subscript"/>
                      <w:lang w:val="en-US" w:eastAsia="zh-CN"/>
                    </w:rPr>
                  </w:pPr>
                  <w:r>
                    <w:rPr>
                      <w:rFonts w:hint="eastAsia"/>
                      <w:color w:val="auto"/>
                      <w:lang w:val="en-US" w:eastAsia="zh-CN"/>
                    </w:rPr>
                    <w:t>SO</w:t>
                  </w:r>
                  <w:r>
                    <w:rPr>
                      <w:rFonts w:hint="eastAsia"/>
                      <w:color w:val="auto"/>
                      <w:vertAlign w:val="subscript"/>
                      <w:lang w:val="en-US" w:eastAsia="zh-CN"/>
                    </w:rPr>
                    <w:t>2</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0.029</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3.74</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3.74</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0.012</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0.029</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color w:val="auto"/>
                      <w:lang w:val="en-US" w:eastAsia="zh-CN"/>
                    </w:rPr>
                  </w:pPr>
                  <w:r>
                    <w:rPr>
                      <w:rFonts w:hint="eastAsia"/>
                      <w:color w:val="auto"/>
                      <w:lang w:val="en-US" w:eastAsia="zh-CN"/>
                    </w:rPr>
                    <w:t>颗粒物</w:t>
                  </w:r>
                </w:p>
              </w:tc>
              <w:tc>
                <w:tcPr>
                  <w:tcBorders>
                    <w:tl2br w:val="nil"/>
                    <w:tr2bl w:val="nil"/>
                  </w:tcBorders>
                  <w:vAlign w:val="center"/>
                </w:tcPr>
                <w:p>
                  <w:pPr>
                    <w:pStyle w:val="23"/>
                    <w:bidi w:val="0"/>
                    <w:rPr>
                      <w:color w:val="auto"/>
                      <w:lang w:val="en-US" w:eastAsia="zh-CN"/>
                    </w:rPr>
                  </w:pPr>
                  <w:r>
                    <w:rPr>
                      <w:rFonts w:hint="eastAsia"/>
                      <w:color w:val="auto"/>
                      <w:lang w:val="en-US" w:eastAsia="zh-CN"/>
                    </w:rPr>
                    <w:t>0.024</w:t>
                  </w:r>
                </w:p>
              </w:tc>
              <w:tc>
                <w:tcPr>
                  <w:tcBorders>
                    <w:tl2br w:val="nil"/>
                    <w:tr2bl w:val="nil"/>
                  </w:tcBorders>
                  <w:vAlign w:val="center"/>
                </w:tcPr>
                <w:p>
                  <w:pPr>
                    <w:pStyle w:val="23"/>
                    <w:bidi w:val="0"/>
                    <w:rPr>
                      <w:color w:val="auto"/>
                      <w:lang w:val="en-US" w:eastAsia="zh-CN"/>
                    </w:rPr>
                  </w:pPr>
                  <w:r>
                    <w:rPr>
                      <w:rFonts w:hint="eastAsia"/>
                      <w:color w:val="auto"/>
                      <w:lang w:val="en-US" w:eastAsia="zh-CN"/>
                    </w:rPr>
                    <w:t>3.1</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3.1</w:t>
                  </w:r>
                </w:p>
              </w:tc>
              <w:tc>
                <w:tcPr>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0.024</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color w:val="auto"/>
                      <w:lang w:val="en-US" w:eastAsia="zh-CN"/>
                    </w:rPr>
                  </w:pPr>
                  <w:r>
                    <w:rPr>
                      <w:rFonts w:hint="eastAsia"/>
                      <w:color w:val="auto"/>
                      <w:lang w:val="en-US" w:eastAsia="zh-CN"/>
                    </w:rPr>
                    <w:t>烟气黑度</w:t>
                  </w:r>
                </w:p>
              </w:tc>
              <w:tc>
                <w:tcPr>
                  <w:gridSpan w:val="2"/>
                  <w:tcBorders>
                    <w:tl2br w:val="nil"/>
                    <w:tr2bl w:val="nil"/>
                  </w:tcBorders>
                  <w:vAlign w:val="center"/>
                </w:tcPr>
                <w:p>
                  <w:pPr>
                    <w:pStyle w:val="23"/>
                    <w:bidi w:val="0"/>
                    <w:rPr>
                      <w:color w:val="auto"/>
                      <w:lang w:val="en-US" w:eastAsia="zh-CN"/>
                    </w:rPr>
                  </w:pPr>
                  <w:r>
                    <w:rPr>
                      <w:rFonts w:hint="eastAsia"/>
                      <w:color w:val="auto"/>
                      <w:lang w:val="en-US" w:eastAsia="zh-CN"/>
                    </w:rPr>
                    <w:t>＜1</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gridSpan w:val="3"/>
                  <w:tcBorders>
                    <w:tl2br w:val="nil"/>
                    <w:tr2bl w:val="nil"/>
                  </w:tcBorders>
                  <w:vAlign w:val="center"/>
                </w:tcPr>
                <w:p>
                  <w:pPr>
                    <w:pStyle w:val="23"/>
                    <w:bidi w:val="0"/>
                    <w:rPr>
                      <w:rFonts w:hint="eastAsia"/>
                      <w:color w:val="auto"/>
                      <w:lang w:val="en-US" w:eastAsia="zh-CN"/>
                    </w:rPr>
                  </w:pPr>
                  <w:r>
                    <w:rPr>
                      <w:rFonts w:hint="eastAsia"/>
                      <w:color w:val="auto"/>
                      <w:lang w:val="en-US" w:eastAsia="zh-CN"/>
                    </w:rPr>
                    <w:t>＜1</w:t>
                  </w:r>
                </w:p>
              </w:tc>
            </w:tr>
            <w:tr>
              <w:trPr>
                <w:trHeight w:val="23"/>
              </w:trPr>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研发实验室</w:t>
                  </w:r>
                </w:p>
              </w:tc>
              <w:tc>
                <w:tcPr>
                  <w:tcBorders>
                    <w:tl2br w:val="nil"/>
                    <w:tr2bl w:val="nil"/>
                  </w:tcBorders>
                  <w:vAlign w:val="center"/>
                </w:tcPr>
                <w:p>
                  <w:pPr>
                    <w:pStyle w:val="23"/>
                    <w:bidi w:val="0"/>
                    <w:rPr>
                      <w:color w:val="auto"/>
                      <w:lang w:val="en-US" w:eastAsia="zh-CN"/>
                    </w:rPr>
                  </w:pPr>
                  <w:r>
                    <w:rPr>
                      <w:rFonts w:hint="eastAsia"/>
                      <w:color w:val="auto"/>
                      <w:lang w:val="en-US" w:eastAsia="zh-CN"/>
                    </w:rPr>
                    <w:t>臭气浓度</w:t>
                  </w:r>
                </w:p>
              </w:tc>
              <w:tc>
                <w:tcPr>
                  <w:gridSpan w:val="2"/>
                  <w:tcBorders>
                    <w:tl2br w:val="nil"/>
                    <w:tr2bl w:val="nil"/>
                  </w:tcBorders>
                  <w:vAlign w:val="center"/>
                </w:tcPr>
                <w:p>
                  <w:pPr>
                    <w:pStyle w:val="23"/>
                    <w:bidi w:val="0"/>
                    <w:rPr>
                      <w:color w:val="auto"/>
                      <w:lang w:val="en-US" w:eastAsia="zh-CN"/>
                    </w:rPr>
                  </w:pPr>
                  <w:r>
                    <w:rPr>
                      <w:rFonts w:hint="eastAsia"/>
                      <w:color w:val="auto"/>
                      <w:lang w:val="en-US" w:eastAsia="zh-CN"/>
                    </w:rPr>
                    <w:t>300（无量纲）</w:t>
                  </w:r>
                </w:p>
              </w:tc>
              <w:tc>
                <w:tcPr>
                  <w:tcBorders>
                    <w:tl2br w:val="nil"/>
                    <w:tr2bl w:val="nil"/>
                  </w:tcBorders>
                  <w:vAlign w:val="center"/>
                </w:tcPr>
                <w:p>
                  <w:pPr>
                    <w:pStyle w:val="23"/>
                    <w:bidi w:val="0"/>
                    <w:rPr>
                      <w:color w:val="auto"/>
                    </w:rPr>
                  </w:pPr>
                  <w:r>
                    <w:rPr>
                      <w:color w:val="auto"/>
                    </w:rPr>
                    <w:t>有组织</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活性炭吸附装置</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5000</w:t>
                  </w:r>
                </w:p>
              </w:tc>
              <w:tc>
                <w:tcPr>
                  <w:tcBorders>
                    <w:tl2br w:val="nil"/>
                    <w:tr2bl w:val="nil"/>
                  </w:tcBorders>
                  <w:vAlign w:val="center"/>
                </w:tcPr>
                <w:p>
                  <w:pPr>
                    <w:pStyle w:val="23"/>
                    <w:bidi w:val="0"/>
                    <w:rPr>
                      <w:color w:val="auto"/>
                    </w:rPr>
                  </w:pPr>
                  <w:r>
                    <w:rPr>
                      <w:rFonts w:hint="eastAsia"/>
                      <w:color w:val="auto"/>
                      <w:lang w:val="en-US" w:eastAsia="zh-CN"/>
                    </w:rPr>
                    <w:t>90%</w:t>
                  </w:r>
                </w:p>
              </w:tc>
              <w:tc>
                <w:tcPr>
                  <w:tcBorders>
                    <w:tl2br w:val="nil"/>
                    <w:tr2bl w:val="nil"/>
                  </w:tcBorders>
                  <w:vAlign w:val="center"/>
                </w:tcPr>
                <w:p>
                  <w:pPr>
                    <w:pStyle w:val="23"/>
                    <w:bidi w:val="0"/>
                    <w:rPr>
                      <w:rFonts w:eastAsia="宋体"/>
                      <w:color w:val="auto"/>
                      <w:lang w:val="en-US" w:eastAsia="zh-CN"/>
                    </w:rPr>
                  </w:pPr>
                  <w:r>
                    <w:rPr>
                      <w:rFonts w:hint="eastAsia"/>
                      <w:color w:val="auto"/>
                      <w:lang w:val="en-US" w:eastAsia="zh-CN"/>
                    </w:rPr>
                    <w:t>70%</w:t>
                  </w:r>
                </w:p>
              </w:tc>
              <w:tc>
                <w:tcPr>
                  <w:tcBorders>
                    <w:tl2br w:val="nil"/>
                    <w:tr2bl w:val="nil"/>
                  </w:tcBorders>
                  <w:vAlign w:val="center"/>
                </w:tcPr>
                <w:p>
                  <w:pPr>
                    <w:pStyle w:val="23"/>
                    <w:bidi w:val="0"/>
                    <w:rPr>
                      <w:rFonts w:eastAsia="宋体" w:hint="eastAsia"/>
                      <w:color w:val="auto"/>
                      <w:lang w:eastAsia="zh-CN"/>
                    </w:rPr>
                  </w:pPr>
                  <w:r>
                    <w:rPr>
                      <w:rFonts w:hint="eastAsia"/>
                      <w:color w:val="auto"/>
                      <w:lang w:eastAsia="zh-CN"/>
                    </w:rPr>
                    <w:t>是</w:t>
                  </w:r>
                </w:p>
              </w:tc>
              <w:tc>
                <w:tcPr>
                  <w:gridSpan w:val="3"/>
                  <w:tcBorders>
                    <w:tl2br w:val="nil"/>
                    <w:tr2bl w:val="nil"/>
                  </w:tcBorders>
                  <w:vAlign w:val="center"/>
                </w:tcPr>
                <w:p>
                  <w:pPr>
                    <w:pStyle w:val="23"/>
                    <w:bidi w:val="0"/>
                    <w:rPr>
                      <w:color w:val="auto"/>
                      <w:lang w:val="en-US" w:eastAsia="zh-CN"/>
                    </w:rPr>
                  </w:pPr>
                  <w:r>
                    <w:rPr>
                      <w:rFonts w:hint="eastAsia"/>
                      <w:color w:val="auto"/>
                      <w:lang w:val="en-US" w:eastAsia="zh-CN"/>
                    </w:rPr>
                    <w:t>90（无量纲）</w:t>
                  </w:r>
                </w:p>
              </w:tc>
            </w:tr>
            <w:tr>
              <w:trPr>
                <w:trHeight w:val="23"/>
              </w:trPr>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厂界</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Borders>
                    <w:tl2br w:val="nil"/>
                    <w:tr2bl w:val="nil"/>
                  </w:tcBorders>
                  <w:vAlign w:val="center"/>
                </w:tcPr>
                <w:p>
                  <w:pPr>
                    <w:pStyle w:val="23"/>
                    <w:bidi w:val="0"/>
                    <w:rPr>
                      <w:color w:val="auto"/>
                      <w:lang w:val="en-US" w:eastAsia="zh-CN"/>
                    </w:rPr>
                  </w:pPr>
                  <w:r>
                    <w:rPr>
                      <w:rFonts w:hint="eastAsia"/>
                      <w:color w:val="auto"/>
                      <w:lang w:val="en-US" w:eastAsia="zh-CN"/>
                    </w:rPr>
                    <w:t>0.019</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无组织</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车间密闭</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w:t>
                  </w:r>
                </w:p>
              </w:tc>
              <w:tc>
                <w:tcPr>
                  <w:vMerge w:val="restart"/>
                  <w:tcBorders>
                    <w:tl2br w:val="nil"/>
                    <w:tr2bl w:val="nil"/>
                  </w:tcBorders>
                  <w:vAlign w:val="center"/>
                </w:tcPr>
                <w:p>
                  <w:pPr>
                    <w:pStyle w:val="23"/>
                    <w:bidi w:val="0"/>
                    <w:rPr>
                      <w:color w:val="auto"/>
                      <w:lang w:val="en-US" w:eastAsia="zh-CN"/>
                    </w:rPr>
                  </w:pPr>
                  <w:r>
                    <w:rPr>
                      <w:rFonts w:hint="eastAsia"/>
                      <w:color w:val="auto"/>
                      <w:lang w:val="en-US" w:eastAsia="zh-CN"/>
                    </w:rPr>
                    <w:t>/</w:t>
                  </w:r>
                </w:p>
              </w:tc>
              <w:tc>
                <w:tcPr>
                  <w:vMerge w:val="restar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w:t>
                  </w:r>
                </w:p>
              </w:tc>
              <w:tc>
                <w:tcPr>
                  <w:vMerge w:val="restar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是</w:t>
                  </w:r>
                </w:p>
              </w:tc>
              <w:tc>
                <w:tcPr>
                  <w:tcBorders>
                    <w:tl2br w:val="nil"/>
                    <w:tr2bl w:val="nil"/>
                  </w:tcBorders>
                  <w:vAlign w:val="center"/>
                </w:tcPr>
                <w:p>
                  <w:pPr>
                    <w:pStyle w:val="23"/>
                    <w:bidi w:val="0"/>
                    <w:rPr>
                      <w:color w:val="auto"/>
                      <w:lang w:val="en-US" w:eastAsia="zh-CN"/>
                    </w:rPr>
                  </w:pPr>
                  <w:r>
                    <w:rPr>
                      <w:rFonts w:hint="eastAsia"/>
                      <w:color w:val="auto"/>
                      <w:lang w:val="en-US" w:eastAsia="zh-CN"/>
                    </w:rPr>
                    <w:t>/</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0.008</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0.019</w:t>
                  </w:r>
                </w:p>
              </w:tc>
            </w:tr>
            <w:tr>
              <w:trPr>
                <w:trHeight w:val="23"/>
              </w:trPr>
              <w:tc>
                <w:tcPr>
                  <w:vMerge/>
                  <w:tcBorders>
                    <w:tl2br w:val="nil"/>
                    <w:tr2bl w:val="nil"/>
                  </w:tcBorders>
                  <w:vAlign w:val="center"/>
                </w:tcPr>
                <w:p/>
              </w:tc>
              <w:tc>
                <w:tcPr>
                  <w:tcBorders>
                    <w:tl2br w:val="nil"/>
                    <w:tr2bl w:val="nil"/>
                  </w:tcBorders>
                  <w:vAlign w:val="center"/>
                </w:tcPr>
                <w:p>
                  <w:pPr>
                    <w:pStyle w:val="23"/>
                    <w:bidi w:val="0"/>
                    <w:rPr>
                      <w:rFonts w:hint="eastAsia"/>
                      <w:color w:val="auto"/>
                      <w:lang w:val="en-US" w:eastAsia="zh-CN"/>
                    </w:rPr>
                  </w:pPr>
                  <w:r>
                    <w:rPr>
                      <w:rFonts w:hint="eastAsia"/>
                      <w:color w:val="auto"/>
                      <w:lang w:val="en-US" w:eastAsia="zh-CN"/>
                    </w:rPr>
                    <w:t>颗粒物</w:t>
                  </w:r>
                </w:p>
              </w:tc>
              <w:tc>
                <w:tcPr>
                  <w:tcBorders>
                    <w:tl2br w:val="nil"/>
                    <w:tr2bl w:val="nil"/>
                  </w:tcBorders>
                  <w:vAlign w:val="center"/>
                </w:tcPr>
                <w:p>
                  <w:pPr>
                    <w:pStyle w:val="23"/>
                    <w:bidi w:val="0"/>
                    <w:rPr>
                      <w:color w:val="auto"/>
                      <w:lang w:val="en-US" w:eastAsia="zh-CN"/>
                    </w:rPr>
                  </w:pPr>
                  <w:r>
                    <w:rPr>
                      <w:rFonts w:hint="eastAsia"/>
                      <w:color w:val="auto"/>
                      <w:lang w:val="en-US" w:eastAsia="zh-CN"/>
                    </w:rPr>
                    <w:t>0.023</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tcBorders>
                    <w:tl2br w:val="nil"/>
                    <w:tr2bl w:val="nil"/>
                  </w:tcBorders>
                  <w:vAlign w:val="center"/>
                </w:tcPr>
                <w:p>
                  <w:pPr>
                    <w:pStyle w:val="23"/>
                    <w:bidi w:val="0"/>
                    <w:rPr>
                      <w:color w:val="auto"/>
                      <w:lang w:val="en-US" w:eastAsia="zh-CN"/>
                    </w:rPr>
                  </w:pPr>
                  <w:r>
                    <w:rPr>
                      <w:rFonts w:hint="eastAsia"/>
                      <w:color w:val="auto"/>
                      <w:lang w:val="en-US" w:eastAsia="zh-CN"/>
                    </w:rPr>
                    <w:t>/</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0.01</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0.023</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NH</w:t>
                  </w:r>
                  <w:r>
                    <w:rPr>
                      <w:rFonts w:hint="eastAsia"/>
                      <w:color w:val="auto"/>
                      <w:vertAlign w:val="subscript"/>
                      <w:lang w:val="en-US" w:eastAsia="zh-CN"/>
                    </w:rPr>
                    <w:t>3</w:t>
                  </w:r>
                </w:p>
              </w:tc>
              <w:tc>
                <w:tcPr>
                  <w:tcBorders>
                    <w:tl2br w:val="nil"/>
                    <w:tr2bl w:val="nil"/>
                  </w:tcBorders>
                  <w:vAlign w:val="center"/>
                </w:tcPr>
                <w:p>
                  <w:pPr>
                    <w:pStyle w:val="23"/>
                    <w:bidi w:val="0"/>
                    <w:rPr>
                      <w:color w:val="auto"/>
                      <w:lang w:val="en-US" w:eastAsia="zh-CN"/>
                    </w:rPr>
                  </w:pPr>
                  <w:r>
                    <w:rPr>
                      <w:rFonts w:hint="eastAsia"/>
                      <w:color w:val="auto"/>
                      <w:lang w:val="en-US" w:eastAsia="zh-CN"/>
                    </w:rPr>
                    <w:t>0.081</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tcBorders>
                    <w:tl2br w:val="nil"/>
                    <w:tr2bl w:val="nil"/>
                  </w:tcBorders>
                  <w:vAlign w:val="center"/>
                </w:tcPr>
                <w:p>
                  <w:pPr>
                    <w:pStyle w:val="23"/>
                    <w:bidi w:val="0"/>
                    <w:rPr>
                      <w:color w:val="auto"/>
                      <w:lang w:val="en-US" w:eastAsia="zh-CN"/>
                    </w:rPr>
                  </w:pPr>
                  <w:r>
                    <w:rPr>
                      <w:rFonts w:hint="eastAsia"/>
                      <w:color w:val="auto"/>
                      <w:lang w:val="en-US" w:eastAsia="zh-CN"/>
                    </w:rPr>
                    <w:t>/</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0.034</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0.081</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H</w:t>
                  </w:r>
                  <w:r>
                    <w:rPr>
                      <w:rFonts w:hint="eastAsia"/>
                      <w:color w:val="auto"/>
                      <w:vertAlign w:val="subscript"/>
                      <w:lang w:val="en-US" w:eastAsia="zh-CN"/>
                    </w:rPr>
                    <w:t>2</w:t>
                  </w:r>
                  <w:r>
                    <w:rPr>
                      <w:rFonts w:hint="eastAsia"/>
                      <w:color w:val="auto"/>
                      <w:lang w:val="en-US" w:eastAsia="zh-CN"/>
                    </w:rPr>
                    <w:t>S</w:t>
                  </w:r>
                </w:p>
              </w:tc>
              <w:tc>
                <w:tcPr>
                  <w:tcBorders>
                    <w:tl2br w:val="nil"/>
                    <w:tr2bl w:val="nil"/>
                  </w:tcBorders>
                  <w:vAlign w:val="center"/>
                </w:tcPr>
                <w:p>
                  <w:pPr>
                    <w:pStyle w:val="23"/>
                    <w:bidi w:val="0"/>
                    <w:rPr>
                      <w:color w:val="auto"/>
                      <w:lang w:val="en-US" w:eastAsia="zh-CN"/>
                    </w:rPr>
                  </w:pPr>
                  <w:r>
                    <w:rPr>
                      <w:rFonts w:hint="eastAsia"/>
                      <w:color w:val="auto"/>
                      <w:lang w:val="en-US" w:eastAsia="zh-CN"/>
                    </w:rPr>
                    <w:t>0.0002</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tcBorders>
                    <w:tl2br w:val="nil"/>
                    <w:tr2bl w:val="nil"/>
                  </w:tcBorders>
                  <w:vAlign w:val="center"/>
                </w:tcPr>
                <w:p>
                  <w:pPr>
                    <w:pStyle w:val="23"/>
                    <w:bidi w:val="0"/>
                    <w:rPr>
                      <w:color w:val="auto"/>
                      <w:lang w:val="en-US" w:eastAsia="zh-CN"/>
                    </w:rPr>
                  </w:pPr>
                  <w:r>
                    <w:rPr>
                      <w:rFonts w:hint="eastAsia"/>
                      <w:color w:val="auto"/>
                      <w:lang w:val="en-US" w:eastAsia="zh-CN"/>
                    </w:rPr>
                    <w:t>/</w:t>
                  </w:r>
                </w:p>
              </w:tc>
              <w:tc>
                <w:tcPr>
                  <w:tcBorders>
                    <w:tl2br w:val="nil"/>
                    <w:tr2bl w:val="nil"/>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0.00008</w:t>
                  </w: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0.0002</w:t>
                  </w:r>
                </w:p>
              </w:tc>
            </w:tr>
            <w:tr>
              <w:trPr>
                <w:trHeight w:val="23"/>
              </w:trPr>
              <w:tc>
                <w:tcPr>
                  <w:vMerge/>
                  <w:tcBorders>
                    <w:tl2br w:val="nil"/>
                    <w:tr2bl w:val="nil"/>
                  </w:tcBorders>
                  <w:vAlign w:val="center"/>
                </w:tcPr>
                <w:p/>
              </w:tc>
              <w:tc>
                <w:tcPr>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臭气浓度</w:t>
                  </w:r>
                </w:p>
              </w:tc>
              <w:tc>
                <w:tcPr>
                  <w:gridSpan w:val="2"/>
                  <w:tcBorders>
                    <w:tl2br w:val="nil"/>
                    <w:tr2bl w:val="nil"/>
                  </w:tcBorders>
                  <w:vAlign w:val="center"/>
                </w:tcPr>
                <w:p>
                  <w:pPr>
                    <w:pStyle w:val="23"/>
                    <w:bidi w:val="0"/>
                    <w:rPr>
                      <w:color w:val="auto"/>
                      <w:lang w:val="en-US" w:eastAsia="zh-CN"/>
                    </w:rPr>
                  </w:pPr>
                  <w:r>
                    <w:rPr>
                      <w:rFonts w:hint="eastAsia"/>
                      <w:color w:val="auto"/>
                      <w:lang w:val="en-US" w:eastAsia="zh-CN"/>
                    </w:rPr>
                    <w:t>＜20（无量纲）</w:t>
                  </w: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vMerge/>
                  <w:tcBorders>
                    <w:tl2br w:val="nil"/>
                    <w:tr2bl w:val="nil"/>
                  </w:tcBorders>
                  <w:vAlign w:val="center"/>
                </w:tcPr>
                <w:p/>
              </w:tc>
              <w:tc>
                <w:tcPr>
                  <w:gridSpan w:val="3"/>
                  <w:tcBorders>
                    <w:tl2br w:val="nil"/>
                    <w:tr2bl w:val="nil"/>
                  </w:tcBorders>
                  <w:vAlign w:val="center"/>
                </w:tcPr>
                <w:p>
                  <w:pPr>
                    <w:pStyle w:val="23"/>
                    <w:bidi w:val="0"/>
                    <w:rPr>
                      <w:rFonts w:hint="eastAsia"/>
                      <w:color w:val="auto"/>
                      <w:lang w:val="en-US" w:eastAsia="zh-CN"/>
                    </w:rPr>
                  </w:pPr>
                  <w:r>
                    <w:rPr>
                      <w:rFonts w:hint="eastAsia"/>
                      <w:color w:val="auto"/>
                      <w:lang w:val="en-US" w:eastAsia="zh-CN"/>
                    </w:rPr>
                    <w:t>＜20（无量纲）</w:t>
                  </w:r>
                </w:p>
              </w:tc>
            </w:tr>
          </w:tbl>
          <w:p>
            <w:pPr>
              <w:spacing w:line="360" w:lineRule="auto"/>
              <w:jc w:val="center"/>
              <w:rPr>
                <w:rFonts w:ascii="Times New Roman" w:hAnsi="Times New Roman"/>
                <w:b/>
                <w:bCs/>
                <w:color w:val="auto"/>
                <w:sz w:val="24"/>
                <w:szCs w:val="24"/>
              </w:rPr>
            </w:pPr>
          </w:p>
          <w:p>
            <w:pPr>
              <w:spacing w:line="360" w:lineRule="auto"/>
              <w:jc w:val="center"/>
              <w:rPr>
                <w:rFonts w:ascii="Times New Roman" w:hAnsi="Times New Roman"/>
                <w:b/>
                <w:bCs/>
                <w:color w:val="auto"/>
                <w:sz w:val="24"/>
                <w:szCs w:val="24"/>
              </w:rPr>
            </w:pPr>
          </w:p>
          <w:p>
            <w:pPr>
              <w:spacing w:line="360" w:lineRule="auto"/>
              <w:jc w:val="center"/>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spacing w:line="360" w:lineRule="auto"/>
              <w:ind w:firstLineChars="0" w:firstLine="0"/>
              <w:rPr>
                <w:rFonts w:ascii="Times New Roman" w:hAnsi="Times New Roman"/>
                <w:b/>
                <w:bCs/>
                <w:color w:val="auto"/>
                <w:sz w:val="24"/>
                <w:szCs w:val="24"/>
              </w:rPr>
            </w:pPr>
          </w:p>
          <w:p>
            <w:pPr>
              <w:ind w:left="0"/>
              <w:jc w:val="both"/>
              <w:rPr>
                <w:b/>
                <w:color w:val="auto"/>
                <w:kern w:val="0"/>
                <w:szCs w:val="28"/>
              </w:rPr>
            </w:pPr>
          </w:p>
        </w:tc>
      </w:tr>
    </w:tbl>
    <w:p>
      <w:pPr>
        <w:ind w:left="420"/>
        <w:rPr>
          <w:b/>
          <w:color w:val="auto"/>
          <w:kern w:val="0"/>
          <w:szCs w:val="28"/>
        </w:rPr>
        <w:sectPr>
          <w:pgSz w:w="16840" w:h="11907" w:orient="landscape"/>
          <w:pgMar w:top="1417" w:right="1417" w:bottom="1417" w:left="1417" w:header="851" w:footer="851" w:gutter="0"/>
          <w:pgNumType/>
          <w:cols w:num="1" w:space="720"/>
          <w:docGrid w:linePitch="312" w:charSpace="0"/>
        </w:sectPr>
      </w:pP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21"/>
        <w:gridCol w:w="8667"/>
      </w:tblGrid>
      <w:tr>
        <w:tc>
          <w:tcPr>
            <w:tcW w:w="334" w:type="pct"/>
          </w:tcPr>
          <w:p>
            <w:pPr>
              <w:ind w:left="420"/>
              <w:rPr>
                <w:b/>
                <w:color w:val="auto"/>
                <w:kern w:val="0"/>
                <w:szCs w:val="28"/>
              </w:rPr>
            </w:pPr>
          </w:p>
        </w:tc>
        <w:tc>
          <w:tcPr>
            <w:tcW w:w="4665" w:type="pct"/>
          </w:tcPr>
          <w:p>
            <w:pPr>
              <w:spacing w:line="360" w:lineRule="auto"/>
              <w:ind w:firstLineChars="200" w:firstLine="480"/>
              <w:rPr>
                <w:color w:val="auto"/>
                <w:sz w:val="24"/>
              </w:rPr>
            </w:pPr>
            <w:r>
              <w:rPr>
                <w:rFonts w:hint="eastAsia"/>
                <w:color w:val="auto"/>
                <w:sz w:val="24"/>
                <w:lang w:val="en-US" w:eastAsia="zh-CN"/>
              </w:rPr>
              <w:t>3</w:t>
            </w:r>
            <w:r>
              <w:rPr>
                <w:color w:val="auto"/>
                <w:sz w:val="24"/>
              </w:rPr>
              <w:t>、措施可行性及其分析</w:t>
            </w:r>
          </w:p>
          <w:p>
            <w:pPr>
              <w:spacing w:line="360" w:lineRule="auto"/>
              <w:ind w:firstLineChars="200" w:firstLine="480"/>
              <w:rPr>
                <w:color w:val="auto"/>
                <w:sz w:val="24"/>
              </w:rPr>
            </w:pPr>
            <w:r>
              <w:rPr>
                <w:rFonts w:hint="eastAsia"/>
                <w:color w:val="auto"/>
                <w:sz w:val="24"/>
              </w:rPr>
              <w:t>①废气治理措施</w:t>
            </w:r>
          </w:p>
          <w:p>
            <w:pPr>
              <w:widowControl/>
              <w:tabs>
                <w:tab w:val="left" w:pos="1305"/>
              </w:tabs>
              <w:spacing w:line="360" w:lineRule="auto"/>
              <w:ind w:firstLineChars="200" w:firstLine="480"/>
              <w:rPr>
                <w:color w:val="auto"/>
                <w:sz w:val="24"/>
              </w:rPr>
            </w:pPr>
            <w:r>
              <w:rPr>
                <w:color w:val="auto"/>
                <w:sz w:val="24"/>
              </w:rPr>
              <w:t>项目废气污染源及治理措施见下表。</w:t>
            </w:r>
          </w:p>
          <w:p>
            <w:pPr>
              <w:pStyle w:val="24"/>
              <w:bidi w:val="0"/>
              <w:rPr>
                <w:color w:val="auto"/>
              </w:rPr>
            </w:pPr>
            <w:r>
              <w:rPr>
                <w:color w:val="auto"/>
              </w:rPr>
              <w:t>表4-</w:t>
            </w:r>
            <w:r>
              <w:rPr>
                <w:rFonts w:hint="eastAsia"/>
                <w:color w:val="auto"/>
                <w:lang w:val="en-US" w:eastAsia="zh-CN"/>
              </w:rPr>
              <w:t>5</w:t>
            </w:r>
            <w:r>
              <w:rPr>
                <w:rFonts w:hint="eastAsia"/>
                <w:color w:val="auto"/>
              </w:rPr>
              <w:t xml:space="preserve">   </w:t>
            </w:r>
            <w:r>
              <w:rPr>
                <w:color w:val="auto"/>
              </w:rPr>
              <w:t>项目废气污染源及其治理措施一览表</w:t>
            </w:r>
          </w:p>
          <w:tbl>
            <w:tblPr>
              <w:jc w:val="cente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2030"/>
              <w:gridCol w:w="1427"/>
              <w:gridCol w:w="1274"/>
              <w:gridCol w:w="1792"/>
              <w:gridCol w:w="1910"/>
            </w:tblGrid>
            <w:tr>
              <w:trPr>
                <w:trHeight w:val="23"/>
              </w:trPr>
              <w:tc>
                <w:tcPr>
                  <w:tcW w:w="1203" w:type="pct"/>
                  <w:vMerge w:val="restart"/>
                  <w:tcBorders>
                    <w:tl2br w:val="nil"/>
                    <w:tr2bl w:val="nil"/>
                  </w:tcBorders>
                  <w:vAlign w:val="center"/>
                </w:tcPr>
                <w:p>
                  <w:pPr>
                    <w:pStyle w:val="23"/>
                    <w:bidi w:val="0"/>
                    <w:rPr>
                      <w:color w:val="auto"/>
                    </w:rPr>
                  </w:pPr>
                  <w:r>
                    <w:rPr>
                      <w:color w:val="auto"/>
                    </w:rPr>
                    <w:t>污染源名称</w:t>
                  </w:r>
                </w:p>
              </w:tc>
              <w:tc>
                <w:tcPr>
                  <w:tcW w:w="846" w:type="pct"/>
                  <w:vMerge w:val="restart"/>
                  <w:tcBorders>
                    <w:tl2br w:val="nil"/>
                    <w:tr2bl w:val="nil"/>
                  </w:tcBorders>
                  <w:vAlign w:val="center"/>
                </w:tcPr>
                <w:p>
                  <w:pPr>
                    <w:pStyle w:val="23"/>
                    <w:bidi w:val="0"/>
                    <w:rPr>
                      <w:color w:val="auto"/>
                    </w:rPr>
                  </w:pPr>
                  <w:r>
                    <w:rPr>
                      <w:color w:val="auto"/>
                    </w:rPr>
                    <w:t>主要污染因子</w:t>
                  </w:r>
                </w:p>
              </w:tc>
              <w:tc>
                <w:tcPr>
                  <w:tcW w:w="2949" w:type="pct"/>
                  <w:gridSpan w:val="3"/>
                  <w:tcBorders>
                    <w:tl2br w:val="nil"/>
                    <w:tr2bl w:val="nil"/>
                  </w:tcBorders>
                  <w:vAlign w:val="center"/>
                </w:tcPr>
                <w:p>
                  <w:pPr>
                    <w:pStyle w:val="23"/>
                    <w:bidi w:val="0"/>
                    <w:rPr>
                      <w:color w:val="auto"/>
                    </w:rPr>
                  </w:pPr>
                  <w:r>
                    <w:rPr>
                      <w:color w:val="auto"/>
                    </w:rPr>
                    <w:t>治理措施</w:t>
                  </w:r>
                </w:p>
              </w:tc>
            </w:tr>
            <w:tr>
              <w:trPr>
                <w:trHeight w:val="23"/>
              </w:trPr>
              <w:tc>
                <w:tcPr>
                  <w:tcW w:w="1203" w:type="pct"/>
                  <w:vMerge/>
                  <w:tcBorders>
                    <w:tl2br w:val="nil"/>
                    <w:tr2bl w:val="nil"/>
                  </w:tcBorders>
                  <w:vAlign w:val="center"/>
                </w:tcPr>
                <w:p/>
              </w:tc>
              <w:tc>
                <w:tcPr>
                  <w:tcW w:w="846" w:type="pct"/>
                  <w:vMerge/>
                  <w:tcBorders>
                    <w:tl2br w:val="nil"/>
                    <w:tr2bl w:val="nil"/>
                  </w:tcBorders>
                  <w:vAlign w:val="center"/>
                </w:tcPr>
                <w:p/>
              </w:tc>
              <w:tc>
                <w:tcPr>
                  <w:tcW w:w="755" w:type="pct"/>
                  <w:tcBorders>
                    <w:tl2br w:val="nil"/>
                    <w:tr2bl w:val="nil"/>
                  </w:tcBorders>
                  <w:vAlign w:val="center"/>
                </w:tcPr>
                <w:p>
                  <w:pPr>
                    <w:pStyle w:val="23"/>
                    <w:bidi w:val="0"/>
                    <w:rPr>
                      <w:color w:val="auto"/>
                    </w:rPr>
                  </w:pPr>
                  <w:r>
                    <w:rPr>
                      <w:color w:val="auto"/>
                    </w:rPr>
                    <w:t>收集措施</w:t>
                  </w:r>
                </w:p>
              </w:tc>
              <w:tc>
                <w:tcPr>
                  <w:tcW w:w="1062" w:type="pct"/>
                  <w:tcBorders>
                    <w:tl2br w:val="nil"/>
                    <w:tr2bl w:val="nil"/>
                  </w:tcBorders>
                  <w:vAlign w:val="center"/>
                </w:tcPr>
                <w:p>
                  <w:pPr>
                    <w:pStyle w:val="23"/>
                    <w:bidi w:val="0"/>
                    <w:rPr>
                      <w:color w:val="auto"/>
                    </w:rPr>
                  </w:pPr>
                  <w:r>
                    <w:rPr>
                      <w:color w:val="auto"/>
                    </w:rPr>
                    <w:t>净化措施</w:t>
                  </w:r>
                </w:p>
              </w:tc>
              <w:tc>
                <w:tcPr>
                  <w:tcW w:w="1132" w:type="pct"/>
                  <w:tcBorders>
                    <w:tl2br w:val="nil"/>
                    <w:tr2bl w:val="nil"/>
                  </w:tcBorders>
                  <w:vAlign w:val="center"/>
                </w:tcPr>
                <w:p>
                  <w:pPr>
                    <w:pStyle w:val="23"/>
                    <w:bidi w:val="0"/>
                    <w:rPr>
                      <w:color w:val="auto"/>
                    </w:rPr>
                  </w:pPr>
                  <w:r>
                    <w:rPr>
                      <w:color w:val="auto"/>
                    </w:rPr>
                    <w:t>排放措施</w:t>
                  </w:r>
                </w:p>
              </w:tc>
            </w:tr>
            <w:tr>
              <w:trPr>
                <w:trHeight w:val="23"/>
              </w:trPr>
              <w:tc>
                <w:tcPr>
                  <w:tcW w:w="1203"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打码、热合封口、贴管、饮料灌装、检测实验室、食品添加剂生产、包装膜加热废气</w:t>
                  </w: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W w:w="755" w:type="pct"/>
                  <w:vMerge w:val="restart"/>
                  <w:tcBorders>
                    <w:tl2br w:val="nil"/>
                    <w:tr2bl w:val="nil"/>
                  </w:tcBorders>
                  <w:vAlign w:val="center"/>
                </w:tcPr>
                <w:p>
                  <w:pPr>
                    <w:pStyle w:val="23"/>
                    <w:bidi w:val="0"/>
                    <w:rPr>
                      <w:color w:val="auto"/>
                      <w:lang w:val="en-US" w:eastAsia="zh-CN"/>
                    </w:rPr>
                  </w:pPr>
                  <w:r>
                    <w:rPr>
                      <w:rFonts w:hint="eastAsia"/>
                      <w:color w:val="auto"/>
                      <w:lang w:val="en-US" w:eastAsia="zh-CN"/>
                    </w:rPr>
                    <w:t>整体收集/集气罩</w:t>
                  </w:r>
                </w:p>
              </w:tc>
              <w:tc>
                <w:tcPr>
                  <w:tcW w:w="1062" w:type="pct"/>
                  <w:vMerge w:val="restart"/>
                  <w:tcBorders>
                    <w:tl2br w:val="nil"/>
                    <w:tr2bl w:val="nil"/>
                  </w:tcBorders>
                  <w:vAlign w:val="center"/>
                </w:tcPr>
                <w:p>
                  <w:pPr>
                    <w:pStyle w:val="23"/>
                    <w:bidi w:val="0"/>
                    <w:rPr>
                      <w:color w:val="auto"/>
                      <w:lang w:val="en-US" w:eastAsia="zh-CN"/>
                    </w:rPr>
                  </w:pPr>
                  <w:r>
                    <w:rPr>
                      <w:rFonts w:hint="eastAsia"/>
                      <w:color w:val="auto"/>
                      <w:lang w:val="en-US" w:eastAsia="zh-CN"/>
                    </w:rPr>
                    <w:t>干式过滤+两级活性炭吸附</w:t>
                  </w:r>
                </w:p>
              </w:tc>
              <w:tc>
                <w:tcPr>
                  <w:tcW w:w="1132" w:type="pct"/>
                  <w:vMerge w:val="restart"/>
                  <w:tcBorders>
                    <w:tl2br w:val="nil"/>
                    <w:tr2bl w:val="nil"/>
                  </w:tcBorders>
                  <w:vAlign w:val="center"/>
                </w:tcPr>
                <w:p>
                  <w:pPr>
                    <w:pStyle w:val="23"/>
                    <w:bidi w:val="0"/>
                    <w:rPr>
                      <w:color w:val="auto"/>
                      <w:lang w:val="en-US" w:eastAsia="zh-CN"/>
                    </w:rPr>
                  </w:pPr>
                  <w:r>
                    <w:rPr>
                      <w:rFonts w:hint="eastAsia"/>
                      <w:color w:val="auto"/>
                      <w:lang w:val="en-US" w:eastAsia="zh-CN"/>
                    </w:rPr>
                    <w:t>15m排气筒DA001</w:t>
                  </w:r>
                </w:p>
              </w:tc>
            </w:tr>
            <w:tr>
              <w:trPr>
                <w:trHeight w:val="23"/>
              </w:trPr>
              <w:tc>
                <w:tcPr>
                  <w:tcW w:w="1203" w:type="pct"/>
                  <w:vMerge/>
                  <w:tcBorders>
                    <w:tl2br w:val="nil"/>
                    <w:tr2bl w:val="nil"/>
                  </w:tcBorders>
                  <w:vAlign w:val="center"/>
                </w:tcP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臭气浓度</w:t>
                  </w:r>
                </w:p>
              </w:tc>
              <w:tc>
                <w:tcPr>
                  <w:tcW w:w="755" w:type="pct"/>
                  <w:vMerge/>
                  <w:tcBorders>
                    <w:tl2br w:val="nil"/>
                    <w:tr2bl w:val="nil"/>
                  </w:tcBorders>
                  <w:vAlign w:val="center"/>
                </w:tcPr>
                <w:p/>
              </w:tc>
              <w:tc>
                <w:tcPr>
                  <w:tcW w:w="1062" w:type="pct"/>
                  <w:vMerge/>
                  <w:tcBorders>
                    <w:tl2br w:val="nil"/>
                    <w:tr2bl w:val="nil"/>
                  </w:tcBorders>
                  <w:vAlign w:val="center"/>
                </w:tcPr>
                <w:p/>
              </w:tc>
              <w:tc>
                <w:tcPr>
                  <w:tcW w:w="1132" w:type="pct"/>
                  <w:vMerge/>
                  <w:tcBorders>
                    <w:tl2br w:val="nil"/>
                    <w:tr2bl w:val="nil"/>
                  </w:tcBorders>
                  <w:vAlign w:val="center"/>
                </w:tcPr>
                <w:p/>
              </w:tc>
            </w:tr>
            <w:tr>
              <w:trPr>
                <w:trHeight w:val="23"/>
              </w:trPr>
              <w:tc>
                <w:tcPr>
                  <w:tcW w:w="1203"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真空上料、喷雾干燥、粉料灌装</w:t>
                  </w: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颗粒物</w:t>
                  </w:r>
                </w:p>
              </w:tc>
              <w:tc>
                <w:tcPr>
                  <w:tcW w:w="755" w:type="pct"/>
                  <w:tcBorders>
                    <w:tl2br w:val="nil"/>
                    <w:tr2bl w:val="nil"/>
                  </w:tcBorders>
                  <w:vAlign w:val="center"/>
                </w:tcPr>
                <w:p>
                  <w:pPr>
                    <w:pStyle w:val="23"/>
                    <w:bidi w:val="0"/>
                    <w:rPr>
                      <w:color w:val="auto"/>
                      <w:lang w:val="en-US" w:eastAsia="zh-CN"/>
                    </w:rPr>
                  </w:pPr>
                  <w:r>
                    <w:rPr>
                      <w:rFonts w:hint="eastAsia"/>
                      <w:color w:val="auto"/>
                      <w:lang w:val="en-US" w:eastAsia="zh-CN"/>
                    </w:rPr>
                    <w:t>集气罩/集气管道</w:t>
                  </w:r>
                </w:p>
              </w:tc>
              <w:tc>
                <w:tcPr>
                  <w:tcW w:w="1062" w:type="pct"/>
                  <w:tcBorders>
                    <w:tl2br w:val="nil"/>
                    <w:tr2bl w:val="nil"/>
                  </w:tcBorders>
                  <w:vAlign w:val="center"/>
                </w:tcPr>
                <w:p>
                  <w:pPr>
                    <w:pStyle w:val="23"/>
                    <w:bidi w:val="0"/>
                    <w:rPr>
                      <w:color w:val="auto"/>
                      <w:lang w:val="en-US" w:eastAsia="zh-CN"/>
                    </w:rPr>
                  </w:pPr>
                  <w:r>
                    <w:rPr>
                      <w:rFonts w:hint="eastAsia"/>
                      <w:color w:val="auto"/>
                      <w:lang w:val="en-US" w:eastAsia="zh-CN"/>
                    </w:rPr>
                    <w:t>布袋除尘器</w:t>
                  </w:r>
                </w:p>
              </w:tc>
              <w:tc>
                <w:tcPr>
                  <w:tcW w:w="1132" w:type="pct"/>
                  <w:tcBorders>
                    <w:tl2br w:val="nil"/>
                    <w:tr2bl w:val="nil"/>
                  </w:tcBorders>
                  <w:vAlign w:val="center"/>
                </w:tcPr>
                <w:p>
                  <w:pPr>
                    <w:pStyle w:val="23"/>
                    <w:bidi w:val="0"/>
                    <w:rPr>
                      <w:color w:val="auto"/>
                      <w:lang w:val="en-US" w:eastAsia="zh-CN"/>
                    </w:rPr>
                  </w:pPr>
                  <w:r>
                    <w:rPr>
                      <w:rFonts w:hint="eastAsia"/>
                      <w:color w:val="auto"/>
                      <w:lang w:val="en-US" w:eastAsia="zh-CN"/>
                    </w:rPr>
                    <w:t>15m排气筒DA002</w:t>
                  </w:r>
                </w:p>
              </w:tc>
            </w:tr>
            <w:tr>
              <w:trPr>
                <w:trHeight w:val="23"/>
              </w:trPr>
              <w:tc>
                <w:tcPr>
                  <w:tcW w:w="1203"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污水处理站</w:t>
                  </w: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NH</w:t>
                  </w:r>
                  <w:r>
                    <w:rPr>
                      <w:rFonts w:hint="eastAsia"/>
                      <w:color w:val="auto"/>
                      <w:vertAlign w:val="subscript"/>
                      <w:lang w:val="en-US" w:eastAsia="zh-CN"/>
                    </w:rPr>
                    <w:t>3</w:t>
                  </w:r>
                </w:p>
              </w:tc>
              <w:tc>
                <w:tcPr>
                  <w:tcW w:w="755" w:type="pct"/>
                  <w:vMerge w:val="restart"/>
                  <w:tcBorders>
                    <w:tl2br w:val="nil"/>
                    <w:tr2bl w:val="nil"/>
                  </w:tcBorders>
                  <w:vAlign w:val="center"/>
                </w:tcPr>
                <w:p>
                  <w:pPr>
                    <w:pStyle w:val="23"/>
                    <w:bidi w:val="0"/>
                    <w:rPr>
                      <w:color w:val="auto"/>
                      <w:lang w:val="en-US" w:eastAsia="zh-CN"/>
                    </w:rPr>
                  </w:pPr>
                  <w:r>
                    <w:rPr>
                      <w:rFonts w:hint="eastAsia"/>
                      <w:color w:val="auto"/>
                      <w:lang w:val="en-US" w:eastAsia="zh-CN"/>
                    </w:rPr>
                    <w:t>集气罩</w:t>
                  </w:r>
                </w:p>
              </w:tc>
              <w:tc>
                <w:tcPr>
                  <w:tcW w:w="1062" w:type="pct"/>
                  <w:vMerge w:val="restart"/>
                  <w:tcBorders>
                    <w:tl2br w:val="nil"/>
                    <w:tr2bl w:val="nil"/>
                  </w:tcBorders>
                  <w:vAlign w:val="center"/>
                </w:tcPr>
                <w:p>
                  <w:pPr>
                    <w:pStyle w:val="23"/>
                    <w:bidi w:val="0"/>
                    <w:rPr>
                      <w:color w:val="auto"/>
                      <w:lang w:val="en-US" w:eastAsia="zh-CN"/>
                    </w:rPr>
                  </w:pPr>
                  <w:r>
                    <w:rPr>
                      <w:rFonts w:hint="eastAsia"/>
                      <w:color w:val="auto"/>
                      <w:lang w:val="en-US" w:eastAsia="zh-CN"/>
                    </w:rPr>
                    <w:t>碱喷淋</w:t>
                  </w:r>
                </w:p>
              </w:tc>
              <w:tc>
                <w:tcPr>
                  <w:tcW w:w="1132" w:type="pct"/>
                  <w:vMerge w:val="restart"/>
                  <w:tcBorders>
                    <w:tl2br w:val="nil"/>
                    <w:tr2bl w:val="nil"/>
                  </w:tcBorders>
                  <w:vAlign w:val="center"/>
                </w:tcPr>
                <w:p>
                  <w:pPr>
                    <w:pStyle w:val="23"/>
                    <w:bidi w:val="0"/>
                    <w:rPr>
                      <w:color w:val="auto"/>
                      <w:lang w:val="en-US" w:eastAsia="zh-CN"/>
                    </w:rPr>
                  </w:pPr>
                  <w:r>
                    <w:rPr>
                      <w:rFonts w:hint="eastAsia"/>
                      <w:color w:val="auto"/>
                      <w:lang w:val="en-US" w:eastAsia="zh-CN"/>
                    </w:rPr>
                    <w:t>15m排气筒DA003</w:t>
                  </w:r>
                </w:p>
              </w:tc>
            </w:tr>
            <w:tr>
              <w:trPr>
                <w:trHeight w:val="23"/>
              </w:trPr>
              <w:tc>
                <w:tcPr>
                  <w:tcW w:w="1203" w:type="pct"/>
                  <w:vMerge/>
                  <w:tcBorders>
                    <w:tl2br w:val="nil"/>
                    <w:tr2bl w:val="nil"/>
                  </w:tcBorders>
                  <w:vAlign w:val="center"/>
                </w:tcP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H</w:t>
                  </w:r>
                  <w:r>
                    <w:rPr>
                      <w:rFonts w:hint="eastAsia"/>
                      <w:color w:val="auto"/>
                      <w:vertAlign w:val="subscript"/>
                      <w:lang w:val="en-US" w:eastAsia="zh-CN"/>
                    </w:rPr>
                    <w:t>2</w:t>
                  </w:r>
                  <w:r>
                    <w:rPr>
                      <w:rFonts w:hint="eastAsia"/>
                      <w:color w:val="auto"/>
                      <w:lang w:val="en-US" w:eastAsia="zh-CN"/>
                    </w:rPr>
                    <w:t>S</w:t>
                  </w:r>
                </w:p>
              </w:tc>
              <w:tc>
                <w:tcPr>
                  <w:tcW w:w="755" w:type="pct"/>
                  <w:vMerge/>
                  <w:tcBorders>
                    <w:tl2br w:val="nil"/>
                    <w:tr2bl w:val="nil"/>
                  </w:tcBorders>
                  <w:vAlign w:val="center"/>
                </w:tcPr>
                <w:p/>
              </w:tc>
              <w:tc>
                <w:tcPr>
                  <w:tcW w:w="1062" w:type="pct"/>
                  <w:vMerge/>
                  <w:tcBorders>
                    <w:tl2br w:val="nil"/>
                    <w:tr2bl w:val="nil"/>
                  </w:tcBorders>
                  <w:vAlign w:val="center"/>
                </w:tcPr>
                <w:p/>
              </w:tc>
              <w:tc>
                <w:tcPr>
                  <w:tcW w:w="1132" w:type="pct"/>
                  <w:vMerge/>
                  <w:tcBorders>
                    <w:tl2br w:val="nil"/>
                    <w:tr2bl w:val="nil"/>
                  </w:tcBorders>
                  <w:vAlign w:val="center"/>
                </w:tcPr>
                <w:p/>
              </w:tc>
            </w:tr>
            <w:tr>
              <w:trPr>
                <w:trHeight w:val="23"/>
              </w:trPr>
              <w:tc>
                <w:tcPr>
                  <w:tcW w:w="1203" w:type="pct"/>
                  <w:vMerge/>
                  <w:tcBorders>
                    <w:tl2br w:val="nil"/>
                    <w:tr2bl w:val="nil"/>
                  </w:tcBorders>
                  <w:vAlign w:val="center"/>
                </w:tcP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臭气浓度</w:t>
                  </w:r>
                </w:p>
              </w:tc>
              <w:tc>
                <w:tcPr>
                  <w:tcW w:w="755" w:type="pct"/>
                  <w:vMerge/>
                  <w:tcBorders>
                    <w:tl2br w:val="nil"/>
                    <w:tr2bl w:val="nil"/>
                  </w:tcBorders>
                  <w:vAlign w:val="center"/>
                </w:tcPr>
                <w:p/>
              </w:tc>
              <w:tc>
                <w:tcPr>
                  <w:tcW w:w="1062" w:type="pct"/>
                  <w:vMerge/>
                  <w:tcBorders>
                    <w:tl2br w:val="nil"/>
                    <w:tr2bl w:val="nil"/>
                  </w:tcBorders>
                  <w:vAlign w:val="center"/>
                </w:tcPr>
                <w:p/>
              </w:tc>
              <w:tc>
                <w:tcPr>
                  <w:tcW w:w="1132" w:type="pct"/>
                  <w:vMerge/>
                  <w:tcBorders>
                    <w:tl2br w:val="nil"/>
                    <w:tr2bl w:val="nil"/>
                  </w:tcBorders>
                  <w:vAlign w:val="center"/>
                </w:tcPr>
                <w:p/>
              </w:tc>
            </w:tr>
            <w:tr>
              <w:trPr>
                <w:trHeight w:val="23"/>
              </w:trPr>
              <w:tc>
                <w:tcPr>
                  <w:tcW w:w="1203" w:type="pct"/>
                  <w:vMerge w:val="restart"/>
                  <w:tcBorders>
                    <w:tl2br w:val="nil"/>
                    <w:tr2bl w:val="nil"/>
                  </w:tcBorders>
                  <w:vAlign w:val="center"/>
                </w:tcPr>
                <w:p>
                  <w:pPr>
                    <w:pStyle w:val="23"/>
                    <w:bidi w:val="0"/>
                    <w:rPr>
                      <w:rFonts w:eastAsia="宋体" w:hint="eastAsia"/>
                      <w:color w:val="auto"/>
                      <w:lang w:eastAsia="zh-CN"/>
                    </w:rPr>
                  </w:pPr>
                  <w:r>
                    <w:rPr>
                      <w:rFonts w:hint="eastAsia"/>
                      <w:color w:val="auto"/>
                      <w:lang w:val="en-US" w:eastAsia="zh-CN"/>
                    </w:rPr>
                    <w:t>蒸汽发生器</w:t>
                  </w: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NOx</w:t>
                  </w:r>
                </w:p>
              </w:tc>
              <w:tc>
                <w:tcPr>
                  <w:tcW w:w="755" w:type="pct"/>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管道</w:t>
                  </w:r>
                </w:p>
              </w:tc>
              <w:tc>
                <w:tcPr>
                  <w:tcW w:w="1062" w:type="pct"/>
                  <w:vMerge w:val="restart"/>
                  <w:tcBorders>
                    <w:tl2br w:val="nil"/>
                    <w:tr2bl w:val="nil"/>
                  </w:tcBorders>
                  <w:vAlign w:val="center"/>
                </w:tcPr>
                <w:p>
                  <w:pPr>
                    <w:pStyle w:val="23"/>
                    <w:bidi w:val="0"/>
                    <w:rPr>
                      <w:rFonts w:eastAsia="宋体" w:hint="eastAsia"/>
                      <w:color w:val="auto"/>
                      <w:lang w:eastAsia="zh-CN"/>
                    </w:rPr>
                  </w:pPr>
                  <w:r>
                    <w:rPr>
                      <w:rFonts w:hint="eastAsia"/>
                      <w:color w:val="auto"/>
                      <w:lang w:val="en-US" w:eastAsia="zh-CN"/>
                    </w:rPr>
                    <w:t>低氮燃烧技术</w:t>
                  </w:r>
                </w:p>
              </w:tc>
              <w:tc>
                <w:tcPr>
                  <w:tcW w:w="1132" w:type="pct"/>
                  <w:vMerge w:val="restart"/>
                  <w:tcBorders>
                    <w:tl2br w:val="nil"/>
                    <w:tr2bl w:val="nil"/>
                  </w:tcBorders>
                  <w:vAlign w:val="center"/>
                </w:tcPr>
                <w:p>
                  <w:pPr>
                    <w:pStyle w:val="23"/>
                    <w:bidi w:val="0"/>
                    <w:rPr>
                      <w:color w:val="auto"/>
                      <w:lang w:val="en-US"/>
                    </w:rPr>
                  </w:pPr>
                  <w:r>
                    <w:rPr>
                      <w:rFonts w:hint="eastAsia"/>
                      <w:color w:val="auto"/>
                      <w:lang w:val="en-US" w:eastAsia="zh-CN"/>
                    </w:rPr>
                    <w:t>15</w:t>
                  </w:r>
                  <w:r>
                    <w:rPr>
                      <w:rFonts w:hint="eastAsia"/>
                      <w:color w:val="auto"/>
                      <w:lang w:eastAsia="zh-CN"/>
                    </w:rPr>
                    <w:t>m</w:t>
                  </w:r>
                  <w:r>
                    <w:rPr>
                      <w:color w:val="auto"/>
                    </w:rPr>
                    <w:t>排气筒</w:t>
                  </w:r>
                  <w:r>
                    <w:rPr>
                      <w:rFonts w:hint="eastAsia"/>
                      <w:color w:val="auto"/>
                      <w:lang w:val="en-US" w:eastAsia="zh-CN"/>
                    </w:rPr>
                    <w:t>DA005</w:t>
                  </w:r>
                </w:p>
              </w:tc>
            </w:tr>
            <w:tr>
              <w:trPr>
                <w:trHeight w:val="23"/>
              </w:trPr>
              <w:tc>
                <w:tcPr>
                  <w:tcW w:w="1203" w:type="pct"/>
                  <w:vMerge/>
                  <w:tcBorders>
                    <w:tl2br w:val="nil"/>
                    <w:tr2bl w:val="nil"/>
                  </w:tcBorders>
                  <w:vAlign w:val="center"/>
                </w:tcP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vertAlign w:val="subscript"/>
                      <w:lang w:val="en-US" w:eastAsia="zh-CN" w:bidi="ar-SA"/>
                    </w:rPr>
                  </w:pPr>
                  <w:r>
                    <w:rPr>
                      <w:rFonts w:hint="eastAsia"/>
                      <w:color w:val="auto"/>
                      <w:lang w:val="en-US" w:eastAsia="zh-CN"/>
                    </w:rPr>
                    <w:t>SO</w:t>
                  </w:r>
                  <w:r>
                    <w:rPr>
                      <w:rFonts w:hint="eastAsia"/>
                      <w:color w:val="auto"/>
                      <w:vertAlign w:val="subscript"/>
                      <w:lang w:val="en-US" w:eastAsia="zh-CN"/>
                    </w:rPr>
                    <w:t>2</w:t>
                  </w:r>
                </w:p>
              </w:tc>
              <w:tc>
                <w:tcPr>
                  <w:tcW w:w="755" w:type="pct"/>
                  <w:vMerge/>
                  <w:tcBorders>
                    <w:tl2br w:val="nil"/>
                    <w:tr2bl w:val="nil"/>
                  </w:tcBorders>
                  <w:vAlign w:val="center"/>
                </w:tcPr>
                <w:p/>
              </w:tc>
              <w:tc>
                <w:tcPr>
                  <w:tcW w:w="1062" w:type="pct"/>
                  <w:vMerge/>
                  <w:tcBorders>
                    <w:tl2br w:val="nil"/>
                    <w:tr2bl w:val="nil"/>
                  </w:tcBorders>
                  <w:vAlign w:val="center"/>
                </w:tcPr>
                <w:p/>
              </w:tc>
              <w:tc>
                <w:tcPr>
                  <w:tcW w:w="1132" w:type="pct"/>
                  <w:vMerge/>
                  <w:tcBorders>
                    <w:tl2br w:val="nil"/>
                    <w:tr2bl w:val="nil"/>
                  </w:tcBorders>
                  <w:vAlign w:val="center"/>
                </w:tcPr>
                <w:p/>
              </w:tc>
            </w:tr>
            <w:tr>
              <w:trPr>
                <w:trHeight w:val="23"/>
              </w:trPr>
              <w:tc>
                <w:tcPr>
                  <w:tcW w:w="1203" w:type="pct"/>
                  <w:vMerge/>
                  <w:tcBorders>
                    <w:tl2br w:val="nil"/>
                    <w:tr2bl w:val="nil"/>
                  </w:tcBorders>
                  <w:vAlign w:val="center"/>
                </w:tcP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颗粒物</w:t>
                  </w:r>
                </w:p>
              </w:tc>
              <w:tc>
                <w:tcPr>
                  <w:tcW w:w="755" w:type="pct"/>
                  <w:vMerge/>
                  <w:tcBorders>
                    <w:tl2br w:val="nil"/>
                    <w:tr2bl w:val="nil"/>
                  </w:tcBorders>
                  <w:vAlign w:val="center"/>
                </w:tcPr>
                <w:p/>
              </w:tc>
              <w:tc>
                <w:tcPr>
                  <w:tcW w:w="1062" w:type="pct"/>
                  <w:vMerge/>
                  <w:tcBorders>
                    <w:tl2br w:val="nil"/>
                    <w:tr2bl w:val="nil"/>
                  </w:tcBorders>
                  <w:vAlign w:val="center"/>
                </w:tcPr>
                <w:p/>
              </w:tc>
              <w:tc>
                <w:tcPr>
                  <w:tcW w:w="1132" w:type="pct"/>
                  <w:vMerge/>
                  <w:tcBorders>
                    <w:tl2br w:val="nil"/>
                    <w:tr2bl w:val="nil"/>
                  </w:tcBorders>
                  <w:vAlign w:val="center"/>
                </w:tcPr>
                <w:p/>
              </w:tc>
            </w:tr>
            <w:tr>
              <w:trPr>
                <w:trHeight w:val="23"/>
              </w:trPr>
              <w:tc>
                <w:tcPr>
                  <w:tcW w:w="1203" w:type="pct"/>
                  <w:vMerge/>
                  <w:tcBorders>
                    <w:tl2br w:val="nil"/>
                    <w:tr2bl w:val="nil"/>
                  </w:tcBorders>
                  <w:vAlign w:val="center"/>
                </w:tcP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烟气黑度</w:t>
                  </w:r>
                </w:p>
              </w:tc>
              <w:tc>
                <w:tcPr>
                  <w:tcW w:w="755" w:type="pct"/>
                  <w:vMerge/>
                  <w:tcBorders>
                    <w:tl2br w:val="nil"/>
                    <w:tr2bl w:val="nil"/>
                  </w:tcBorders>
                  <w:vAlign w:val="center"/>
                </w:tcPr>
                <w:p/>
              </w:tc>
              <w:tc>
                <w:tcPr>
                  <w:tcW w:w="1062" w:type="pct"/>
                  <w:vMerge/>
                  <w:tcBorders>
                    <w:tl2br w:val="nil"/>
                    <w:tr2bl w:val="nil"/>
                  </w:tcBorders>
                  <w:vAlign w:val="center"/>
                </w:tcPr>
                <w:p/>
              </w:tc>
              <w:tc>
                <w:tcPr>
                  <w:tcW w:w="1132" w:type="pct"/>
                  <w:vMerge/>
                  <w:tcBorders>
                    <w:tl2br w:val="nil"/>
                    <w:tr2bl w:val="nil"/>
                  </w:tcBorders>
                  <w:vAlign w:val="center"/>
                </w:tcPr>
                <w:p/>
              </w:tc>
            </w:tr>
            <w:tr>
              <w:trPr>
                <w:trHeight w:val="23"/>
              </w:trPr>
              <w:tc>
                <w:tcPr>
                  <w:tcW w:w="1203"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研发实验室</w:t>
                  </w:r>
                </w:p>
              </w:tc>
              <w:tc>
                <w:tcPr>
                  <w:tcW w:w="84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臭气浓度</w:t>
                  </w:r>
                </w:p>
              </w:tc>
              <w:tc>
                <w:tcPr>
                  <w:tcW w:w="755"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集气罩</w:t>
                  </w:r>
                </w:p>
              </w:tc>
              <w:tc>
                <w:tcPr>
                  <w:tcW w:w="1062"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活性炭吸附装置</w:t>
                  </w:r>
                </w:p>
              </w:tc>
              <w:tc>
                <w:tcPr>
                  <w:tcW w:w="1132"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25m排气筒DA006</w:t>
                  </w:r>
                </w:p>
              </w:tc>
            </w:tr>
          </w:tbl>
          <w:p>
            <w:pPr>
              <w:widowControl/>
              <w:adjustRightInd w:val="0"/>
              <w:snapToGrid w:val="0"/>
              <w:spacing w:line="360" w:lineRule="auto"/>
              <w:ind w:firstLineChars="200" w:firstLine="480"/>
              <w:outlineLvl w:val="2"/>
              <w:rPr>
                <w:color w:val="auto"/>
                <w:kern w:val="0"/>
                <w:sz w:val="24"/>
              </w:rPr>
            </w:pPr>
            <w:r>
              <w:rPr>
                <w:color w:val="auto"/>
                <w:kern w:val="0"/>
                <w:sz w:val="24"/>
              </w:rPr>
              <w:t>②废气治理措施可行性论证</w:t>
            </w:r>
          </w:p>
          <w:p>
            <w:pPr>
              <w:widowControl/>
              <w:adjustRightInd w:val="0"/>
              <w:snapToGrid w:val="0"/>
              <w:spacing w:line="360" w:lineRule="auto"/>
              <w:ind w:firstLineChars="200" w:firstLine="480"/>
              <w:outlineLvl w:val="2"/>
              <w:rPr>
                <w:color w:val="auto"/>
                <w:kern w:val="0"/>
                <w:sz w:val="24"/>
              </w:rPr>
            </w:pPr>
            <w:r>
              <w:rPr>
                <w:rFonts w:hint="eastAsia"/>
                <w:color w:val="auto"/>
                <w:kern w:val="0"/>
                <w:sz w:val="24"/>
              </w:rPr>
              <w:t>参考</w:t>
            </w:r>
            <w:r>
              <w:rPr>
                <w:color w:val="auto"/>
                <w:kern w:val="0"/>
                <w:sz w:val="24"/>
              </w:rPr>
              <w:t>《排污许可证申请与核发技术规范 酒、饮料制造工业》（HJ 1028—2019）</w:t>
            </w:r>
            <w:r>
              <w:rPr>
                <w:rFonts w:hint="eastAsia"/>
                <w:color w:val="auto"/>
                <w:kern w:val="0"/>
                <w:sz w:val="24"/>
              </w:rPr>
              <w:t>可知</w:t>
            </w:r>
            <w:r>
              <w:rPr>
                <w:color w:val="auto"/>
                <w:kern w:val="0"/>
                <w:sz w:val="24"/>
              </w:rPr>
              <w:t>，</w:t>
            </w:r>
            <w:r>
              <w:rPr>
                <w:rFonts w:hint="eastAsia"/>
                <w:color w:val="auto"/>
                <w:kern w:val="0"/>
                <w:sz w:val="24"/>
                <w:lang w:val="en-US" w:eastAsia="zh-CN"/>
              </w:rPr>
              <w:t>非甲烷总烃推荐的治理措施有“冷凝、吸收、吸附、生物处理、燃烧”；颗粒物推荐的治理措施有“旋风除尘技术、袋式除尘技术、湿式除尘技术”；污水处理站恶臭气体推荐的治理措施有“喷淋塔除臭、活性炭吸附、生物除臭等”。</w:t>
            </w:r>
          </w:p>
          <w:p>
            <w:pPr>
              <w:adjustRightInd w:val="0"/>
              <w:snapToGrid w:val="0"/>
              <w:spacing w:line="360" w:lineRule="auto"/>
              <w:ind w:firstLineChars="200" w:firstLine="480"/>
              <w:rPr>
                <w:rFonts w:eastAsia="宋体"/>
                <w:color w:val="auto"/>
                <w:sz w:val="24"/>
                <w:lang w:val="en-US" w:eastAsia="zh-CN"/>
              </w:rPr>
            </w:pPr>
            <w:r>
              <w:rPr>
                <w:rFonts w:hint="eastAsia"/>
                <w:color w:val="auto"/>
                <w:sz w:val="24"/>
                <w:lang w:val="en-US" w:eastAsia="zh-CN"/>
              </w:rPr>
              <w:t>参照</w:t>
            </w:r>
            <w:r>
              <w:rPr>
                <w:color w:val="auto"/>
                <w:sz w:val="24"/>
              </w:rPr>
              <w:t>《排污许可证申请与核发技术规范 锅炉》（</w:t>
            </w:r>
            <w:r>
              <w:rPr>
                <w:rFonts w:hint="eastAsia"/>
                <w:color w:val="auto"/>
                <w:sz w:val="24"/>
              </w:rPr>
              <w:t>HJ953—2018</w:t>
            </w:r>
            <w:r>
              <w:rPr>
                <w:color w:val="auto"/>
                <w:sz w:val="24"/>
              </w:rPr>
              <w:t>）</w:t>
            </w:r>
            <w:r>
              <w:rPr>
                <w:rFonts w:hint="eastAsia"/>
                <w:color w:val="auto"/>
                <w:kern w:val="0"/>
                <w:sz w:val="24"/>
              </w:rPr>
              <w:t>可知</w:t>
            </w:r>
            <w:r>
              <w:rPr>
                <w:color w:val="auto"/>
                <w:sz w:val="24"/>
              </w:rPr>
              <w:t>，</w:t>
            </w:r>
            <w:r>
              <w:rPr>
                <w:rFonts w:hint="eastAsia"/>
                <w:color w:val="auto"/>
                <w:sz w:val="24"/>
                <w:lang w:val="en-US" w:eastAsia="zh-CN"/>
              </w:rPr>
              <w:t>燃气锅炉烟气推荐的治理措施有“低氮燃烧技术、低氮燃烧+SCR脱硝技术”。</w:t>
            </w:r>
          </w:p>
          <w:p>
            <w:pPr>
              <w:adjustRightInd w:val="0"/>
              <w:snapToGrid w:val="0"/>
              <w:spacing w:line="360" w:lineRule="auto"/>
              <w:ind w:firstLineChars="200" w:firstLine="480"/>
              <w:rPr>
                <w:color w:val="auto"/>
                <w:sz w:val="24"/>
              </w:rPr>
            </w:pPr>
            <w:r>
              <w:rPr>
                <w:rFonts w:hint="eastAsia"/>
                <w:color w:val="auto"/>
                <w:sz w:val="24"/>
                <w:lang w:val="en-US" w:eastAsia="zh-CN"/>
              </w:rPr>
              <w:t>本</w:t>
            </w:r>
            <w:r>
              <w:rPr>
                <w:color w:val="auto"/>
                <w:sz w:val="24"/>
              </w:rPr>
              <w:t>项目</w:t>
            </w:r>
            <w:r>
              <w:rPr>
                <w:rFonts w:hint="eastAsia"/>
                <w:color w:val="auto"/>
                <w:sz w:val="24"/>
                <w:lang w:val="en-US" w:eastAsia="zh-CN"/>
              </w:rPr>
              <w:t>蒸汽发生器燃料使用天然气，燃烧烟气采用的治理措施为“低氮燃烧技术”，非甲烷总烃治理措施为“干式过滤+两级活性炭吸附装置”；颗粒物治理措施为“布袋除尘器”；污水站废气治理措施为“碱喷淋装置”，符合规范中推荐的治理措施</w:t>
            </w:r>
            <w:r>
              <w:rPr>
                <w:color w:val="auto"/>
                <w:sz w:val="24"/>
              </w:rPr>
              <w:t>。</w:t>
            </w:r>
          </w:p>
          <w:p>
            <w:pPr>
              <w:adjustRightInd w:val="0"/>
              <w:snapToGrid w:val="0"/>
              <w:spacing w:line="360" w:lineRule="auto"/>
              <w:ind w:firstLineChars="200" w:firstLine="480"/>
              <w:rPr>
                <w:color w:val="auto"/>
                <w:sz w:val="24"/>
              </w:rPr>
            </w:pPr>
            <w:r>
              <w:rPr>
                <w:color w:val="auto"/>
                <w:sz w:val="24"/>
              </w:rPr>
              <w:t>因此，</w:t>
            </w:r>
            <w:r>
              <w:rPr>
                <w:rFonts w:hint="eastAsia"/>
                <w:color w:val="auto"/>
                <w:sz w:val="24"/>
                <w:szCs w:val="32"/>
              </w:rPr>
              <w:t>本项目</w:t>
            </w:r>
            <w:r>
              <w:rPr>
                <w:color w:val="auto"/>
                <w:sz w:val="24"/>
              </w:rPr>
              <w:t>废气治理措施为可行技术。</w:t>
            </w:r>
          </w:p>
          <w:p>
            <w:pPr>
              <w:adjustRightInd w:val="0"/>
              <w:snapToGrid w:val="0"/>
              <w:spacing w:line="360" w:lineRule="auto"/>
              <w:ind w:firstLineChars="200" w:firstLine="480"/>
              <w:rPr>
                <w:rFonts w:hint="eastAsia"/>
                <w:color w:val="auto"/>
                <w:sz w:val="24"/>
                <w:szCs w:val="24"/>
                <w:lang w:val="en-US" w:eastAsia="zh-CN"/>
              </w:rPr>
            </w:pPr>
          </w:p>
          <w:p>
            <w:pPr>
              <w:adjustRightInd w:val="0"/>
              <w:snapToGrid w:val="0"/>
              <w:spacing w:line="360" w:lineRule="auto"/>
              <w:ind w:firstLineChars="200" w:firstLine="480"/>
              <w:rPr>
                <w:rFonts w:hint="eastAsia"/>
                <w:color w:val="auto"/>
                <w:sz w:val="24"/>
                <w:szCs w:val="24"/>
                <w:lang w:val="en-US" w:eastAsia="zh-CN"/>
              </w:rPr>
            </w:pPr>
          </w:p>
          <w:p>
            <w:pPr>
              <w:adjustRightInd w:val="0"/>
              <w:snapToGrid w:val="0"/>
              <w:spacing w:line="360" w:lineRule="auto"/>
              <w:ind w:firstLineChars="200" w:firstLine="480"/>
              <w:rPr>
                <w:rFonts w:hint="eastAsia"/>
                <w:color w:val="auto"/>
                <w:sz w:val="24"/>
                <w:szCs w:val="24"/>
                <w:lang w:val="en-US" w:eastAsia="zh-CN"/>
              </w:rPr>
            </w:pPr>
          </w:p>
          <w:p>
            <w:pPr>
              <w:adjustRightInd w:val="0"/>
              <w:snapToGrid w:val="0"/>
              <w:spacing w:line="360" w:lineRule="auto"/>
              <w:ind w:firstLineChars="200" w:firstLine="480"/>
              <w:rPr>
                <w:rFonts w:hint="eastAsia"/>
                <w:color w:val="auto"/>
                <w:sz w:val="24"/>
                <w:szCs w:val="24"/>
                <w:lang w:val="en-US" w:eastAsia="zh-CN"/>
              </w:rPr>
            </w:pPr>
          </w:p>
          <w:p>
            <w:pPr>
              <w:adjustRightInd w:val="0"/>
              <w:snapToGrid w:val="0"/>
              <w:spacing w:line="360" w:lineRule="auto"/>
              <w:ind w:firstLineChars="200" w:firstLine="480"/>
              <w:rPr>
                <w:rFonts w:hint="eastAsia"/>
                <w:color w:val="auto"/>
                <w:sz w:val="24"/>
                <w:szCs w:val="24"/>
                <w:lang w:val="en-US" w:eastAsia="zh-CN"/>
              </w:rPr>
            </w:pPr>
          </w:p>
          <w:p>
            <w:pPr>
              <w:adjustRightInd w:val="0"/>
              <w:snapToGrid w:val="0"/>
              <w:spacing w:line="360" w:lineRule="auto"/>
              <w:ind w:firstLineChars="200" w:firstLine="480"/>
              <w:rPr>
                <w:color w:val="auto"/>
                <w:sz w:val="24"/>
                <w:szCs w:val="24"/>
              </w:rPr>
            </w:pPr>
            <w:r>
              <w:rPr>
                <w:rFonts w:hint="eastAsia"/>
                <w:color w:val="auto"/>
                <w:sz w:val="24"/>
                <w:szCs w:val="24"/>
                <w:lang w:val="en-US" w:eastAsia="zh-CN"/>
              </w:rPr>
              <w:t>4</w:t>
            </w:r>
            <w:r>
              <w:rPr>
                <w:color w:val="auto"/>
                <w:sz w:val="24"/>
                <w:szCs w:val="24"/>
              </w:rPr>
              <w:t>、排污口、排放量及监测计划</w:t>
            </w:r>
          </w:p>
          <w:p>
            <w:pPr>
              <w:pStyle w:val="24"/>
              <w:bidi w:val="0"/>
              <w:rPr>
                <w:color w:val="auto"/>
                <w:highlight w:val="none"/>
              </w:rPr>
            </w:pPr>
            <w:r>
              <w:rPr>
                <w:color w:val="auto"/>
                <w:highlight w:val="none"/>
              </w:rPr>
              <w:t>表4-</w:t>
            </w:r>
            <w:r>
              <w:rPr>
                <w:rFonts w:hint="eastAsia"/>
                <w:color w:val="auto"/>
                <w:lang w:val="en-US" w:eastAsia="zh-CN"/>
                <w:highlight w:val="none"/>
              </w:rPr>
              <w:t>6</w:t>
            </w:r>
            <w:r>
              <w:rPr>
                <w:rFonts w:hint="eastAsia"/>
                <w:color w:val="auto"/>
                <w:highlight w:val="none"/>
              </w:rPr>
              <w:t xml:space="preserve">  </w:t>
            </w:r>
            <w:r>
              <w:rPr>
                <w:color w:val="auto"/>
                <w:highlight w:val="none"/>
              </w:rPr>
              <w:t>排放口基本情况</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071"/>
              <w:gridCol w:w="1641"/>
              <w:gridCol w:w="1326"/>
              <w:gridCol w:w="1077"/>
              <w:gridCol w:w="551"/>
              <w:gridCol w:w="927"/>
              <w:gridCol w:w="924"/>
            </w:tblGrid>
            <w:tr>
              <w:trPr>
                <w:trHeight w:val="306"/>
              </w:trPr>
              <w:tc>
                <w:tcPr>
                  <w:tcW w:w="2071" w:type="dxa"/>
                  <w:vMerge w:val="restart"/>
                  <w:vAlign w:val="center"/>
                </w:tcPr>
                <w:p>
                  <w:pPr>
                    <w:pStyle w:val="23"/>
                    <w:bidi w:val="0"/>
                    <w:rPr>
                      <w:color w:val="auto"/>
                    </w:rPr>
                  </w:pPr>
                  <w:r>
                    <w:rPr>
                      <w:color w:val="auto"/>
                    </w:rPr>
                    <w:t>编号及名称</w:t>
                  </w:r>
                </w:p>
              </w:tc>
              <w:tc>
                <w:tcPr>
                  <w:tcW w:w="2967" w:type="dxa"/>
                  <w:gridSpan w:val="2"/>
                  <w:vAlign w:val="center"/>
                </w:tcPr>
                <w:p>
                  <w:pPr>
                    <w:pStyle w:val="23"/>
                    <w:bidi w:val="0"/>
                    <w:rPr>
                      <w:color w:val="auto"/>
                    </w:rPr>
                  </w:pPr>
                  <w:r>
                    <w:rPr>
                      <w:color w:val="auto"/>
                    </w:rPr>
                    <w:t>地理坐标</w:t>
                  </w:r>
                </w:p>
              </w:tc>
              <w:tc>
                <w:tcPr>
                  <w:tcW w:w="1077" w:type="dxa"/>
                  <w:vMerge w:val="restart"/>
                  <w:vAlign w:val="center"/>
                </w:tcPr>
                <w:p>
                  <w:pPr>
                    <w:pStyle w:val="23"/>
                    <w:bidi w:val="0"/>
                    <w:rPr>
                      <w:color w:val="auto"/>
                      <w:highlight w:val="none"/>
                    </w:rPr>
                  </w:pPr>
                  <w:r>
                    <w:rPr>
                      <w:color w:val="auto"/>
                      <w:highlight w:val="none"/>
                    </w:rPr>
                    <w:t>排气筒内径/m</w:t>
                  </w:r>
                </w:p>
              </w:tc>
              <w:tc>
                <w:tcPr>
                  <w:tcW w:w="551" w:type="dxa"/>
                  <w:vMerge w:val="restart"/>
                  <w:vAlign w:val="center"/>
                </w:tcPr>
                <w:p>
                  <w:pPr>
                    <w:pStyle w:val="23"/>
                    <w:bidi w:val="0"/>
                    <w:rPr>
                      <w:color w:val="auto"/>
                    </w:rPr>
                  </w:pPr>
                  <w:r>
                    <w:rPr>
                      <w:color w:val="auto"/>
                    </w:rPr>
                    <w:t>高度</w:t>
                  </w:r>
                </w:p>
                <w:p>
                  <w:pPr>
                    <w:pStyle w:val="23"/>
                    <w:bidi w:val="0"/>
                    <w:rPr>
                      <w:color w:val="auto"/>
                    </w:rPr>
                  </w:pPr>
                  <w:r>
                    <w:rPr>
                      <w:color w:val="auto"/>
                    </w:rPr>
                    <w:t>m</w:t>
                  </w:r>
                </w:p>
              </w:tc>
              <w:tc>
                <w:tcPr>
                  <w:tcW w:w="927" w:type="dxa"/>
                  <w:vMerge w:val="restart"/>
                  <w:vAlign w:val="center"/>
                </w:tcPr>
                <w:p>
                  <w:pPr>
                    <w:pStyle w:val="23"/>
                    <w:bidi w:val="0"/>
                    <w:rPr>
                      <w:color w:val="auto"/>
                    </w:rPr>
                  </w:pPr>
                  <w:r>
                    <w:rPr>
                      <w:color w:val="auto"/>
                    </w:rPr>
                    <w:t>温度</w:t>
                  </w:r>
                </w:p>
                <w:p>
                  <w:pPr>
                    <w:pStyle w:val="23"/>
                    <w:bidi w:val="0"/>
                    <w:rPr>
                      <w:color w:val="auto"/>
                    </w:rPr>
                  </w:pPr>
                  <w:r>
                    <w:rPr>
                      <w:color w:val="auto"/>
                    </w:rPr>
                    <w:t>℃</w:t>
                  </w:r>
                </w:p>
              </w:tc>
              <w:tc>
                <w:tcPr>
                  <w:tcW w:w="924" w:type="dxa"/>
                  <w:vMerge w:val="restart"/>
                  <w:vAlign w:val="center"/>
                </w:tcPr>
                <w:p>
                  <w:pPr>
                    <w:pStyle w:val="23"/>
                    <w:bidi w:val="0"/>
                    <w:rPr>
                      <w:color w:val="auto"/>
                    </w:rPr>
                  </w:pPr>
                  <w:r>
                    <w:rPr>
                      <w:color w:val="auto"/>
                    </w:rPr>
                    <w:t>类型</w:t>
                  </w:r>
                </w:p>
              </w:tc>
            </w:tr>
            <w:tr>
              <w:trPr>
                <w:trHeight w:val="217"/>
              </w:trPr>
              <w:tc>
                <w:tcPr>
                  <w:tcW w:w="2071" w:type="dxa"/>
                  <w:vMerge/>
                  <w:vAlign w:val="center"/>
                </w:tcPr>
                <w:p/>
              </w:tc>
              <w:tc>
                <w:tcPr>
                  <w:tcW w:w="1641" w:type="dxa"/>
                  <w:tcBorders>
                    <w:left w:val="single" w:sz="4" w:space="0" w:color="auto"/>
                  </w:tcBorders>
                  <w:vAlign w:val="center"/>
                </w:tcPr>
                <w:p>
                  <w:pPr>
                    <w:pStyle w:val="23"/>
                    <w:bidi w:val="0"/>
                    <w:rPr>
                      <w:color w:val="auto"/>
                    </w:rPr>
                  </w:pPr>
                  <w:r>
                    <w:rPr>
                      <w:color w:val="auto"/>
                    </w:rPr>
                    <w:t>东经</w:t>
                  </w:r>
                </w:p>
              </w:tc>
              <w:tc>
                <w:tcPr>
                  <w:tcW w:w="1326" w:type="dxa"/>
                  <w:tcBorders>
                    <w:left w:val="single" w:sz="4" w:space="0" w:color="auto"/>
                  </w:tcBorders>
                  <w:vAlign w:val="center"/>
                </w:tcPr>
                <w:p>
                  <w:pPr>
                    <w:pStyle w:val="23"/>
                    <w:bidi w:val="0"/>
                    <w:rPr>
                      <w:color w:val="auto"/>
                    </w:rPr>
                  </w:pPr>
                  <w:r>
                    <w:rPr>
                      <w:color w:val="auto"/>
                    </w:rPr>
                    <w:t>北纬</w:t>
                  </w:r>
                </w:p>
              </w:tc>
              <w:tc>
                <w:tcPr>
                  <w:tcW w:w="1077" w:type="dxa"/>
                  <w:vMerge/>
                  <w:tcBorders>
                    <w:left w:val="single" w:sz="4" w:space="0" w:color="auto"/>
                  </w:tcBorders>
                  <w:vAlign w:val="center"/>
                </w:tcPr>
                <w:p/>
              </w:tc>
              <w:tc>
                <w:tcPr>
                  <w:tcW w:w="551" w:type="dxa"/>
                  <w:vMerge/>
                  <w:tcBorders>
                    <w:left w:val="single" w:sz="4" w:space="0" w:color="auto"/>
                  </w:tcBorders>
                  <w:vAlign w:val="center"/>
                </w:tcPr>
                <w:p/>
              </w:tc>
              <w:tc>
                <w:tcPr>
                  <w:tcW w:w="927" w:type="dxa"/>
                  <w:vMerge/>
                  <w:tcBorders>
                    <w:left w:val="single" w:sz="4" w:space="0" w:color="auto"/>
                  </w:tcBorders>
                  <w:vAlign w:val="center"/>
                </w:tcPr>
                <w:p/>
              </w:tc>
              <w:tc>
                <w:tcPr>
                  <w:tcW w:w="924" w:type="dxa"/>
                  <w:vMerge/>
                  <w:tcBorders>
                    <w:left w:val="single" w:sz="4" w:space="0" w:color="auto"/>
                  </w:tcBorders>
                  <w:vAlign w:val="center"/>
                </w:tcPr>
                <w:p/>
              </w:tc>
            </w:tr>
            <w:tr>
              <w:trPr>
                <w:trHeight w:val="904"/>
              </w:trPr>
              <w:tc>
                <w:tcPr>
                  <w:tcW w:w="2071" w:type="dxa"/>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打码、热合封口、贴管、饮料灌装、检测实验室、食品添加剂生产、包装膜加热废气排气筒DA001</w:t>
                  </w:r>
                </w:p>
              </w:tc>
              <w:tc>
                <w:tcPr>
                  <w:tcW w:w="1641"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114°38′9.661″</w:t>
                  </w:r>
                </w:p>
              </w:tc>
              <w:tc>
                <w:tcPr>
                  <w:tcW w:w="1326"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37°52′7.734″</w:t>
                  </w:r>
                </w:p>
              </w:tc>
              <w:tc>
                <w:tcPr>
                  <w:tcW w:w="1077" w:type="dxa"/>
                  <w:tcBorders>
                    <w:left w:val="single" w:sz="4" w:space="0" w:color="auto"/>
                  </w:tcBorders>
                  <w:vAlign w:val="center"/>
                </w:tcPr>
                <w:p>
                  <w:pPr>
                    <w:pStyle w:val="23"/>
                    <w:bidi w:val="0"/>
                    <w:rPr>
                      <w:color w:val="auto"/>
                      <w:lang w:val="en-US" w:eastAsia="zh-CN"/>
                      <w:highlight w:val="none"/>
                    </w:rPr>
                  </w:pPr>
                  <w:r>
                    <w:rPr>
                      <w:rFonts w:hint="eastAsia"/>
                      <w:color w:val="auto"/>
                      <w:lang w:val="en-US" w:eastAsia="zh-CN"/>
                      <w:highlight w:val="none"/>
                    </w:rPr>
                    <w:t>0.8</w:t>
                  </w:r>
                </w:p>
              </w:tc>
              <w:tc>
                <w:tcPr>
                  <w:tcW w:w="551" w:type="dxa"/>
                  <w:tcBorders>
                    <w:left w:val="single" w:sz="4" w:space="0" w:color="auto"/>
                  </w:tcBorders>
                  <w:vAlign w:val="center"/>
                </w:tcPr>
                <w:p>
                  <w:pPr>
                    <w:pStyle w:val="23"/>
                    <w:bidi w:val="0"/>
                    <w:rPr>
                      <w:color w:val="auto"/>
                      <w:lang w:val="en-US" w:eastAsia="zh-CN"/>
                    </w:rPr>
                  </w:pPr>
                  <w:r>
                    <w:rPr>
                      <w:rFonts w:hint="eastAsia"/>
                      <w:color w:val="auto"/>
                      <w:lang w:val="en-US" w:eastAsia="zh-CN"/>
                    </w:rPr>
                    <w:t>15</w:t>
                  </w:r>
                </w:p>
              </w:tc>
              <w:tc>
                <w:tcPr>
                  <w:tcW w:w="927" w:type="dxa"/>
                  <w:tcBorders>
                    <w:left w:val="single" w:sz="4" w:space="0" w:color="auto"/>
                  </w:tcBorders>
                  <w:vAlign w:val="center"/>
                </w:tcPr>
                <w:p>
                  <w:pPr>
                    <w:pStyle w:val="23"/>
                    <w:bidi w:val="0"/>
                    <w:rPr>
                      <w:color w:val="auto"/>
                      <w:lang w:val="en-US" w:eastAsia="zh-CN"/>
                    </w:rPr>
                  </w:pPr>
                  <w:r>
                    <w:rPr>
                      <w:rFonts w:hint="eastAsia"/>
                      <w:color w:val="auto"/>
                      <w:lang w:val="en-US" w:eastAsia="zh-CN"/>
                    </w:rPr>
                    <w:t>常温</w:t>
                  </w:r>
                </w:p>
              </w:tc>
              <w:tc>
                <w:tcPr>
                  <w:tcW w:w="924" w:type="dxa"/>
                  <w:tcBorders>
                    <w:left w:val="single" w:sz="4" w:space="0" w:color="auto"/>
                  </w:tcBorders>
                  <w:vAlign w:val="center"/>
                </w:tcPr>
                <w:p>
                  <w:pPr>
                    <w:pStyle w:val="23"/>
                    <w:bidi w:val="0"/>
                    <w:ind w:firstLine="0"/>
                    <w:rPr>
                      <w:color w:val="auto"/>
                    </w:rPr>
                  </w:pPr>
                  <w:r>
                    <w:rPr>
                      <w:color w:val="auto"/>
                    </w:rPr>
                    <w:t>一般排放口</w:t>
                  </w:r>
                </w:p>
              </w:tc>
            </w:tr>
            <w:tr>
              <w:trPr>
                <w:trHeight w:val="904"/>
              </w:trPr>
              <w:tc>
                <w:tcPr>
                  <w:tcW w:w="2071" w:type="dxa"/>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真空上料、喷雾干燥、粉料灌装废气排气筒DA002</w:t>
                  </w:r>
                </w:p>
              </w:tc>
              <w:tc>
                <w:tcPr>
                  <w:tcW w:w="1641"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114°38′9.798″</w:t>
                  </w:r>
                </w:p>
              </w:tc>
              <w:tc>
                <w:tcPr>
                  <w:tcW w:w="1326"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37°52′7.237″</w:t>
                  </w:r>
                </w:p>
              </w:tc>
              <w:tc>
                <w:tcPr>
                  <w:tcW w:w="1077" w:type="dxa"/>
                  <w:tcBorders>
                    <w:left w:val="single" w:sz="4" w:space="0" w:color="auto"/>
                  </w:tcBorders>
                  <w:vAlign w:val="center"/>
                </w:tcPr>
                <w:p>
                  <w:pPr>
                    <w:pStyle w:val="23"/>
                    <w:bidi w:val="0"/>
                    <w:rPr>
                      <w:color w:val="auto"/>
                      <w:lang w:val="en-US" w:eastAsia="zh-CN"/>
                      <w:highlight w:val="none"/>
                    </w:rPr>
                  </w:pPr>
                  <w:r>
                    <w:rPr>
                      <w:rFonts w:hint="eastAsia"/>
                      <w:color w:val="auto"/>
                      <w:lang w:val="en-US" w:eastAsia="zh-CN"/>
                      <w:highlight w:val="none"/>
                    </w:rPr>
                    <w:t>0.5</w:t>
                  </w:r>
                </w:p>
              </w:tc>
              <w:tc>
                <w:tcPr>
                  <w:tcW w:w="551" w:type="dxa"/>
                  <w:tcBorders>
                    <w:left w:val="single" w:sz="4" w:space="0" w:color="auto"/>
                  </w:tcBorders>
                  <w:vAlign w:val="center"/>
                </w:tcPr>
                <w:p>
                  <w:pPr>
                    <w:pStyle w:val="23"/>
                    <w:bidi w:val="0"/>
                    <w:rPr>
                      <w:color w:val="auto"/>
                      <w:lang w:val="en-US" w:eastAsia="zh-CN"/>
                    </w:rPr>
                  </w:pPr>
                  <w:r>
                    <w:rPr>
                      <w:rFonts w:hint="eastAsia"/>
                      <w:color w:val="auto"/>
                      <w:lang w:val="en-US" w:eastAsia="zh-CN"/>
                    </w:rPr>
                    <w:t>15</w:t>
                  </w:r>
                </w:p>
              </w:tc>
              <w:tc>
                <w:tcPr>
                  <w:tcW w:w="927"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常温</w:t>
                  </w:r>
                </w:p>
              </w:tc>
              <w:tc>
                <w:tcPr>
                  <w:tcW w:w="924" w:type="dxa"/>
                  <w:tcBorders>
                    <w:left w:val="single" w:sz="4" w:space="0" w:color="auto"/>
                  </w:tcBorders>
                  <w:vAlign w:val="center"/>
                </w:tcPr>
                <w:p>
                  <w:pPr>
                    <w:pStyle w:val="23"/>
                    <w:bidi w:val="0"/>
                    <w:ind w:firstLine="0"/>
                    <w:rPr>
                      <w:color w:val="auto"/>
                    </w:rPr>
                  </w:pPr>
                  <w:r>
                    <w:rPr>
                      <w:color w:val="auto"/>
                    </w:rPr>
                    <w:t>一般排放口</w:t>
                  </w:r>
                </w:p>
              </w:tc>
            </w:tr>
            <w:tr>
              <w:trPr>
                <w:trHeight w:val="904"/>
              </w:trPr>
              <w:tc>
                <w:tcPr>
                  <w:tcW w:w="2071" w:type="dxa"/>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污水处理站废气排气筒DA003</w:t>
                  </w:r>
                </w:p>
              </w:tc>
              <w:tc>
                <w:tcPr>
                  <w:tcW w:w="1641"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114°38′11.594″</w:t>
                  </w:r>
                </w:p>
              </w:tc>
              <w:tc>
                <w:tcPr>
                  <w:tcW w:w="1326"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37°52′5.682″</w:t>
                  </w:r>
                </w:p>
              </w:tc>
              <w:tc>
                <w:tcPr>
                  <w:tcW w:w="1077" w:type="dxa"/>
                  <w:tcBorders>
                    <w:left w:val="single" w:sz="4" w:space="0" w:color="auto"/>
                  </w:tcBorders>
                  <w:vAlign w:val="center"/>
                </w:tcPr>
                <w:p>
                  <w:pPr>
                    <w:pStyle w:val="23"/>
                    <w:bidi w:val="0"/>
                    <w:rPr>
                      <w:color w:val="auto"/>
                      <w:lang w:val="en-US" w:eastAsia="zh-CN"/>
                      <w:highlight w:val="none"/>
                    </w:rPr>
                  </w:pPr>
                  <w:r>
                    <w:rPr>
                      <w:rFonts w:hint="eastAsia"/>
                      <w:color w:val="auto"/>
                      <w:lang w:val="en-US" w:eastAsia="zh-CN"/>
                      <w:highlight w:val="none"/>
                    </w:rPr>
                    <w:t>0.3</w:t>
                  </w:r>
                </w:p>
              </w:tc>
              <w:tc>
                <w:tcPr>
                  <w:tcW w:w="551" w:type="dxa"/>
                  <w:tcBorders>
                    <w:left w:val="single" w:sz="4" w:space="0" w:color="auto"/>
                  </w:tcBorders>
                  <w:vAlign w:val="center"/>
                </w:tcPr>
                <w:p>
                  <w:pPr>
                    <w:pStyle w:val="23"/>
                    <w:bidi w:val="0"/>
                    <w:rPr>
                      <w:color w:val="auto"/>
                      <w:lang w:val="en-US" w:eastAsia="zh-CN"/>
                    </w:rPr>
                  </w:pPr>
                  <w:r>
                    <w:rPr>
                      <w:rFonts w:hint="eastAsia"/>
                      <w:color w:val="auto"/>
                      <w:lang w:val="en-US" w:eastAsia="zh-CN"/>
                    </w:rPr>
                    <w:t>15</w:t>
                  </w:r>
                </w:p>
              </w:tc>
              <w:tc>
                <w:tcPr>
                  <w:tcW w:w="927"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常温</w:t>
                  </w:r>
                </w:p>
              </w:tc>
              <w:tc>
                <w:tcPr>
                  <w:tcW w:w="924" w:type="dxa"/>
                  <w:tcBorders>
                    <w:left w:val="single" w:sz="4" w:space="0" w:color="auto"/>
                  </w:tcBorders>
                  <w:vAlign w:val="center"/>
                </w:tcPr>
                <w:p>
                  <w:pPr>
                    <w:pStyle w:val="23"/>
                    <w:bidi w:val="0"/>
                    <w:ind w:firstLine="0"/>
                    <w:rPr>
                      <w:color w:val="auto"/>
                    </w:rPr>
                  </w:pPr>
                  <w:r>
                    <w:rPr>
                      <w:color w:val="auto"/>
                    </w:rPr>
                    <w:t>一般排放口</w:t>
                  </w:r>
                </w:p>
              </w:tc>
            </w:tr>
            <w:tr>
              <w:trPr>
                <w:trHeight w:val="904"/>
              </w:trPr>
              <w:tc>
                <w:tcPr>
                  <w:tcW w:w="2071" w:type="dxa"/>
                  <w:vAlign w:val="center"/>
                </w:tcPr>
                <w:p>
                  <w:pPr>
                    <w:pStyle w:val="23"/>
                    <w:bidi w:val="0"/>
                    <w:rPr>
                      <w:color w:val="auto"/>
                      <w:lang w:val="en-US"/>
                      <w:highlight w:val="none"/>
                    </w:rPr>
                  </w:pPr>
                  <w:r>
                    <w:rPr>
                      <w:rFonts w:hint="eastAsia"/>
                      <w:color w:val="auto"/>
                      <w:lang w:val="en-US" w:eastAsia="zh-CN"/>
                      <w:highlight w:val="none"/>
                    </w:rPr>
                    <w:t>蒸汽发生器废气排气筒DA005</w:t>
                  </w:r>
                </w:p>
              </w:tc>
              <w:tc>
                <w:tcPr>
                  <w:tcW w:w="1641" w:type="dxa"/>
                  <w:tcBorders>
                    <w:left w:val="single" w:sz="4" w:space="0" w:color="auto"/>
                  </w:tcBorders>
                  <w:vAlign w:val="center"/>
                </w:tcPr>
                <w:p>
                  <w:pPr>
                    <w:pStyle w:val="23"/>
                    <w:bidi w:val="0"/>
                    <w:rPr>
                      <w:color w:val="auto"/>
                      <w:lang w:val="en-US" w:eastAsia="zh-CN"/>
                      <w:highlight w:val="none"/>
                    </w:rPr>
                  </w:pPr>
                  <w:r>
                    <w:rPr>
                      <w:color w:val="auto"/>
                      <w:lang w:val="en-US" w:eastAsia="zh-CN"/>
                      <w:highlight w:val="none"/>
                    </w:rPr>
                    <w:t>114°38′13.032″</w:t>
                  </w:r>
                </w:p>
              </w:tc>
              <w:tc>
                <w:tcPr>
                  <w:tcW w:w="1326" w:type="dxa"/>
                  <w:tcBorders>
                    <w:left w:val="single" w:sz="4" w:space="0" w:color="auto"/>
                  </w:tcBorders>
                  <w:vAlign w:val="center"/>
                </w:tcPr>
                <w:p>
                  <w:pPr>
                    <w:pStyle w:val="23"/>
                    <w:bidi w:val="0"/>
                    <w:rPr>
                      <w:color w:val="auto"/>
                      <w:lang w:val="en-US" w:eastAsia="zh-CN"/>
                      <w:highlight w:val="none"/>
                    </w:rPr>
                  </w:pPr>
                  <w:r>
                    <w:rPr>
                      <w:color w:val="auto"/>
                      <w:lang w:val="en-US" w:eastAsia="zh-CN"/>
                      <w:highlight w:val="none"/>
                    </w:rPr>
                    <w:t>37°52′5.840″</w:t>
                  </w:r>
                </w:p>
              </w:tc>
              <w:tc>
                <w:tcPr>
                  <w:tcW w:w="1077" w:type="dxa"/>
                  <w:tcBorders>
                    <w:left w:val="single" w:sz="4" w:space="0" w:color="auto"/>
                  </w:tcBorders>
                  <w:vAlign w:val="center"/>
                </w:tcPr>
                <w:p>
                  <w:pPr>
                    <w:pStyle w:val="23"/>
                    <w:bidi w:val="0"/>
                    <w:rPr>
                      <w:color w:val="auto"/>
                      <w:lang w:val="en-US" w:eastAsia="zh-CN"/>
                      <w:highlight w:val="none"/>
                    </w:rPr>
                  </w:pPr>
                  <w:r>
                    <w:rPr>
                      <w:rFonts w:hint="eastAsia"/>
                      <w:color w:val="auto"/>
                      <w:lang w:val="en-US" w:eastAsia="zh-CN"/>
                      <w:highlight w:val="none"/>
                    </w:rPr>
                    <w:t>0.3</w:t>
                  </w:r>
                </w:p>
              </w:tc>
              <w:tc>
                <w:tcPr>
                  <w:tcW w:w="551" w:type="dxa"/>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15</w:t>
                  </w:r>
                </w:p>
              </w:tc>
              <w:tc>
                <w:tcPr>
                  <w:tcW w:w="927" w:type="dxa"/>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110℃</w:t>
                  </w:r>
                </w:p>
              </w:tc>
              <w:tc>
                <w:tcPr>
                  <w:tcW w:w="924" w:type="dxa"/>
                  <w:tcBorders>
                    <w:left w:val="single" w:sz="4" w:space="0" w:color="auto"/>
                  </w:tcBorders>
                  <w:vAlign w:val="center"/>
                </w:tcPr>
                <w:p>
                  <w:pPr>
                    <w:pStyle w:val="23"/>
                    <w:bidi w:val="0"/>
                    <w:ind w:firstLine="0"/>
                    <w:rPr>
                      <w:color w:val="auto"/>
                    </w:rPr>
                  </w:pPr>
                  <w:r>
                    <w:rPr>
                      <w:color w:val="auto"/>
                    </w:rPr>
                    <w:t>一般排放口</w:t>
                  </w:r>
                </w:p>
              </w:tc>
            </w:tr>
            <w:tr>
              <w:trPr>
                <w:trHeight w:val="904"/>
              </w:trPr>
              <w:tc>
                <w:tcPr>
                  <w:tcW w:w="2071" w:type="dxa"/>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研发实验室废气排气筒DA006</w:t>
                  </w:r>
                </w:p>
              </w:tc>
              <w:tc>
                <w:tcPr>
                  <w:tcW w:w="1641" w:type="dxa"/>
                  <w:tcBorders>
                    <w:left w:val="single" w:sz="4" w:space="0" w:color="auto"/>
                  </w:tcBorders>
                  <w:vAlign w:val="center"/>
                </w:tcPr>
                <w:p>
                  <w:pPr>
                    <w:pStyle w:val="23"/>
                    <w:bidi w:val="0"/>
                    <w:rPr>
                      <w:color w:val="auto"/>
                      <w:lang w:val="en-US" w:eastAsia="zh-CN"/>
                      <w:highlight w:val="none"/>
                    </w:rPr>
                  </w:pPr>
                  <w:r>
                    <w:rPr>
                      <w:color w:val="auto"/>
                      <w:lang w:val="en-US" w:eastAsia="zh-CN"/>
                      <w:highlight w:val="none"/>
                    </w:rPr>
                    <w:t>114°38′10.685″</w:t>
                  </w:r>
                </w:p>
              </w:tc>
              <w:tc>
                <w:tcPr>
                  <w:tcW w:w="1326" w:type="dxa"/>
                  <w:tcBorders>
                    <w:left w:val="single" w:sz="4" w:space="0" w:color="auto"/>
                  </w:tcBorders>
                  <w:vAlign w:val="center"/>
                </w:tcPr>
                <w:p>
                  <w:pPr>
                    <w:pStyle w:val="23"/>
                    <w:bidi w:val="0"/>
                    <w:rPr>
                      <w:color w:val="auto"/>
                      <w:lang w:val="en-US" w:eastAsia="zh-CN"/>
                      <w:highlight w:val="none"/>
                    </w:rPr>
                  </w:pPr>
                  <w:r>
                    <w:rPr>
                      <w:color w:val="auto"/>
                      <w:lang w:val="en-US" w:eastAsia="zh-CN"/>
                      <w:highlight w:val="none"/>
                    </w:rPr>
                    <w:t>37°52′5.174″</w:t>
                  </w:r>
                </w:p>
              </w:tc>
              <w:tc>
                <w:tcPr>
                  <w:tcW w:w="1077" w:type="dxa"/>
                  <w:tcBorders>
                    <w:left w:val="single" w:sz="4" w:space="0" w:color="auto"/>
                  </w:tcBorders>
                  <w:vAlign w:val="center"/>
                </w:tcPr>
                <w:p>
                  <w:pPr>
                    <w:pStyle w:val="23"/>
                    <w:bidi w:val="0"/>
                    <w:rPr>
                      <w:color w:val="auto"/>
                      <w:lang w:val="en-US" w:eastAsia="zh-CN"/>
                      <w:highlight w:val="none"/>
                    </w:rPr>
                  </w:pPr>
                  <w:r>
                    <w:rPr>
                      <w:rFonts w:hint="eastAsia"/>
                      <w:color w:val="auto"/>
                      <w:lang w:val="en-US" w:eastAsia="zh-CN"/>
                      <w:highlight w:val="none"/>
                    </w:rPr>
                    <w:t>0.3</w:t>
                  </w:r>
                </w:p>
              </w:tc>
              <w:tc>
                <w:tcPr>
                  <w:tcW w:w="551" w:type="dxa"/>
                  <w:tcBorders>
                    <w:left w:val="single" w:sz="4" w:space="0" w:color="auto"/>
                  </w:tcBorders>
                  <w:vAlign w:val="center"/>
                </w:tcPr>
                <w:p>
                  <w:pPr>
                    <w:pStyle w:val="23"/>
                    <w:bidi w:val="0"/>
                    <w:rPr>
                      <w:color w:val="auto"/>
                      <w:lang w:val="en-US" w:eastAsia="zh-CN"/>
                    </w:rPr>
                  </w:pPr>
                  <w:r>
                    <w:rPr>
                      <w:rFonts w:hint="eastAsia"/>
                      <w:color w:val="auto"/>
                      <w:lang w:val="en-US" w:eastAsia="zh-CN"/>
                    </w:rPr>
                    <w:t>25</w:t>
                  </w:r>
                </w:p>
              </w:tc>
              <w:tc>
                <w:tcPr>
                  <w:tcW w:w="927"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常温</w:t>
                  </w:r>
                </w:p>
              </w:tc>
              <w:tc>
                <w:tcPr>
                  <w:tcW w:w="924" w:type="dxa"/>
                  <w:tcBorders>
                    <w:left w:val="single" w:sz="4" w:space="0" w:color="auto"/>
                  </w:tcBorders>
                  <w:vAlign w:val="center"/>
                </w:tcPr>
                <w:p>
                  <w:pPr>
                    <w:pStyle w:val="23"/>
                    <w:bidi w:val="0"/>
                    <w:ind w:firstLine="0"/>
                    <w:rPr>
                      <w:color w:val="auto"/>
                    </w:rPr>
                  </w:pPr>
                  <w:r>
                    <w:rPr>
                      <w:color w:val="auto"/>
                    </w:rPr>
                    <w:t>一般排放口</w:t>
                  </w:r>
                </w:p>
              </w:tc>
            </w:tr>
          </w:tbl>
          <w:p>
            <w:pPr>
              <w:pStyle w:val="24"/>
              <w:bidi w:val="0"/>
              <w:rPr>
                <w:color w:val="auto"/>
              </w:rPr>
            </w:pPr>
            <w:r>
              <w:rPr>
                <w:color w:val="auto"/>
              </w:rPr>
              <w:t>表4-</w:t>
            </w:r>
            <w:r>
              <w:rPr>
                <w:rFonts w:hint="eastAsia"/>
                <w:color w:val="auto"/>
                <w:lang w:val="en-US" w:eastAsia="zh-CN"/>
              </w:rPr>
              <w:t>7</w:t>
            </w:r>
            <w:r>
              <w:rPr>
                <w:rFonts w:hint="eastAsia"/>
                <w:color w:val="auto"/>
              </w:rPr>
              <w:t xml:space="preserve">  </w:t>
            </w:r>
            <w:r>
              <w:rPr>
                <w:color w:val="auto"/>
              </w:rPr>
              <w:t>项目大气污染物有组织排放量核算表</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517"/>
              <w:gridCol w:w="1300"/>
              <w:gridCol w:w="1275"/>
              <w:gridCol w:w="1645"/>
              <w:gridCol w:w="2027"/>
              <w:gridCol w:w="1672"/>
            </w:tblGrid>
            <w:tr>
              <w:trPr>
                <w:trHeight w:val="474"/>
              </w:trPr>
              <w:tc>
                <w:tcPr>
                  <w:tcW w:w="307" w:type="pct"/>
                  <w:vAlign w:val="center"/>
                </w:tcPr>
                <w:p>
                  <w:pPr>
                    <w:pStyle w:val="23"/>
                    <w:bidi w:val="0"/>
                    <w:rPr>
                      <w:color w:val="auto"/>
                    </w:rPr>
                  </w:pPr>
                  <w:r>
                    <w:rPr>
                      <w:color w:val="auto"/>
                    </w:rPr>
                    <w:t>序号</w:t>
                  </w:r>
                </w:p>
              </w:tc>
              <w:tc>
                <w:tcPr>
                  <w:tcW w:w="769" w:type="pct"/>
                  <w:vAlign w:val="center"/>
                </w:tcPr>
                <w:p>
                  <w:pPr>
                    <w:pStyle w:val="23"/>
                    <w:bidi w:val="0"/>
                    <w:rPr>
                      <w:color w:val="auto"/>
                    </w:rPr>
                  </w:pPr>
                  <w:r>
                    <w:rPr>
                      <w:color w:val="auto"/>
                    </w:rPr>
                    <w:t>排放口编号</w:t>
                  </w:r>
                </w:p>
              </w:tc>
              <w:tc>
                <w:tcPr>
                  <w:tcW w:w="755" w:type="pct"/>
                  <w:vAlign w:val="center"/>
                </w:tcPr>
                <w:p>
                  <w:pPr>
                    <w:pStyle w:val="23"/>
                    <w:bidi w:val="0"/>
                    <w:rPr>
                      <w:color w:val="auto"/>
                    </w:rPr>
                  </w:pPr>
                  <w:r>
                    <w:rPr>
                      <w:color w:val="auto"/>
                    </w:rPr>
                    <w:t>污染物</w:t>
                  </w:r>
                </w:p>
              </w:tc>
              <w:tc>
                <w:tcPr>
                  <w:tcW w:w="975" w:type="pct"/>
                  <w:vAlign w:val="center"/>
                </w:tcPr>
                <w:p>
                  <w:pPr>
                    <w:pStyle w:val="23"/>
                    <w:bidi w:val="0"/>
                    <w:rPr>
                      <w:color w:val="auto"/>
                    </w:rPr>
                  </w:pPr>
                  <w:r>
                    <w:rPr>
                      <w:color w:val="auto"/>
                    </w:rPr>
                    <w:t>核算排放浓度/（mg/</w:t>
                  </w:r>
                  <w:r>
                    <w:rPr>
                      <w:rFonts w:hint="eastAsia"/>
                      <w:color w:val="auto"/>
                      <w:lang w:val="en-US" w:eastAsia="zh-CN"/>
                    </w:rPr>
                    <w:t>m³</w:t>
                  </w:r>
                  <w:r>
                    <w:rPr>
                      <w:color w:val="auto"/>
                    </w:rPr>
                    <w:t>）</w:t>
                  </w:r>
                </w:p>
              </w:tc>
              <w:tc>
                <w:tcPr>
                  <w:tcW w:w="1200" w:type="pct"/>
                  <w:vAlign w:val="center"/>
                </w:tcPr>
                <w:p>
                  <w:pPr>
                    <w:pStyle w:val="23"/>
                    <w:bidi w:val="0"/>
                    <w:rPr>
                      <w:color w:val="auto"/>
                    </w:rPr>
                  </w:pPr>
                  <w:r>
                    <w:rPr>
                      <w:color w:val="auto"/>
                    </w:rPr>
                    <w:t>核算排放速率/（kg/h）</w:t>
                  </w:r>
                </w:p>
              </w:tc>
              <w:tc>
                <w:tcPr>
                  <w:tcW w:w="991" w:type="pct"/>
                  <w:vAlign w:val="center"/>
                </w:tcPr>
                <w:p>
                  <w:pPr>
                    <w:pStyle w:val="23"/>
                    <w:bidi w:val="0"/>
                    <w:rPr>
                      <w:color w:val="auto"/>
                    </w:rPr>
                  </w:pPr>
                  <w:r>
                    <w:rPr>
                      <w:color w:val="auto"/>
                    </w:rPr>
                    <w:t>核算年排放量/（t/a）</w:t>
                  </w:r>
                </w:p>
              </w:tc>
            </w:tr>
            <w:tr>
              <w:trPr>
                <w:trHeight w:val="340"/>
              </w:trPr>
              <w:tc>
                <w:tcPr>
                  <w:tcW w:w="307" w:type="pct"/>
                  <w:vMerge w:val="restart"/>
                  <w:vAlign w:val="center"/>
                </w:tcPr>
                <w:p>
                  <w:pPr>
                    <w:pStyle w:val="23"/>
                    <w:bidi w:val="0"/>
                    <w:rPr>
                      <w:rFonts w:eastAsia="宋体" w:hint="eastAsia"/>
                      <w:color w:val="auto"/>
                      <w:lang w:val="en-US" w:eastAsia="zh-CN"/>
                    </w:rPr>
                  </w:pPr>
                  <w:r>
                    <w:rPr>
                      <w:rFonts w:hint="eastAsia"/>
                      <w:color w:val="auto"/>
                      <w:lang w:val="en-US" w:eastAsia="zh-CN"/>
                    </w:rPr>
                    <w:t>1</w:t>
                  </w:r>
                </w:p>
              </w:tc>
              <w:tc>
                <w:tcPr>
                  <w:tcW w:w="769" w:type="pct"/>
                  <w:vMerge w:val="restart"/>
                  <w:tcBorders>
                    <w:left w:val="single" w:sz="4" w:space="0" w:color="auto"/>
                  </w:tcBorders>
                  <w:vAlign w:val="center"/>
                </w:tcPr>
                <w:p>
                  <w:pPr>
                    <w:pStyle w:val="23"/>
                    <w:bidi w:val="0"/>
                    <w:ind w:firstLine="0"/>
                    <w:rPr>
                      <w:rFonts w:eastAsia="宋体"/>
                      <w:color w:val="auto"/>
                      <w:lang w:val="en-US" w:eastAsia="zh-CN"/>
                    </w:rPr>
                  </w:pPr>
                  <w:r>
                    <w:rPr>
                      <w:rFonts w:hint="eastAsia"/>
                      <w:color w:val="auto"/>
                      <w:lang w:val="en-US" w:eastAsia="zh-CN"/>
                    </w:rPr>
                    <w:t>DA001</w:t>
                  </w: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W w:w="975" w:type="pct"/>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2.36</w:t>
                  </w:r>
                </w:p>
              </w:tc>
              <w:tc>
                <w:tcPr>
                  <w:tcW w:w="1200" w:type="pct"/>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0.05</w:t>
                  </w:r>
                </w:p>
              </w:tc>
              <w:tc>
                <w:tcPr>
                  <w:tcW w:w="991" w:type="pct"/>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0.113</w:t>
                  </w:r>
                </w:p>
              </w:tc>
            </w:tr>
            <w:tr>
              <w:trPr>
                <w:trHeight w:val="340"/>
              </w:trPr>
              <w:tc>
                <w:tcPr>
                  <w:tcW w:w="307" w:type="pct"/>
                  <w:vMerge/>
                  <w:vAlign w:val="center"/>
                </w:tcPr>
                <w:p/>
              </w:tc>
              <w:tc>
                <w:tcPr>
                  <w:tcW w:w="769" w:type="pct"/>
                  <w:vMerge/>
                  <w:tcBorders>
                    <w:left w:val="single" w:sz="4" w:space="0" w:color="auto"/>
                  </w:tcBorders>
                  <w:vAlign w:val="center"/>
                </w:tcP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臭气浓度</w:t>
                  </w:r>
                </w:p>
              </w:tc>
              <w:tc>
                <w:tcPr>
                  <w:tcW w:w="3166" w:type="pct"/>
                  <w:gridSpan w:val="3"/>
                  <w:tcBorders>
                    <w:left w:val="single" w:sz="4" w:space="0" w:color="auto"/>
                  </w:tcBorders>
                  <w:shd w:val="clear" w:color="auto" w:fill="auto"/>
                  <w:vAlign w:val="center"/>
                </w:tcPr>
                <w:p>
                  <w:pPr>
                    <w:pStyle w:val="23"/>
                    <w:bidi w:val="0"/>
                    <w:ind w:firstLine="0"/>
                    <w:rPr>
                      <w:rFonts w:hint="eastAsia"/>
                      <w:color w:val="auto"/>
                      <w:lang w:val="en-US" w:eastAsia="zh-CN"/>
                    </w:rPr>
                  </w:pPr>
                  <w:r>
                    <w:rPr>
                      <w:rFonts w:hint="eastAsia"/>
                      <w:color w:val="auto"/>
                      <w:lang w:val="en-US" w:eastAsia="zh-CN"/>
                    </w:rPr>
                    <w:t>180（无量纲）</w:t>
                  </w:r>
                </w:p>
              </w:tc>
            </w:tr>
            <w:tr>
              <w:trPr>
                <w:trHeight w:val="340"/>
              </w:trPr>
              <w:tc>
                <w:tcPr>
                  <w:tcW w:w="307" w:type="pct"/>
                  <w:vAlign w:val="center"/>
                </w:tcPr>
                <w:p>
                  <w:pPr>
                    <w:pStyle w:val="23"/>
                    <w:bidi w:val="0"/>
                    <w:rPr>
                      <w:rFonts w:eastAsia="宋体" w:hint="eastAsia"/>
                      <w:color w:val="auto"/>
                      <w:lang w:val="en-US" w:eastAsia="zh-CN"/>
                    </w:rPr>
                  </w:pPr>
                  <w:r>
                    <w:rPr>
                      <w:rFonts w:hint="eastAsia"/>
                      <w:color w:val="auto"/>
                      <w:lang w:val="en-US" w:eastAsia="zh-CN"/>
                    </w:rPr>
                    <w:t>2</w:t>
                  </w:r>
                </w:p>
              </w:tc>
              <w:tc>
                <w:tcPr>
                  <w:tcW w:w="769" w:type="pct"/>
                  <w:tcBorders>
                    <w:left w:val="single" w:sz="4" w:space="0" w:color="auto"/>
                  </w:tcBorders>
                  <w:vAlign w:val="center"/>
                </w:tcPr>
                <w:p>
                  <w:pPr>
                    <w:pStyle w:val="23"/>
                    <w:bidi w:val="0"/>
                    <w:ind w:firstLine="0"/>
                    <w:rPr>
                      <w:rFonts w:eastAsia="宋体"/>
                      <w:color w:val="auto"/>
                      <w:lang w:val="en-US" w:eastAsia="zh-CN"/>
                    </w:rPr>
                  </w:pPr>
                  <w:r>
                    <w:rPr>
                      <w:rFonts w:hint="eastAsia"/>
                      <w:color w:val="auto"/>
                      <w:lang w:val="en-US" w:eastAsia="zh-CN"/>
                    </w:rPr>
                    <w:t>DA002</w:t>
                  </w:r>
                </w:p>
              </w:tc>
              <w:tc>
                <w:tcPr>
                  <w:tcW w:w="755" w:type="pct"/>
                  <w:tcBorders>
                    <w:left w:val="single" w:sz="4" w:space="0" w:color="auto"/>
                  </w:tcBorders>
                  <w:shd w:val="clear" w:color="auto" w:fill="auto"/>
                  <w:vAlign w:val="center"/>
                </w:tcPr>
                <w:p>
                  <w:pPr>
                    <w:pStyle w:val="23"/>
                    <w:bidi w:val="0"/>
                    <w:ind w:firstLine="0"/>
                    <w:rPr>
                      <w:color w:val="auto"/>
                      <w:lang w:val="en-US" w:eastAsia="zh-CN"/>
                    </w:rPr>
                  </w:pPr>
                  <w:r>
                    <w:rPr>
                      <w:rFonts w:hint="eastAsia"/>
                      <w:color w:val="auto"/>
                      <w:lang w:val="en-US" w:eastAsia="zh-CN"/>
                    </w:rPr>
                    <w:t>颗粒物</w:t>
                  </w:r>
                </w:p>
              </w:tc>
              <w:tc>
                <w:tcPr>
                  <w:tcW w:w="97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2.23</w:t>
                  </w:r>
                </w:p>
              </w:tc>
              <w:tc>
                <w:tcPr>
                  <w:tcW w:w="1200"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0.02</w:t>
                  </w:r>
                </w:p>
              </w:tc>
              <w:tc>
                <w:tcPr>
                  <w:tcW w:w="99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eastAsia="宋体"/>
                      <w:color w:val="auto"/>
                      <w:lang w:val="en-US" w:eastAsia="zh-CN"/>
                    </w:rPr>
                    <w:t>0.</w:t>
                  </w:r>
                  <w:r>
                    <w:rPr>
                      <w:rFonts w:hint="eastAsia"/>
                      <w:color w:val="auto"/>
                      <w:lang w:val="en-US" w:eastAsia="zh-CN"/>
                    </w:rPr>
                    <w:t>054</w:t>
                  </w:r>
                </w:p>
              </w:tc>
            </w:tr>
            <w:tr>
              <w:trPr>
                <w:trHeight w:val="340"/>
              </w:trPr>
              <w:tc>
                <w:tcPr>
                  <w:tcW w:w="307" w:type="pct"/>
                  <w:vMerge w:val="restart"/>
                  <w:vAlign w:val="center"/>
                </w:tcPr>
                <w:p>
                  <w:pPr>
                    <w:pStyle w:val="23"/>
                    <w:bidi w:val="0"/>
                    <w:rPr>
                      <w:rFonts w:eastAsia="宋体" w:hint="eastAsia"/>
                      <w:color w:val="auto"/>
                      <w:lang w:val="en-US" w:eastAsia="zh-CN"/>
                    </w:rPr>
                  </w:pPr>
                  <w:r>
                    <w:rPr>
                      <w:rFonts w:hint="eastAsia"/>
                      <w:color w:val="auto"/>
                      <w:lang w:val="en-US" w:eastAsia="zh-CN"/>
                    </w:rPr>
                    <w:t>3</w:t>
                  </w:r>
                </w:p>
              </w:tc>
              <w:tc>
                <w:tcPr>
                  <w:tcW w:w="769" w:type="pct"/>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DA003</w:t>
                  </w: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NH</w:t>
                  </w:r>
                  <w:r>
                    <w:rPr>
                      <w:rFonts w:hint="eastAsia"/>
                      <w:color w:val="auto"/>
                      <w:vertAlign w:val="subscript"/>
                      <w:lang w:val="en-US" w:eastAsia="zh-CN"/>
                    </w:rPr>
                    <w:t>3</w:t>
                  </w:r>
                </w:p>
              </w:tc>
              <w:tc>
                <w:tcPr>
                  <w:tcW w:w="97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6.05</w:t>
                  </w:r>
                </w:p>
              </w:tc>
              <w:tc>
                <w:tcPr>
                  <w:tcW w:w="1200"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0.03</w:t>
                  </w:r>
                </w:p>
              </w:tc>
              <w:tc>
                <w:tcPr>
                  <w:tcW w:w="99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0.073</w:t>
                  </w:r>
                </w:p>
              </w:tc>
            </w:tr>
            <w:tr>
              <w:trPr>
                <w:trHeight w:val="340"/>
              </w:trPr>
              <w:tc>
                <w:tcPr>
                  <w:tcW w:w="307" w:type="pct"/>
                  <w:vMerge/>
                  <w:vAlign w:val="center"/>
                </w:tcPr>
                <w:p/>
              </w:tc>
              <w:tc>
                <w:tcPr>
                  <w:tcW w:w="769" w:type="pct"/>
                  <w:vMerge/>
                  <w:tcBorders>
                    <w:left w:val="single" w:sz="4" w:space="0" w:color="auto"/>
                  </w:tcBorders>
                  <w:vAlign w:val="center"/>
                </w:tcP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H</w:t>
                  </w:r>
                  <w:r>
                    <w:rPr>
                      <w:rFonts w:hint="eastAsia"/>
                      <w:color w:val="auto"/>
                      <w:vertAlign w:val="subscript"/>
                      <w:lang w:val="en-US" w:eastAsia="zh-CN"/>
                    </w:rPr>
                    <w:t>2</w:t>
                  </w:r>
                  <w:r>
                    <w:rPr>
                      <w:rFonts w:hint="eastAsia"/>
                      <w:color w:val="auto"/>
                      <w:lang w:val="en-US" w:eastAsia="zh-CN"/>
                    </w:rPr>
                    <w:t>S</w:t>
                  </w:r>
                </w:p>
              </w:tc>
              <w:tc>
                <w:tcPr>
                  <w:tcW w:w="97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0.02</w:t>
                  </w:r>
                </w:p>
              </w:tc>
              <w:tc>
                <w:tcPr>
                  <w:tcW w:w="1200"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0.0001</w:t>
                  </w:r>
                </w:p>
              </w:tc>
              <w:tc>
                <w:tcPr>
                  <w:tcW w:w="99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0.0002</w:t>
                  </w:r>
                </w:p>
              </w:tc>
            </w:tr>
            <w:tr>
              <w:trPr>
                <w:trHeight w:val="340"/>
              </w:trPr>
              <w:tc>
                <w:tcPr>
                  <w:tcW w:w="307" w:type="pct"/>
                  <w:vMerge/>
                  <w:vAlign w:val="center"/>
                </w:tcPr>
                <w:p/>
              </w:tc>
              <w:tc>
                <w:tcPr>
                  <w:tcW w:w="769" w:type="pct"/>
                  <w:vMerge/>
                  <w:tcBorders>
                    <w:left w:val="single" w:sz="4" w:space="0" w:color="auto"/>
                  </w:tcBorders>
                  <w:vAlign w:val="center"/>
                </w:tcP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臭气浓度</w:t>
                  </w:r>
                </w:p>
              </w:tc>
              <w:tc>
                <w:tcPr>
                  <w:tcW w:w="3166" w:type="pct"/>
                  <w:gridSpan w:val="3"/>
                  <w:tcBorders>
                    <w:left w:val="single" w:sz="4" w:space="0" w:color="auto"/>
                  </w:tcBorders>
                  <w:shd w:val="clear" w:color="auto" w:fill="auto"/>
                  <w:vAlign w:val="center"/>
                </w:tcPr>
                <w:p>
                  <w:pPr>
                    <w:pStyle w:val="23"/>
                    <w:bidi w:val="0"/>
                    <w:ind w:firstLine="0"/>
                    <w:rPr>
                      <w:rFonts w:hint="eastAsia"/>
                      <w:color w:val="auto"/>
                      <w:lang w:val="en-US" w:eastAsia="zh-CN"/>
                    </w:rPr>
                  </w:pPr>
                  <w:r>
                    <w:rPr>
                      <w:rFonts w:hint="eastAsia"/>
                      <w:color w:val="auto"/>
                      <w:lang w:val="en-US" w:eastAsia="zh-CN"/>
                    </w:rPr>
                    <w:t>60（无量纲）</w:t>
                  </w:r>
                </w:p>
              </w:tc>
            </w:tr>
            <w:tr>
              <w:trPr>
                <w:trHeight w:val="340"/>
              </w:trPr>
              <w:tc>
                <w:tcPr>
                  <w:tcW w:w="307" w:type="pct"/>
                  <w:vMerge w:val="restart"/>
                  <w:vAlign w:val="center"/>
                </w:tcPr>
                <w:p>
                  <w:pPr>
                    <w:pStyle w:val="23"/>
                    <w:bidi w:val="0"/>
                    <w:rPr>
                      <w:rFonts w:eastAsia="宋体" w:hint="eastAsia"/>
                      <w:color w:val="auto"/>
                      <w:lang w:eastAsia="zh-CN"/>
                    </w:rPr>
                  </w:pPr>
                  <w:r>
                    <w:rPr>
                      <w:rFonts w:hint="eastAsia"/>
                      <w:color w:val="auto"/>
                      <w:lang w:val="en-US" w:eastAsia="zh-CN"/>
                    </w:rPr>
                    <w:t>4</w:t>
                  </w:r>
                </w:p>
              </w:tc>
              <w:tc>
                <w:tcPr>
                  <w:tcW w:w="769" w:type="pct"/>
                  <w:vMerge w:val="restart"/>
                  <w:tcBorders>
                    <w:left w:val="single" w:sz="4" w:space="0" w:color="auto"/>
                  </w:tcBorders>
                  <w:vAlign w:val="center"/>
                </w:tcPr>
                <w:p>
                  <w:pPr>
                    <w:pStyle w:val="23"/>
                    <w:bidi w:val="0"/>
                    <w:ind w:firstLine="0"/>
                    <w:rPr>
                      <w:color w:val="auto"/>
                      <w:lang w:val="en-US"/>
                    </w:rPr>
                  </w:pPr>
                  <w:r>
                    <w:rPr>
                      <w:rFonts w:hint="eastAsia"/>
                      <w:color w:val="auto"/>
                      <w:lang w:val="en-US" w:eastAsia="zh-CN"/>
                    </w:rPr>
                    <w:t>DA005</w:t>
                  </w: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NOx</w:t>
                  </w:r>
                </w:p>
              </w:tc>
              <w:tc>
                <w:tcPr>
                  <w:tcW w:w="97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28.1</w:t>
                  </w:r>
                </w:p>
              </w:tc>
              <w:tc>
                <w:tcPr>
                  <w:tcW w:w="1200"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0.091</w:t>
                  </w:r>
                </w:p>
              </w:tc>
              <w:tc>
                <w:tcPr>
                  <w:tcW w:w="99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0.218</w:t>
                  </w:r>
                </w:p>
              </w:tc>
            </w:tr>
            <w:tr>
              <w:trPr>
                <w:trHeight w:val="340"/>
              </w:trPr>
              <w:tc>
                <w:tcPr>
                  <w:tcW w:w="307" w:type="pct"/>
                  <w:vMerge/>
                  <w:vAlign w:val="center"/>
                </w:tcPr>
                <w:p/>
              </w:tc>
              <w:tc>
                <w:tcPr>
                  <w:tcW w:w="769" w:type="pct"/>
                  <w:vMerge/>
                  <w:tcBorders>
                    <w:left w:val="single" w:sz="4" w:space="0" w:color="auto"/>
                  </w:tcBorders>
                  <w:vAlign w:val="center"/>
                </w:tcP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vertAlign w:val="subscript"/>
                      <w:lang w:val="en-US" w:eastAsia="zh-CN" w:bidi="ar-SA"/>
                    </w:rPr>
                  </w:pPr>
                  <w:r>
                    <w:rPr>
                      <w:rFonts w:hint="eastAsia"/>
                      <w:color w:val="auto"/>
                      <w:lang w:val="en-US" w:eastAsia="zh-CN"/>
                    </w:rPr>
                    <w:t>SO</w:t>
                  </w:r>
                  <w:r>
                    <w:rPr>
                      <w:rFonts w:hint="eastAsia"/>
                      <w:color w:val="auto"/>
                      <w:vertAlign w:val="subscript"/>
                      <w:lang w:val="en-US" w:eastAsia="zh-CN"/>
                    </w:rPr>
                    <w:t>2</w:t>
                  </w:r>
                </w:p>
              </w:tc>
              <w:tc>
                <w:tcPr>
                  <w:tcW w:w="97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3.74</w:t>
                  </w:r>
                </w:p>
              </w:tc>
              <w:tc>
                <w:tcPr>
                  <w:tcW w:w="1200"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0.012</w:t>
                  </w:r>
                </w:p>
              </w:tc>
              <w:tc>
                <w:tcPr>
                  <w:tcW w:w="99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0.029</w:t>
                  </w:r>
                </w:p>
              </w:tc>
            </w:tr>
            <w:tr>
              <w:trPr>
                <w:trHeight w:val="340"/>
              </w:trPr>
              <w:tc>
                <w:tcPr>
                  <w:tcW w:w="307" w:type="pct"/>
                  <w:vMerge/>
                  <w:vAlign w:val="center"/>
                </w:tcPr>
                <w:p/>
              </w:tc>
              <w:tc>
                <w:tcPr>
                  <w:tcW w:w="769" w:type="pct"/>
                  <w:vMerge/>
                  <w:tcBorders>
                    <w:left w:val="single" w:sz="4" w:space="0" w:color="auto"/>
                  </w:tcBorders>
                  <w:vAlign w:val="center"/>
                </w:tcP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颗粒物</w:t>
                  </w:r>
                </w:p>
              </w:tc>
              <w:tc>
                <w:tcPr>
                  <w:tcW w:w="4112"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3.1</w:t>
                  </w:r>
                </w:p>
              </w:tc>
              <w:tc>
                <w:tcPr>
                  <w:tcW w:w="5000"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c>
                <w:tcPr>
                  <w:tcW w:w="4180"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0.024</w:t>
                  </w:r>
                </w:p>
              </w:tc>
            </w:tr>
            <w:tr>
              <w:trPr>
                <w:trHeight w:val="340"/>
              </w:trPr>
              <w:tc>
                <w:tcPr>
                  <w:tcW w:w="307" w:type="pct"/>
                  <w:vMerge/>
                  <w:vAlign w:val="center"/>
                </w:tcPr>
                <w:p/>
              </w:tc>
              <w:tc>
                <w:tcPr>
                  <w:tcW w:w="769" w:type="pct"/>
                  <w:vMerge/>
                  <w:tcBorders>
                    <w:left w:val="single" w:sz="4" w:space="0" w:color="auto"/>
                  </w:tcBorders>
                  <w:vAlign w:val="center"/>
                </w:tcPr>
                <w:p/>
              </w:tc>
              <w:tc>
                <w:tcPr>
                  <w:tcW w:w="75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烟气黑度</w:t>
                  </w:r>
                </w:p>
              </w:tc>
              <w:tc>
                <w:tcPr>
                  <w:tcW w:w="3166" w:type="pct"/>
                  <w:gridSpan w:val="3"/>
                  <w:tcBorders>
                    <w:left w:val="single" w:sz="4" w:space="0" w:color="auto"/>
                  </w:tcBorders>
                  <w:vAlign w:val="center"/>
                </w:tcPr>
                <w:p>
                  <w:pPr>
                    <w:pStyle w:val="23"/>
                    <w:bidi w:val="0"/>
                    <w:rPr>
                      <w:color w:val="auto"/>
                      <w:lang w:val="en-US"/>
                    </w:rPr>
                  </w:pPr>
                  <w:r>
                    <w:rPr>
                      <w:rFonts w:hint="eastAsia"/>
                      <w:color w:val="auto"/>
                      <w:lang w:val="en-US" w:eastAsia="zh-CN"/>
                    </w:rPr>
                    <w:t>＜1</w:t>
                  </w:r>
                </w:p>
              </w:tc>
            </w:tr>
            <w:tr>
              <w:trPr>
                <w:trHeight w:val="340"/>
              </w:trPr>
              <w:tc>
                <w:tcPr>
                  <w:tcW w:w="307" w:type="pct"/>
                  <w:vAlign w:val="center"/>
                </w:tcPr>
                <w:p>
                  <w:pPr>
                    <w:pStyle w:val="23"/>
                    <w:bidi w:val="0"/>
                    <w:rPr>
                      <w:rFonts w:eastAsia="宋体" w:hint="eastAsia"/>
                      <w:color w:val="auto"/>
                      <w:lang w:val="en-US" w:eastAsia="zh-CN"/>
                    </w:rPr>
                  </w:pPr>
                  <w:r>
                    <w:rPr>
                      <w:rFonts w:hint="eastAsia"/>
                      <w:color w:val="auto"/>
                      <w:lang w:val="en-US" w:eastAsia="zh-CN"/>
                    </w:rPr>
                    <w:t>5</w:t>
                  </w:r>
                </w:p>
              </w:tc>
              <w:tc>
                <w:tcPr>
                  <w:tcW w:w="769"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DA006</w:t>
                  </w:r>
                </w:p>
              </w:tc>
              <w:tc>
                <w:tcPr>
                  <w:tcW w:w="755" w:type="pct"/>
                  <w:tcBorders>
                    <w:left w:val="single" w:sz="4" w:space="0" w:color="auto"/>
                  </w:tcBorders>
                  <w:shd w:val="clear" w:color="auto" w:fill="auto"/>
                  <w:vAlign w:val="center"/>
                </w:tcPr>
                <w:p>
                  <w:pPr>
                    <w:pStyle w:val="23"/>
                    <w:bidi w:val="0"/>
                    <w:ind w:firstLine="0"/>
                    <w:rPr>
                      <w:rFonts w:hint="eastAsia"/>
                      <w:color w:val="auto"/>
                      <w:lang w:val="en-US" w:eastAsia="zh-CN"/>
                    </w:rPr>
                  </w:pPr>
                  <w:r>
                    <w:rPr>
                      <w:rFonts w:hint="eastAsia"/>
                      <w:color w:val="auto"/>
                      <w:lang w:val="en-US" w:eastAsia="zh-CN"/>
                    </w:rPr>
                    <w:t>臭气浓度</w:t>
                  </w:r>
                </w:p>
              </w:tc>
              <w:tc>
                <w:tcPr>
                  <w:tcW w:w="3166" w:type="pct"/>
                  <w:gridSpan w:val="3"/>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90（无量纲）</w:t>
                  </w:r>
                </w:p>
              </w:tc>
            </w:tr>
            <w:tr>
              <w:trPr>
                <w:trHeight w:val="340"/>
              </w:trPr>
              <w:tc>
                <w:tcPr>
                  <w:tcW w:w="1077" w:type="pct"/>
                  <w:gridSpan w:val="2"/>
                  <w:vMerge w:val="restart"/>
                  <w:vAlign w:val="center"/>
                </w:tcPr>
                <w:p>
                  <w:pPr>
                    <w:pStyle w:val="23"/>
                    <w:bidi w:val="0"/>
                    <w:rPr>
                      <w:color w:val="auto"/>
                    </w:rPr>
                  </w:pPr>
                  <w:r>
                    <w:rPr>
                      <w:color w:val="auto"/>
                    </w:rPr>
                    <w:t>有组织排放总计</w:t>
                  </w:r>
                </w:p>
              </w:tc>
              <w:tc>
                <w:tcPr>
                  <w:tcW w:w="2931" w:type="pct"/>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W w:w="99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0.113</w:t>
                  </w:r>
                </w:p>
              </w:tc>
            </w:tr>
            <w:tr>
              <w:trPr>
                <w:trHeight w:val="340"/>
              </w:trPr>
              <w:tc>
                <w:tcPr>
                  <w:tcW w:w="1077" w:type="pct"/>
                  <w:gridSpan w:val="2"/>
                  <w:vMerge/>
                  <w:vAlign w:val="center"/>
                </w:tcPr>
                <w:p/>
              </w:tc>
              <w:tc>
                <w:tcPr>
                  <w:tcW w:w="2931" w:type="pct"/>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NOx</w:t>
                  </w:r>
                </w:p>
              </w:tc>
              <w:tc>
                <w:tcPr>
                  <w:tcW w:w="991"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0.218</w:t>
                  </w:r>
                </w:p>
              </w:tc>
            </w:tr>
            <w:tr>
              <w:trPr>
                <w:trHeight w:val="340"/>
              </w:trPr>
              <w:tc>
                <w:tcPr>
                  <w:tcW w:w="1077" w:type="pct"/>
                  <w:gridSpan w:val="2"/>
                  <w:vMerge/>
                  <w:vAlign w:val="center"/>
                </w:tcPr>
                <w:p/>
              </w:tc>
              <w:tc>
                <w:tcPr>
                  <w:tcW w:w="2931" w:type="pct"/>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vertAlign w:val="subscript"/>
                      <w:lang w:val="en-US" w:eastAsia="zh-CN" w:bidi="ar-SA"/>
                    </w:rPr>
                  </w:pPr>
                  <w:r>
                    <w:rPr>
                      <w:rFonts w:hint="eastAsia"/>
                      <w:color w:val="auto"/>
                      <w:lang w:val="en-US" w:eastAsia="zh-CN"/>
                    </w:rPr>
                    <w:t>SO</w:t>
                  </w:r>
                  <w:r>
                    <w:rPr>
                      <w:rFonts w:hint="eastAsia"/>
                      <w:color w:val="auto"/>
                      <w:vertAlign w:val="subscript"/>
                      <w:lang w:val="en-US" w:eastAsia="zh-CN"/>
                    </w:rPr>
                    <w:t>2</w:t>
                  </w:r>
                </w:p>
              </w:tc>
              <w:tc>
                <w:tcPr>
                  <w:tcW w:w="991" w:type="pct"/>
                  <w:tcBorders>
                    <w:left w:val="single" w:sz="4" w:space="0" w:color="auto"/>
                  </w:tcBorders>
                  <w:vAlign w:val="center"/>
                </w:tcPr>
                <w:p>
                  <w:pPr>
                    <w:pStyle w:val="23"/>
                    <w:bidi w:val="0"/>
                    <w:rPr>
                      <w:rFonts w:eastAsia="宋体"/>
                      <w:color w:val="auto"/>
                      <w:lang w:val="en-US" w:eastAsia="zh-CN"/>
                      <w:highlight w:val="none"/>
                    </w:rPr>
                  </w:pPr>
                  <w:r>
                    <w:rPr>
                      <w:rFonts w:eastAsia="宋体"/>
                      <w:color w:val="auto"/>
                      <w:lang w:val="en-US" w:eastAsia="zh-CN"/>
                      <w:highlight w:val="none"/>
                    </w:rPr>
                    <w:t>0.029</w:t>
                  </w:r>
                </w:p>
              </w:tc>
            </w:tr>
            <w:tr>
              <w:trPr>
                <w:trHeight w:val="340"/>
              </w:trPr>
              <w:tc>
                <w:tcPr>
                  <w:tcW w:w="1077" w:type="pct"/>
                  <w:gridSpan w:val="2"/>
                  <w:vMerge/>
                  <w:vAlign w:val="center"/>
                </w:tcPr>
                <w:p/>
              </w:tc>
              <w:tc>
                <w:tcPr>
                  <w:tcW w:w="2931" w:type="pct"/>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颗粒物</w:t>
                  </w:r>
                </w:p>
              </w:tc>
              <w:tc>
                <w:tcPr>
                  <w:tcW w:w="991"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0.078</w:t>
                  </w:r>
                </w:p>
              </w:tc>
            </w:tr>
            <w:tr>
              <w:trPr>
                <w:trHeight w:val="340"/>
              </w:trPr>
              <w:tc>
                <w:tcPr>
                  <w:tcW w:w="1077" w:type="pct"/>
                  <w:gridSpan w:val="2"/>
                  <w:vMerge/>
                  <w:vAlign w:val="center"/>
                </w:tcPr>
                <w:p/>
              </w:tc>
              <w:tc>
                <w:tcPr>
                  <w:tcW w:w="2931" w:type="pct"/>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烟气黑度</w:t>
                  </w:r>
                </w:p>
              </w:tc>
              <w:tc>
                <w:tcPr>
                  <w:tcW w:w="991"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＜1</w:t>
                  </w:r>
                </w:p>
              </w:tc>
            </w:tr>
            <w:tr>
              <w:trPr>
                <w:trHeight w:val="340"/>
              </w:trPr>
              <w:tc>
                <w:tcPr>
                  <w:tcW w:w="1077" w:type="pct"/>
                  <w:gridSpan w:val="2"/>
                  <w:vMerge/>
                  <w:vAlign w:val="center"/>
                </w:tcPr>
                <w:p/>
              </w:tc>
              <w:tc>
                <w:tcPr>
                  <w:tcW w:w="2931" w:type="pct"/>
                  <w:gridSpan w:val="3"/>
                  <w:tcBorders>
                    <w:left w:val="single" w:sz="4" w:space="0" w:color="auto"/>
                  </w:tcBorders>
                  <w:shd w:val="clear" w:color="auto" w:fill="auto"/>
                  <w:vAlign w:val="center"/>
                </w:tcPr>
                <w:p>
                  <w:pPr>
                    <w:pStyle w:val="23"/>
                    <w:bidi w:val="0"/>
                    <w:ind w:firstLine="0"/>
                    <w:rPr>
                      <w:rFonts w:hint="eastAsia"/>
                      <w:color w:val="auto"/>
                      <w:lang w:val="en-US" w:eastAsia="zh-CN"/>
                    </w:rPr>
                  </w:pPr>
                  <w:r>
                    <w:rPr>
                      <w:rFonts w:hint="eastAsia"/>
                      <w:color w:val="auto"/>
                      <w:lang w:val="en-US" w:eastAsia="zh-CN"/>
                    </w:rPr>
                    <w:t>臭气浓度</w:t>
                  </w:r>
                </w:p>
              </w:tc>
              <w:tc>
                <w:tcPr>
                  <w:tcW w:w="991"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180（无量纲）</w:t>
                  </w: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baseline"/>
              <w:rPr>
                <w:rFonts w:ascii="Times New Roman" w:hAnsi="Times New Roman" w:hint="eastAsia"/>
                <w:color w:val="auto"/>
                <w:szCs w:val="24"/>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baseline"/>
              <w:rPr>
                <w:rFonts w:ascii="Times New Roman" w:hAnsi="Times New Roman"/>
                <w:b/>
                <w:bCs/>
                <w:color w:val="auto"/>
                <w:szCs w:val="24"/>
                <w:highlight w:val="yellow"/>
              </w:rPr>
            </w:pPr>
            <w:r>
              <w:rPr>
                <w:rFonts w:ascii="Times New Roman" w:hAnsi="Times New Roman" w:hint="eastAsia"/>
                <w:color w:val="auto"/>
                <w:szCs w:val="24"/>
              </w:rPr>
              <w:t>参照《排污单位自行监测技术指南 酒、饮料制造》（HJ 1085—2020）</w:t>
            </w:r>
            <w:r>
              <w:rPr>
                <w:rFonts w:hint="eastAsia"/>
                <w:color w:val="auto"/>
                <w:szCs w:val="24"/>
                <w:lang w:eastAsia="zh-CN"/>
              </w:rPr>
              <w:t>、《排污单位自行监测技术指南 总则》（HJ 819-2017）</w:t>
            </w:r>
            <w:r>
              <w:rPr>
                <w:rFonts w:ascii="Times New Roman" w:hAnsi="Times New Roman" w:hint="eastAsia"/>
                <w:color w:val="auto"/>
                <w:szCs w:val="24"/>
                <w:lang w:eastAsia="zh-CN"/>
              </w:rPr>
              <w:t>、</w:t>
            </w:r>
            <w:r>
              <w:rPr>
                <w:rFonts w:ascii="Times New Roman" w:hAnsi="Times New Roman"/>
                <w:color w:val="auto"/>
                <w:szCs w:val="24"/>
              </w:rPr>
              <w:t>《</w:t>
            </w:r>
            <w:r>
              <w:rPr>
                <w:rFonts w:ascii="Times New Roman" w:hAnsi="Times New Roman" w:hint="eastAsia"/>
                <w:color w:val="auto"/>
                <w:szCs w:val="24"/>
                <w:u w:val="none"/>
              </w:rPr>
              <w:t>排污单位自行监测技术指南 火力发电及锅炉</w:t>
            </w:r>
            <w:r>
              <w:rPr>
                <w:rFonts w:ascii="Times New Roman" w:hAnsi="Times New Roman"/>
                <w:color w:val="auto"/>
                <w:szCs w:val="24"/>
              </w:rPr>
              <w:t>》（</w:t>
            </w:r>
            <w:r>
              <w:rPr>
                <w:rFonts w:ascii="Times New Roman" w:hAnsi="Times New Roman" w:hint="eastAsia"/>
                <w:color w:val="auto"/>
                <w:szCs w:val="24"/>
              </w:rPr>
              <w:t>HJ 820-2017</w:t>
            </w:r>
            <w:r>
              <w:rPr>
                <w:rFonts w:ascii="Times New Roman" w:hAnsi="Times New Roman"/>
                <w:color w:val="auto"/>
                <w:szCs w:val="24"/>
              </w:rPr>
              <w:t>）</w:t>
            </w:r>
            <w:r>
              <w:rPr>
                <w:rFonts w:ascii="Times New Roman" w:hAnsi="Times New Roman"/>
                <w:color w:val="auto"/>
                <w:szCs w:val="24"/>
                <w:highlight w:val="none"/>
              </w:rPr>
              <w:t>，监测方案见下表。</w:t>
            </w:r>
          </w:p>
          <w:p>
            <w:pPr>
              <w:pStyle w:val="24"/>
              <w:bidi w:val="0"/>
              <w:spacing w:line="240" w:lineRule="auto"/>
              <w:rPr>
                <w:color w:val="auto"/>
                <w:highlight w:val="none"/>
              </w:rPr>
            </w:pPr>
            <w:r>
              <w:rPr>
                <w:color w:val="auto"/>
                <w:highlight w:val="none"/>
              </w:rPr>
              <w:t>表4-</w:t>
            </w:r>
            <w:r>
              <w:rPr>
                <w:rFonts w:hint="eastAsia"/>
                <w:color w:val="auto"/>
                <w:lang w:val="en-US" w:eastAsia="zh-CN"/>
                <w:highlight w:val="none"/>
              </w:rPr>
              <w:t>8</w:t>
            </w:r>
            <w:r>
              <w:rPr>
                <w:rFonts w:hint="eastAsia"/>
                <w:color w:val="auto"/>
                <w:highlight w:val="none"/>
              </w:rPr>
              <w:t xml:space="preserve">  </w:t>
            </w:r>
            <w:r>
              <w:rPr>
                <w:color w:val="auto"/>
                <w:highlight w:val="none"/>
              </w:rPr>
              <w:t>废气监测方案</w:t>
            </w:r>
          </w:p>
          <w:tbl>
            <w:tblPr>
              <w:jc w:val="center"/>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34" w:type="dxa"/>
                <w:bottom w:w="0" w:type="dxa"/>
                <w:right w:w="34" w:type="dxa"/>
              </w:tblCellMar>
              <w:tblLook w:val="0600" w:firstRow="0" w:lastRow="0" w:firstColumn="0" w:lastColumn="0" w:noHBand="1" w:noVBand="1"/>
            </w:tblPr>
            <w:tblGrid>
              <w:gridCol w:w="1244"/>
              <w:gridCol w:w="1228"/>
              <w:gridCol w:w="974"/>
              <w:gridCol w:w="4974"/>
            </w:tblGrid>
            <w:tr>
              <w:trPr>
                <w:trHeight w:val="23"/>
              </w:trPr>
              <w:tc>
                <w:tcPr>
                  <w:tcW w:w="738" w:type="pct"/>
                  <w:tcBorders>
                    <w:tl2br w:val="nil"/>
                    <w:tr2bl w:val="nil"/>
                  </w:tcBorders>
                  <w:vAlign w:val="center"/>
                </w:tcPr>
                <w:p>
                  <w:pPr>
                    <w:pStyle w:val="23"/>
                    <w:bidi w:val="0"/>
                    <w:rPr>
                      <w:color w:val="auto"/>
                    </w:rPr>
                  </w:pPr>
                  <w:r>
                    <w:rPr>
                      <w:color w:val="auto"/>
                    </w:rPr>
                    <w:t>监测点位</w:t>
                  </w:r>
                </w:p>
              </w:tc>
              <w:tc>
                <w:tcPr>
                  <w:tcW w:w="729" w:type="pct"/>
                  <w:tcBorders>
                    <w:tl2br w:val="nil"/>
                    <w:tr2bl w:val="nil"/>
                  </w:tcBorders>
                  <w:vAlign w:val="center"/>
                </w:tcPr>
                <w:p>
                  <w:pPr>
                    <w:pStyle w:val="23"/>
                    <w:bidi w:val="0"/>
                    <w:rPr>
                      <w:color w:val="auto"/>
                    </w:rPr>
                  </w:pPr>
                  <w:r>
                    <w:rPr>
                      <w:color w:val="auto"/>
                    </w:rPr>
                    <w:t>监测指标</w:t>
                  </w:r>
                </w:p>
              </w:tc>
              <w:tc>
                <w:tcPr>
                  <w:tcW w:w="578" w:type="pct"/>
                  <w:tcBorders>
                    <w:tl2br w:val="nil"/>
                    <w:tr2bl w:val="nil"/>
                  </w:tcBorders>
                  <w:vAlign w:val="center"/>
                </w:tcPr>
                <w:p>
                  <w:pPr>
                    <w:pStyle w:val="23"/>
                    <w:bidi w:val="0"/>
                    <w:rPr>
                      <w:color w:val="auto"/>
                    </w:rPr>
                  </w:pPr>
                  <w:r>
                    <w:rPr>
                      <w:color w:val="auto"/>
                    </w:rPr>
                    <w:t>监测频次</w:t>
                  </w:r>
                </w:p>
              </w:tc>
              <w:tc>
                <w:tcPr>
                  <w:tcW w:w="2952" w:type="pct"/>
                  <w:tcBorders>
                    <w:tl2br w:val="nil"/>
                    <w:tr2bl w:val="nil"/>
                  </w:tcBorders>
                  <w:vAlign w:val="center"/>
                </w:tcPr>
                <w:p>
                  <w:pPr>
                    <w:pStyle w:val="23"/>
                    <w:bidi w:val="0"/>
                    <w:rPr>
                      <w:color w:val="auto"/>
                    </w:rPr>
                  </w:pPr>
                  <w:r>
                    <w:rPr>
                      <w:color w:val="auto"/>
                    </w:rPr>
                    <w:t>执行排放标准</w:t>
                  </w:r>
                </w:p>
              </w:tc>
            </w:tr>
            <w:tr>
              <w:trPr>
                <w:trHeight w:val="23"/>
              </w:trPr>
              <w:tc>
                <w:tcPr>
                  <w:tcW w:w="738" w:type="pct"/>
                  <w:vMerge w:val="restart"/>
                  <w:tcBorders>
                    <w:tl2br w:val="nil"/>
                    <w:tr2bl w:val="nil"/>
                  </w:tcBorders>
                  <w:shd w:val="clear" w:color="auto" w:fill="auto"/>
                  <w:vAlign w:val="center"/>
                </w:tcPr>
                <w:p>
                  <w:pPr>
                    <w:pStyle w:val="23"/>
                    <w:bidi w:val="0"/>
                    <w:ind w:firstLine="0"/>
                    <w:rPr>
                      <w:rFonts w:eastAsia="宋体"/>
                      <w:color w:val="auto"/>
                      <w:lang w:val="en-US" w:eastAsia="zh-CN"/>
                    </w:rPr>
                  </w:pPr>
                  <w:r>
                    <w:rPr>
                      <w:rFonts w:hint="eastAsia"/>
                      <w:color w:val="auto"/>
                      <w:lang w:val="en-US" w:eastAsia="zh-CN"/>
                    </w:rPr>
                    <w:t>排气筒DA001</w:t>
                  </w: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W w:w="578" w:type="pct"/>
                  <w:vMerge w:val="restart"/>
                  <w:tcBorders>
                    <w:tl2br w:val="nil"/>
                    <w:tr2bl w:val="nil"/>
                  </w:tcBorders>
                  <w:vAlign w:val="center"/>
                </w:tcPr>
                <w:p>
                  <w:pPr>
                    <w:pStyle w:val="23"/>
                    <w:bidi w:val="0"/>
                    <w:rPr>
                      <w:rFonts w:hint="eastAsia"/>
                      <w:color w:val="auto"/>
                      <w:lang w:val="en-US" w:eastAsia="zh-CN"/>
                    </w:rPr>
                  </w:pPr>
                  <w:r>
                    <w:rPr>
                      <w:rFonts w:hint="eastAsia"/>
                      <w:color w:val="auto"/>
                      <w:lang w:val="en-US" w:eastAsia="zh-CN"/>
                    </w:rPr>
                    <w:t>1次/年</w:t>
                  </w:r>
                </w:p>
              </w:tc>
              <w:tc>
                <w:tcPr>
                  <w:tcW w:w="2952" w:type="pct"/>
                  <w:tcBorders>
                    <w:tl2br w:val="nil"/>
                    <w:tr2bl w:val="nil"/>
                  </w:tcBorders>
                  <w:shd w:val="clear" w:color="auto" w:fill="auto"/>
                  <w:vAlign w:val="center"/>
                </w:tcPr>
                <w:p>
                  <w:pPr>
                    <w:pStyle w:val="23"/>
                    <w:bidi w:val="0"/>
                    <w:ind w:firstLine="0"/>
                    <w:rPr>
                      <w:color w:val="auto"/>
                    </w:rPr>
                  </w:pPr>
                  <w:r>
                    <w:rPr>
                      <w:color w:val="auto"/>
                    </w:rPr>
                    <w:t>《工业企业挥发性有机物排放控制标准》（DB13/2322-20</w:t>
                  </w:r>
                  <w:r>
                    <w:rPr>
                      <w:rFonts w:hint="eastAsia"/>
                      <w:color w:val="auto"/>
                      <w:lang w:val="en-US" w:eastAsia="zh-CN"/>
                    </w:rPr>
                    <w:t>25</w:t>
                  </w:r>
                  <w:r>
                    <w:rPr>
                      <w:color w:val="auto"/>
                    </w:rPr>
                    <w:t>）</w:t>
                  </w:r>
                  <w:r>
                    <w:rPr>
                      <w:rFonts w:hint="eastAsia"/>
                      <w:color w:val="auto"/>
                    </w:rPr>
                    <w:t>表1</w:t>
                  </w:r>
                  <w:r>
                    <w:rPr>
                      <w:rFonts w:hint="eastAsia"/>
                      <w:color w:val="auto"/>
                      <w:lang w:val="en-US" w:eastAsia="zh-CN"/>
                    </w:rPr>
                    <w:t>其他工业行业</w:t>
                  </w:r>
                  <w:r>
                    <w:rPr>
                      <w:rFonts w:hint="eastAsia"/>
                      <w:color w:val="auto"/>
                    </w:rPr>
                    <w:t>排放限值要求</w:t>
                  </w:r>
                </w:p>
              </w:tc>
            </w:tr>
            <w:tr>
              <w:trPr>
                <w:trHeight w:val="23"/>
              </w:trPr>
              <w:tc>
                <w:tcPr>
                  <w:tcW w:w="738" w:type="pct"/>
                  <w:vMerge/>
                  <w:tcBorders>
                    <w:tl2br w:val="nil"/>
                    <w:tr2bl w:val="nil"/>
                  </w:tcBorders>
                  <w:shd w:val="clear" w:color="auto" w:fill="auto"/>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臭气浓度</w:t>
                  </w:r>
                </w:p>
              </w:tc>
              <w:tc>
                <w:tcPr>
                  <w:tcW w:w="578" w:type="pct"/>
                  <w:vMerge/>
                  <w:tcBorders>
                    <w:tl2br w:val="nil"/>
                    <w:tr2bl w:val="nil"/>
                  </w:tcBorders>
                  <w:vAlign w:val="center"/>
                </w:tcPr>
                <w:p/>
              </w:tc>
              <w:tc>
                <w:tcPr>
                  <w:tcW w:w="2952" w:type="pct"/>
                  <w:tcBorders>
                    <w:tl2br w:val="nil"/>
                    <w:tr2bl w:val="nil"/>
                  </w:tcBorders>
                  <w:shd w:val="clear" w:color="auto" w:fill="auto"/>
                  <w:vAlign w:val="center"/>
                </w:tcPr>
                <w:p>
                  <w:pPr>
                    <w:pStyle w:val="23"/>
                    <w:bidi w:val="0"/>
                    <w:ind w:firstLine="0"/>
                    <w:rPr>
                      <w:color w:val="auto"/>
                    </w:rPr>
                  </w:pPr>
                  <w:r>
                    <w:rPr>
                      <w:color w:val="auto"/>
                    </w:rPr>
                    <w:t>《恶臭污染物排放标准》（GB14554-93）表2恶臭污染物排放标准值</w:t>
                  </w:r>
                </w:p>
              </w:tc>
            </w:tr>
            <w:tr>
              <w:trPr>
                <w:trHeight w:val="23"/>
              </w:trPr>
              <w:tc>
                <w:tcPr>
                  <w:tcW w:w="738" w:type="pct"/>
                  <w:tcBorders>
                    <w:tl2br w:val="nil"/>
                    <w:tr2bl w:val="nil"/>
                  </w:tcBorders>
                  <w:shd w:val="clear" w:color="auto" w:fill="auto"/>
                  <w:vAlign w:val="center"/>
                </w:tcPr>
                <w:p>
                  <w:pPr>
                    <w:pStyle w:val="23"/>
                    <w:bidi w:val="0"/>
                    <w:ind w:firstLine="0"/>
                    <w:rPr>
                      <w:rFonts w:eastAsia="宋体"/>
                      <w:color w:val="auto"/>
                      <w:lang w:val="en-US" w:eastAsia="zh-CN"/>
                    </w:rPr>
                  </w:pPr>
                  <w:r>
                    <w:rPr>
                      <w:rFonts w:hint="eastAsia"/>
                      <w:color w:val="auto"/>
                      <w:lang w:val="en-US" w:eastAsia="zh-CN"/>
                    </w:rPr>
                    <w:t>排气筒DA002</w:t>
                  </w:r>
                </w:p>
              </w:tc>
              <w:tc>
                <w:tcPr>
                  <w:tcW w:w="729" w:type="pct"/>
                  <w:tcBorders>
                    <w:tl2br w:val="nil"/>
                    <w:tr2bl w:val="nil"/>
                  </w:tcBorders>
                  <w:shd w:val="clear" w:color="auto" w:fill="auto"/>
                  <w:vAlign w:val="center"/>
                </w:tcPr>
                <w:p>
                  <w:pPr>
                    <w:pStyle w:val="23"/>
                    <w:bidi w:val="0"/>
                    <w:ind w:firstLine="0"/>
                    <w:rPr>
                      <w:rFonts w:eastAsia="宋体" w:hint="eastAsia"/>
                      <w:color w:val="auto"/>
                      <w:lang w:val="en-US" w:eastAsia="zh-CN"/>
                    </w:rPr>
                  </w:pPr>
                  <w:r>
                    <w:rPr>
                      <w:rFonts w:hint="eastAsia"/>
                      <w:color w:val="auto"/>
                      <w:lang w:val="en-US" w:eastAsia="zh-CN"/>
                    </w:rPr>
                    <w:t>颗粒物</w:t>
                  </w:r>
                </w:p>
              </w:tc>
              <w:tc>
                <w:tcPr>
                  <w:tcW w:w="57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1次/半年</w:t>
                  </w:r>
                </w:p>
              </w:tc>
              <w:tc>
                <w:tcPr>
                  <w:tcW w:w="2952" w:type="pct"/>
                  <w:tcBorders>
                    <w:tl2br w:val="nil"/>
                    <w:tr2bl w:val="nil"/>
                  </w:tcBorders>
                  <w:shd w:val="clear" w:color="auto" w:fill="auto"/>
                  <w:vAlign w:val="center"/>
                </w:tcPr>
                <w:p>
                  <w:pPr>
                    <w:pStyle w:val="23"/>
                    <w:bidi w:val="0"/>
                    <w:ind w:firstLine="0"/>
                    <w:rPr>
                      <w:color w:val="auto"/>
                    </w:rPr>
                  </w:pPr>
                  <w:r>
                    <w:rPr>
                      <w:color w:val="auto"/>
                    </w:rPr>
                    <w:t>《大气污染物综合排放标准》（GB16297-1996）表2二级标准</w:t>
                  </w:r>
                </w:p>
              </w:tc>
            </w:tr>
            <w:tr>
              <w:trPr>
                <w:trHeight w:val="23"/>
              </w:trPr>
              <w:tc>
                <w:tcPr>
                  <w:tcW w:w="738"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排气筒</w:t>
                  </w:r>
                  <w:r>
                    <w:rPr>
                      <w:rFonts w:hint="eastAsia"/>
                      <w:color w:val="auto"/>
                      <w:lang w:val="en-US" w:eastAsia="zh-CN"/>
                    </w:rPr>
                    <w:t>DA003</w:t>
                  </w: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氨</w:t>
                  </w:r>
                </w:p>
              </w:tc>
              <w:tc>
                <w:tcPr>
                  <w:tcW w:w="578" w:type="pct"/>
                  <w:vMerge w:val="restart"/>
                  <w:tcBorders>
                    <w:tl2br w:val="nil"/>
                    <w:tr2bl w:val="nil"/>
                  </w:tcBorders>
                  <w:vAlign w:val="center"/>
                </w:tcPr>
                <w:p>
                  <w:pPr>
                    <w:pStyle w:val="23"/>
                    <w:bidi w:val="0"/>
                    <w:rPr>
                      <w:rFonts w:hint="eastAsia"/>
                      <w:color w:val="auto"/>
                      <w:lang w:val="en-US" w:eastAsia="zh-CN"/>
                    </w:rPr>
                  </w:pPr>
                  <w:r>
                    <w:rPr>
                      <w:rFonts w:hint="eastAsia"/>
                      <w:color w:val="auto"/>
                      <w:lang w:val="en-US" w:eastAsia="zh-CN"/>
                    </w:rPr>
                    <w:t>1次/半年</w:t>
                  </w:r>
                </w:p>
              </w:tc>
              <w:tc>
                <w:tcPr>
                  <w:tcW w:w="2952" w:type="pct"/>
                  <w:vMerge w:val="restart"/>
                  <w:tcBorders>
                    <w:tl2br w:val="nil"/>
                    <w:tr2bl w:val="nil"/>
                  </w:tcBorders>
                  <w:shd w:val="clear" w:color="auto" w:fill="auto"/>
                  <w:vAlign w:val="center"/>
                </w:tcPr>
                <w:p>
                  <w:pPr>
                    <w:pStyle w:val="23"/>
                    <w:bidi w:val="0"/>
                    <w:ind w:firstLine="0"/>
                    <w:rPr>
                      <w:color w:val="auto"/>
                    </w:rPr>
                  </w:pPr>
                  <w:r>
                    <w:rPr>
                      <w:color w:val="auto"/>
                    </w:rPr>
                    <w:t>《恶臭污染物排放标准》（GB14554-93）表2恶臭污染物排放标准值</w:t>
                  </w: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硫化氢</w:t>
                  </w:r>
                </w:p>
              </w:tc>
              <w:tc>
                <w:tcPr>
                  <w:tcW w:w="578" w:type="pct"/>
                  <w:vMerge/>
                  <w:tcBorders>
                    <w:tl2br w:val="nil"/>
                    <w:tr2bl w:val="nil"/>
                  </w:tcBorders>
                  <w:vAlign w:val="center"/>
                </w:tcPr>
                <w:p/>
              </w:tc>
              <w:tc>
                <w:tcPr>
                  <w:tcW w:w="2952" w:type="pct"/>
                  <w:vMerge/>
                  <w:tcBorders>
                    <w:tl2br w:val="nil"/>
                    <w:tr2bl w:val="nil"/>
                  </w:tcBorders>
                  <w:vAlign w:val="center"/>
                </w:tcP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臭气浓度</w:t>
                  </w:r>
                </w:p>
              </w:tc>
              <w:tc>
                <w:tcPr>
                  <w:tcW w:w="578" w:type="pct"/>
                  <w:vMerge/>
                  <w:tcBorders>
                    <w:tl2br w:val="nil"/>
                    <w:tr2bl w:val="nil"/>
                  </w:tcBorders>
                  <w:vAlign w:val="center"/>
                </w:tcPr>
                <w:p/>
              </w:tc>
              <w:tc>
                <w:tcPr>
                  <w:tcW w:w="2952" w:type="pct"/>
                  <w:vMerge/>
                  <w:tcBorders>
                    <w:tl2br w:val="nil"/>
                    <w:tr2bl w:val="nil"/>
                  </w:tcBorders>
                  <w:vAlign w:val="center"/>
                </w:tcPr>
                <w:p/>
              </w:tc>
            </w:tr>
            <w:tr>
              <w:trPr>
                <w:trHeight w:val="23"/>
              </w:trPr>
              <w:tc>
                <w:tcPr>
                  <w:tcW w:w="738" w:type="pct"/>
                  <w:vMerge w:val="restart"/>
                  <w:tcBorders>
                    <w:tl2br w:val="nil"/>
                    <w:tr2bl w:val="nil"/>
                  </w:tcBorders>
                  <w:vAlign w:val="center"/>
                </w:tcPr>
                <w:p>
                  <w:pPr>
                    <w:pStyle w:val="23"/>
                    <w:bidi w:val="0"/>
                    <w:rPr>
                      <w:rFonts w:eastAsia="宋体"/>
                      <w:color w:val="auto"/>
                      <w:lang w:val="en-US" w:eastAsia="zh-CN"/>
                    </w:rPr>
                  </w:pPr>
                  <w:r>
                    <w:rPr>
                      <w:color w:val="auto"/>
                    </w:rPr>
                    <w:t>排气筒</w:t>
                  </w:r>
                  <w:r>
                    <w:rPr>
                      <w:rFonts w:hint="eastAsia"/>
                      <w:color w:val="auto"/>
                      <w:lang w:val="en-US" w:eastAsia="zh-CN"/>
                    </w:rPr>
                    <w:t>DA005</w:t>
                  </w: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NOx</w:t>
                  </w:r>
                </w:p>
              </w:tc>
              <w:tc>
                <w:tcPr>
                  <w:tcW w:w="578"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1次/月</w:t>
                  </w:r>
                </w:p>
              </w:tc>
              <w:tc>
                <w:tcPr>
                  <w:tcW w:w="2952"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eastAsia="zh-CN"/>
                    </w:rPr>
                    <w:t>《锅炉大气污染物排放标准》（DB13/5161</w:t>
                  </w:r>
                  <w:r>
                    <w:rPr>
                      <w:rFonts w:hint="eastAsia"/>
                      <w:color w:val="auto"/>
                      <w:lang w:val="en-US" w:eastAsia="zh-CN"/>
                    </w:rPr>
                    <w:t>-</w:t>
                  </w:r>
                  <w:r>
                    <w:rPr>
                      <w:rFonts w:hint="eastAsia"/>
                      <w:color w:val="auto"/>
                      <w:lang w:eastAsia="zh-CN"/>
                    </w:rPr>
                    <w:t>2020）</w:t>
                  </w:r>
                  <w:r>
                    <w:rPr>
                      <w:rFonts w:hint="eastAsia"/>
                      <w:color w:val="auto"/>
                      <w:lang w:val="en-US" w:eastAsia="zh-CN"/>
                    </w:rPr>
                    <w:t>表1</w:t>
                  </w: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vertAlign w:val="subscript"/>
                      <w:lang w:val="en-US" w:eastAsia="zh-CN" w:bidi="ar-SA"/>
                    </w:rPr>
                  </w:pPr>
                  <w:r>
                    <w:rPr>
                      <w:rFonts w:hint="eastAsia"/>
                      <w:color w:val="auto"/>
                      <w:lang w:val="en-US" w:eastAsia="zh-CN"/>
                    </w:rPr>
                    <w:t>SO</w:t>
                  </w:r>
                  <w:r>
                    <w:rPr>
                      <w:rFonts w:hint="eastAsia"/>
                      <w:color w:val="auto"/>
                      <w:vertAlign w:val="subscript"/>
                      <w:lang w:val="en-US" w:eastAsia="zh-CN"/>
                    </w:rPr>
                    <w:t>2</w:t>
                  </w:r>
                </w:p>
              </w:tc>
              <w:tc>
                <w:tcPr>
                  <w:tcW w:w="578" w:type="pct"/>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1次/年</w:t>
                  </w:r>
                </w:p>
              </w:tc>
              <w:tc>
                <w:tcPr>
                  <w:tcW w:w="2952" w:type="pct"/>
                  <w:vMerge/>
                  <w:tcBorders>
                    <w:tl2br w:val="nil"/>
                    <w:tr2bl w:val="nil"/>
                  </w:tcBorders>
                  <w:vAlign w:val="center"/>
                </w:tcP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颗粒物</w:t>
                  </w:r>
                </w:p>
              </w:tc>
              <w:tc>
                <w:tcPr>
                  <w:tcW w:w="578" w:type="pct"/>
                  <w:vMerge/>
                  <w:tcBorders>
                    <w:tl2br w:val="nil"/>
                    <w:tr2bl w:val="nil"/>
                  </w:tcBorders>
                  <w:vAlign w:val="center"/>
                </w:tcPr>
                <w:p/>
              </w:tc>
              <w:tc>
                <w:tcPr>
                  <w:tcW w:w="2952" w:type="pct"/>
                  <w:vMerge/>
                  <w:tcBorders>
                    <w:tl2br w:val="nil"/>
                    <w:tr2bl w:val="nil"/>
                  </w:tcBorders>
                  <w:vAlign w:val="center"/>
                </w:tcP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烟气黑度</w:t>
                  </w:r>
                </w:p>
              </w:tc>
              <w:tc>
                <w:tcPr>
                  <w:tcW w:w="578" w:type="pct"/>
                  <w:vMerge/>
                  <w:tcBorders>
                    <w:tl2br w:val="nil"/>
                    <w:tr2bl w:val="nil"/>
                  </w:tcBorders>
                  <w:vAlign w:val="center"/>
                </w:tcPr>
                <w:p/>
              </w:tc>
              <w:tc>
                <w:tcPr>
                  <w:tcW w:w="2952" w:type="pct"/>
                  <w:vMerge/>
                  <w:tcBorders>
                    <w:tl2br w:val="nil"/>
                    <w:tr2bl w:val="nil"/>
                  </w:tcBorders>
                  <w:vAlign w:val="center"/>
                </w:tcPr>
                <w:p/>
              </w:tc>
            </w:tr>
            <w:tr>
              <w:trPr>
                <w:trHeight w:val="23"/>
              </w:trPr>
              <w:tc>
                <w:tcPr>
                  <w:tcW w:w="738" w:type="pct"/>
                  <w:tcBorders>
                    <w:tl2br w:val="nil"/>
                    <w:tr2bl w:val="nil"/>
                  </w:tcBorders>
                  <w:vAlign w:val="center"/>
                </w:tcPr>
                <w:p>
                  <w:pPr>
                    <w:pStyle w:val="23"/>
                    <w:bidi w:val="0"/>
                    <w:rPr>
                      <w:color w:val="auto"/>
                      <w:lang w:val="en-US"/>
                    </w:rPr>
                  </w:pPr>
                  <w:r>
                    <w:rPr>
                      <w:color w:val="auto"/>
                    </w:rPr>
                    <w:t>排气筒</w:t>
                  </w:r>
                  <w:r>
                    <w:rPr>
                      <w:rFonts w:hint="eastAsia"/>
                      <w:color w:val="auto"/>
                      <w:lang w:val="en-US" w:eastAsia="zh-CN"/>
                    </w:rPr>
                    <w:t>DA006</w:t>
                  </w:r>
                </w:p>
              </w:tc>
              <w:tc>
                <w:tcPr>
                  <w:tcW w:w="729"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臭气浓度</w:t>
                  </w:r>
                </w:p>
              </w:tc>
              <w:tc>
                <w:tcPr>
                  <w:tcW w:w="578" w:type="pct"/>
                  <w:tcBorders>
                    <w:tl2br w:val="nil"/>
                    <w:tr2bl w:val="nil"/>
                  </w:tcBorders>
                  <w:vAlign w:val="center"/>
                </w:tcPr>
                <w:p>
                  <w:pPr>
                    <w:pStyle w:val="23"/>
                    <w:bidi w:val="0"/>
                    <w:rPr>
                      <w:color w:val="auto"/>
                    </w:rPr>
                  </w:pPr>
                  <w:r>
                    <w:rPr>
                      <w:rFonts w:hint="eastAsia"/>
                      <w:color w:val="auto"/>
                      <w:lang w:val="en-US" w:eastAsia="zh-CN"/>
                    </w:rPr>
                    <w:t>1次/年</w:t>
                  </w:r>
                </w:p>
              </w:tc>
              <w:tc>
                <w:tcPr>
                  <w:tcW w:w="2952" w:type="pct"/>
                  <w:tcBorders>
                    <w:tl2br w:val="nil"/>
                    <w:tr2bl w:val="nil"/>
                  </w:tcBorders>
                  <w:vAlign w:val="center"/>
                </w:tcPr>
                <w:p>
                  <w:pPr>
                    <w:pStyle w:val="23"/>
                    <w:bidi w:val="0"/>
                    <w:rPr>
                      <w:color w:val="auto"/>
                    </w:rPr>
                  </w:pPr>
                  <w:r>
                    <w:rPr>
                      <w:color w:val="auto"/>
                    </w:rPr>
                    <w:t>《恶臭污染物排放标准》（GB14554-93）表2恶臭污染物排放标准值</w:t>
                  </w:r>
                </w:p>
              </w:tc>
            </w:tr>
            <w:tr>
              <w:trPr>
                <w:trHeight w:val="23"/>
              </w:trPr>
              <w:tc>
                <w:tcPr>
                  <w:tcW w:w="738" w:type="pct"/>
                  <w:vMerge w:val="restar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厂界</w:t>
                  </w:r>
                </w:p>
              </w:tc>
              <w:tc>
                <w:tcPr>
                  <w:tcW w:w="729" w:type="pct"/>
                  <w:tcBorders>
                    <w:tl2br w:val="nil"/>
                    <w:tr2bl w:val="nil"/>
                  </w:tcBorders>
                  <w:shd w:val="clear" w:color="auto" w:fill="auto"/>
                  <w:vAlign w:val="center"/>
                </w:tcPr>
                <w:p>
                  <w:pPr>
                    <w:pStyle w:val="23"/>
                    <w:bidi w:val="0"/>
                    <w:ind w:firstLine="0"/>
                    <w:rPr>
                      <w:rFonts w:hint="eastAsia"/>
                      <w:color w:val="auto"/>
                      <w:lang w:val="en-US" w:eastAsia="zh-CN"/>
                      <w:highlight w:val="none"/>
                    </w:rPr>
                  </w:pPr>
                  <w:r>
                    <w:rPr>
                      <w:rFonts w:hint="eastAsia"/>
                      <w:color w:val="auto"/>
                      <w:lang w:val="en-US" w:eastAsia="zh-CN"/>
                      <w:highlight w:val="none"/>
                    </w:rPr>
                    <w:t>非甲烷总烃</w:t>
                  </w:r>
                </w:p>
              </w:tc>
              <w:tc>
                <w:tcPr>
                  <w:tcW w:w="578" w:type="pct"/>
                  <w:vMerge w:val="restart"/>
                  <w:tcBorders>
                    <w:tl2br w:val="nil"/>
                    <w:tr2bl w:val="nil"/>
                  </w:tcBorders>
                  <w:vAlign w:val="center"/>
                </w:tcPr>
                <w:p>
                  <w:pPr>
                    <w:pStyle w:val="23"/>
                    <w:bidi w:val="0"/>
                    <w:rPr>
                      <w:color w:val="auto"/>
                    </w:rPr>
                  </w:pPr>
                  <w:r>
                    <w:rPr>
                      <w:rFonts w:hint="eastAsia"/>
                      <w:color w:val="auto"/>
                      <w:lang w:val="en-US" w:eastAsia="zh-CN"/>
                    </w:rPr>
                    <w:t>1次/半年</w:t>
                  </w:r>
                </w:p>
              </w:tc>
              <w:tc>
                <w:tcPr>
                  <w:tcW w:w="2952" w:type="pct"/>
                  <w:vMerge w:val="restar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《大气污染物综合排放标准》（GB16297-1996）表2无组织排放标准</w:t>
                  </w: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颗粒物</w:t>
                  </w:r>
                </w:p>
              </w:tc>
              <w:tc>
                <w:tcPr>
                  <w:tcW w:w="578" w:type="pct"/>
                  <w:vMerge/>
                  <w:tcBorders>
                    <w:tl2br w:val="nil"/>
                    <w:tr2bl w:val="nil"/>
                  </w:tcBorders>
                  <w:vAlign w:val="center"/>
                </w:tcPr>
                <w:p/>
              </w:tc>
              <w:tc>
                <w:tcPr>
                  <w:tcW w:w="2952" w:type="pct"/>
                  <w:vMerge/>
                  <w:tcBorders>
                    <w:tl2br w:val="nil"/>
                    <w:tr2bl w:val="nil"/>
                  </w:tcBorders>
                  <w:shd w:val="clear" w:color="auto" w:fill="auto"/>
                  <w:vAlign w:val="center"/>
                </w:tcP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氨</w:t>
                  </w:r>
                </w:p>
              </w:tc>
              <w:tc>
                <w:tcPr>
                  <w:tcW w:w="578" w:type="pct"/>
                  <w:vMerge/>
                  <w:tcBorders>
                    <w:tl2br w:val="nil"/>
                    <w:tr2bl w:val="nil"/>
                  </w:tcBorders>
                  <w:vAlign w:val="center"/>
                </w:tcPr>
                <w:p/>
              </w:tc>
              <w:tc>
                <w:tcPr>
                  <w:tcW w:w="2952"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《恶臭污染物排放标准》（GB14554-93）表1二级新扩改建 标准</w:t>
                  </w: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硫化氢</w:t>
                  </w:r>
                </w:p>
              </w:tc>
              <w:tc>
                <w:tcPr>
                  <w:tcW w:w="578" w:type="pct"/>
                  <w:vMerge/>
                  <w:tcBorders>
                    <w:tl2br w:val="nil"/>
                    <w:tr2bl w:val="nil"/>
                  </w:tcBorders>
                  <w:vAlign w:val="center"/>
                </w:tcPr>
                <w:p/>
              </w:tc>
              <w:tc>
                <w:tcPr>
                  <w:tcW w:w="2952" w:type="pct"/>
                  <w:vMerge/>
                  <w:tcBorders>
                    <w:tl2br w:val="nil"/>
                    <w:tr2bl w:val="nil"/>
                  </w:tcBorders>
                  <w:vAlign w:val="center"/>
                </w:tcPr>
                <w:p/>
              </w:tc>
            </w:tr>
            <w:tr>
              <w:trPr>
                <w:trHeight w:val="23"/>
              </w:trPr>
              <w:tc>
                <w:tcPr>
                  <w:tcW w:w="738" w:type="pct"/>
                  <w:vMerge/>
                  <w:tcBorders>
                    <w:tl2br w:val="nil"/>
                    <w:tr2bl w:val="nil"/>
                  </w:tcBorders>
                  <w:vAlign w:val="center"/>
                </w:tcPr>
                <w:p/>
              </w:tc>
              <w:tc>
                <w:tcPr>
                  <w:tcW w:w="72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臭气浓度</w:t>
                  </w:r>
                </w:p>
              </w:tc>
              <w:tc>
                <w:tcPr>
                  <w:tcW w:w="578" w:type="pct"/>
                  <w:vMerge/>
                  <w:tcBorders>
                    <w:tl2br w:val="nil"/>
                    <w:tr2bl w:val="nil"/>
                  </w:tcBorders>
                  <w:vAlign w:val="center"/>
                </w:tcPr>
                <w:p/>
              </w:tc>
              <w:tc>
                <w:tcPr>
                  <w:tcW w:w="2952" w:type="pct"/>
                  <w:vMerge/>
                  <w:tcBorders>
                    <w:tl2br w:val="nil"/>
                    <w:tr2bl w:val="nil"/>
                  </w:tcBorders>
                  <w:vAlign w:val="center"/>
                </w:tcPr>
                <w:p/>
              </w:tc>
            </w:tr>
            <w:tr>
              <w:trPr>
                <w:trHeight w:val="23"/>
              </w:trPr>
              <w:tc>
                <w:tcPr>
                  <w:tcW w:w="738" w:type="pct"/>
                  <w:tcBorders>
                    <w:tl2br w:val="nil"/>
                    <w:tr2bl w:val="nil"/>
                  </w:tcBorders>
                  <w:vAlign w:val="center"/>
                </w:tcPr>
                <w:p>
                  <w:pPr>
                    <w:pStyle w:val="23"/>
                    <w:bidi w:val="0"/>
                    <w:rPr>
                      <w:color w:val="auto"/>
                      <w:lang w:val="en-US" w:eastAsia="zh-CN"/>
                      <w:highlight w:val="none"/>
                    </w:rPr>
                  </w:pPr>
                  <w:r>
                    <w:rPr>
                      <w:rFonts w:hint="eastAsia"/>
                      <w:color w:val="auto"/>
                      <w:lang w:val="en-US" w:eastAsia="zh-CN"/>
                      <w:highlight w:val="none"/>
                    </w:rPr>
                    <w:t>厂区内</w:t>
                  </w:r>
                </w:p>
              </w:tc>
              <w:tc>
                <w:tcPr>
                  <w:tcW w:w="729" w:type="pct"/>
                  <w:tcBorders>
                    <w:tl2br w:val="nil"/>
                    <w:tr2bl w:val="nil"/>
                  </w:tcBorders>
                  <w:shd w:val="clear" w:color="auto" w:fill="auto"/>
                  <w:vAlign w:val="center"/>
                </w:tcPr>
                <w:p>
                  <w:pPr>
                    <w:pStyle w:val="23"/>
                    <w:bidi w:val="0"/>
                    <w:ind w:firstLine="0"/>
                    <w:rPr>
                      <w:color w:val="auto"/>
                      <w:lang w:val="en-US" w:eastAsia="zh-CN"/>
                      <w:highlight w:val="none"/>
                    </w:rPr>
                  </w:pPr>
                  <w:r>
                    <w:rPr>
                      <w:rFonts w:hint="eastAsia"/>
                      <w:color w:val="auto"/>
                      <w:lang w:val="en-US" w:eastAsia="zh-CN"/>
                      <w:highlight w:val="none"/>
                    </w:rPr>
                    <w:t>非甲烷总烃</w:t>
                  </w:r>
                </w:p>
              </w:tc>
              <w:tc>
                <w:tcPr>
                  <w:tcW w:w="578" w:type="pct"/>
                  <w:tcBorders>
                    <w:tl2br w:val="nil"/>
                    <w:tr2bl w:val="nil"/>
                  </w:tcBorders>
                  <w:vAlign w:val="center"/>
                </w:tcPr>
                <w:p>
                  <w:pPr>
                    <w:pStyle w:val="23"/>
                    <w:bidi w:val="0"/>
                    <w:rPr>
                      <w:rFonts w:hint="eastAsia"/>
                      <w:color w:val="auto"/>
                      <w:lang w:val="en-US" w:eastAsia="zh-CN"/>
                      <w:highlight w:val="none"/>
                    </w:rPr>
                  </w:pPr>
                  <w:r>
                    <w:rPr>
                      <w:rFonts w:hint="eastAsia"/>
                      <w:color w:val="auto"/>
                      <w:lang w:val="en-US" w:eastAsia="zh-CN"/>
                      <w:highlight w:val="none"/>
                    </w:rPr>
                    <w:t>1次/年</w:t>
                  </w:r>
                </w:p>
              </w:tc>
              <w:tc>
                <w:tcPr>
                  <w:tcW w:w="2952" w:type="pct"/>
                  <w:tcBorders>
                    <w:tl2br w:val="nil"/>
                    <w:tr2bl w:val="nil"/>
                  </w:tcBorders>
                  <w:vAlign w:val="center"/>
                </w:tcPr>
                <w:p>
                  <w:pPr>
                    <w:pStyle w:val="23"/>
                    <w:bidi w:val="0"/>
                    <w:rPr>
                      <w:color w:val="auto"/>
                      <w:highlight w:val="none"/>
                    </w:rPr>
                  </w:pPr>
                  <w:r>
                    <w:rPr>
                      <w:rFonts w:hint="eastAsia"/>
                      <w:color w:val="auto"/>
                      <w:lang w:val="en-US" w:eastAsia="zh-CN"/>
                      <w:highlight w:val="none"/>
                    </w:rPr>
                    <w:t>《工业企业挥发性有机物排放控制标准》（DB13/2322-2025）表2厂区内挥发性有机物无组织排放限值</w:t>
                  </w:r>
                </w:p>
              </w:tc>
            </w:tr>
          </w:tbl>
          <w:p>
            <w:pPr>
              <w:spacing w:line="480" w:lineRule="exact"/>
              <w:ind w:firstLineChars="200" w:firstLine="480"/>
              <w:rPr>
                <w:color w:val="auto"/>
                <w:sz w:val="24"/>
              </w:rPr>
            </w:pPr>
            <w:r>
              <w:rPr>
                <w:rFonts w:hint="eastAsia"/>
                <w:color w:val="auto"/>
                <w:sz w:val="24"/>
                <w:lang w:val="en-US" w:eastAsia="zh-CN"/>
              </w:rPr>
              <w:t>5</w:t>
            </w:r>
            <w:r>
              <w:rPr>
                <w:color w:val="auto"/>
                <w:sz w:val="24"/>
              </w:rPr>
              <w:t>、非正常情况</w:t>
            </w:r>
          </w:p>
          <w:p>
            <w:pPr>
              <w:spacing w:line="480" w:lineRule="exact"/>
              <w:ind w:firstLineChars="200" w:firstLine="480"/>
              <w:rPr>
                <w:color w:val="auto"/>
                <w:sz w:val="24"/>
              </w:rPr>
            </w:pPr>
            <w:r>
              <w:rPr>
                <w:color w:val="auto"/>
                <w:sz w:val="24"/>
              </w:rPr>
              <w:t>非正常生产情况是指系统开停车、停电、设备检修、系统出现异常以及管道泄漏、密封环损坏等情况。项目采用的生产工艺和治理设施先进，成熟可靠，因此在正常条件下，只要严格科学管理、精心操作，可避免污染事故的发生。</w:t>
            </w:r>
          </w:p>
          <w:p>
            <w:pPr>
              <w:spacing w:line="480" w:lineRule="exact"/>
              <w:ind w:firstLineChars="200" w:firstLine="480"/>
              <w:rPr>
                <w:color w:val="auto"/>
                <w:sz w:val="24"/>
              </w:rPr>
            </w:pPr>
            <w:r>
              <w:rPr>
                <w:color w:val="auto"/>
                <w:sz w:val="24"/>
              </w:rPr>
              <w:t>①工艺装置开、停车、检修及临时性故障停车时废气污染物排放分析</w:t>
            </w:r>
          </w:p>
          <w:p>
            <w:pPr>
              <w:spacing w:line="480" w:lineRule="exact"/>
              <w:ind w:firstLineChars="200" w:firstLine="480"/>
              <w:rPr>
                <w:color w:val="auto"/>
                <w:sz w:val="24"/>
              </w:rPr>
            </w:pPr>
            <w:r>
              <w:rPr>
                <w:color w:val="auto"/>
                <w:sz w:val="24"/>
              </w:rPr>
              <w:t>各工艺装置进行有计划检修、开、停车及临时性故障停车时，各工艺及环保设施均处于正常运行状态，开车时物料投料量逐渐加大、停车时物料停止投料，装置内物料量均较正常生产时小的多，污染物的排放量小于正常生产时的排放量，且开停车系统置换气均能按正常操作进入各工艺及环保设施，进行有效处理，废气污染物均可实现达标排放，不会对环境造成影响。</w:t>
            </w:r>
          </w:p>
          <w:p>
            <w:pPr>
              <w:spacing w:line="480" w:lineRule="exact"/>
              <w:ind w:firstLineChars="200" w:firstLine="480"/>
              <w:rPr>
                <w:color w:val="auto"/>
                <w:sz w:val="24"/>
              </w:rPr>
            </w:pPr>
            <w:r>
              <w:rPr>
                <w:color w:val="auto"/>
                <w:sz w:val="24"/>
              </w:rPr>
              <w:t>②工艺设备及环保设施不正常运行污染物排放</w:t>
            </w:r>
          </w:p>
          <w:p>
            <w:pPr>
              <w:spacing w:line="480" w:lineRule="exact"/>
              <w:ind w:firstLineChars="200" w:firstLine="480"/>
              <w:rPr>
                <w:color w:val="auto"/>
                <w:sz w:val="24"/>
              </w:rPr>
            </w:pPr>
            <w:r>
              <w:rPr>
                <w:rFonts w:hint="eastAsia"/>
                <w:color w:val="auto"/>
                <w:sz w:val="24"/>
              </w:rPr>
              <w:t>本项目</w:t>
            </w:r>
            <w:r>
              <w:rPr>
                <w:color w:val="auto"/>
                <w:sz w:val="24"/>
              </w:rPr>
              <w:t>废气处理装置同时出现问题的</w:t>
            </w:r>
            <w:r>
              <w:rPr>
                <w:rFonts w:hint="eastAsia"/>
                <w:color w:val="auto"/>
                <w:sz w:val="24"/>
              </w:rPr>
              <w:t>概率</w:t>
            </w:r>
            <w:r>
              <w:rPr>
                <w:color w:val="auto"/>
                <w:sz w:val="24"/>
              </w:rPr>
              <w:t>极低，以最不利情况考虑，本次评价设定非正常工况为：</w:t>
            </w:r>
            <w:r>
              <w:rPr>
                <w:rFonts w:hint="eastAsia"/>
                <w:color w:val="auto"/>
                <w:sz w:val="24"/>
              </w:rPr>
              <w:t>废气治理设施</w:t>
            </w:r>
            <w:r>
              <w:rPr>
                <w:color w:val="auto"/>
                <w:sz w:val="24"/>
              </w:rPr>
              <w:t>发生故障不能正常运行，废气未经处理直接排放，造成废气的非正常排放。若尾气处理装置出现故障时，应立即停止生产，待故障解除后再进行生产，不会对环境产生不利影响。</w:t>
            </w:r>
            <w:r>
              <w:rPr>
                <w:rFonts w:hint="eastAsia"/>
                <w:color w:val="auto"/>
                <w:sz w:val="24"/>
                <w:szCs w:val="32"/>
              </w:rPr>
              <w:t>本项目</w:t>
            </w:r>
            <w:r>
              <w:rPr>
                <w:rFonts w:hint="eastAsia"/>
                <w:color w:val="auto"/>
                <w:sz w:val="24"/>
                <w:szCs w:val="32"/>
                <w:lang w:val="en-US" w:eastAsia="zh-CN"/>
              </w:rPr>
              <w:t>蒸汽发生器</w:t>
            </w:r>
            <w:r>
              <w:rPr>
                <w:rFonts w:hint="eastAsia"/>
                <w:color w:val="auto"/>
                <w:sz w:val="24"/>
                <w:szCs w:val="32"/>
              </w:rPr>
              <w:t>配备“低氮燃烧</w:t>
            </w:r>
            <w:r>
              <w:rPr>
                <w:rFonts w:hint="eastAsia"/>
                <w:color w:val="auto"/>
                <w:sz w:val="24"/>
                <w:szCs w:val="32"/>
                <w:lang w:val="en-US" w:eastAsia="zh-CN"/>
              </w:rPr>
              <w:t>技术</w:t>
            </w:r>
            <w:r>
              <w:rPr>
                <w:rFonts w:hint="eastAsia"/>
                <w:color w:val="auto"/>
                <w:sz w:val="24"/>
                <w:szCs w:val="32"/>
              </w:rPr>
              <w:t>”，当</w:t>
            </w:r>
            <w:r>
              <w:rPr>
                <w:rFonts w:hint="eastAsia"/>
                <w:color w:val="auto"/>
                <w:sz w:val="24"/>
                <w:szCs w:val="32"/>
                <w:lang w:val="en-US" w:eastAsia="zh-CN"/>
              </w:rPr>
              <w:t>设备</w:t>
            </w:r>
            <w:r>
              <w:rPr>
                <w:rFonts w:hint="eastAsia"/>
                <w:color w:val="auto"/>
                <w:sz w:val="24"/>
                <w:szCs w:val="32"/>
              </w:rPr>
              <w:t>出现故障时，无法正常运行，</w:t>
            </w:r>
            <w:r>
              <w:rPr>
                <w:rFonts w:hint="eastAsia"/>
                <w:color w:val="auto"/>
                <w:sz w:val="24"/>
                <w:szCs w:val="32"/>
                <w:lang w:val="en-US" w:eastAsia="zh-CN"/>
              </w:rPr>
              <w:t>因此非正常工况下</w:t>
            </w:r>
            <w:r>
              <w:rPr>
                <w:rFonts w:hint="eastAsia"/>
                <w:color w:val="auto"/>
                <w:sz w:val="24"/>
                <w:szCs w:val="32"/>
              </w:rPr>
              <w:t>不涉及废气污染物排放。本项目</w:t>
            </w:r>
            <w:r>
              <w:rPr>
                <w:color w:val="auto"/>
                <w:sz w:val="24"/>
              </w:rPr>
              <w:t>废气污染源非正常工况污染物排放情况见</w:t>
            </w:r>
            <w:r>
              <w:rPr>
                <w:rFonts w:hint="eastAsia"/>
                <w:color w:val="auto"/>
                <w:sz w:val="24"/>
                <w:lang w:val="en-US" w:eastAsia="zh-CN"/>
              </w:rPr>
              <w:t>下</w:t>
            </w:r>
            <w:r>
              <w:rPr>
                <w:color w:val="auto"/>
                <w:sz w:val="24"/>
              </w:rPr>
              <w:t>表。</w:t>
            </w:r>
          </w:p>
          <w:p>
            <w:pPr>
              <w:pStyle w:val="24"/>
              <w:bidi w:val="0"/>
              <w:rPr>
                <w:color w:val="auto"/>
                <w:highlight w:val="none"/>
              </w:rPr>
            </w:pPr>
            <w:r>
              <w:rPr>
                <w:color w:val="auto"/>
                <w:highlight w:val="none"/>
              </w:rPr>
              <w:t>表4-</w:t>
            </w:r>
            <w:r>
              <w:rPr>
                <w:rFonts w:hint="eastAsia"/>
                <w:color w:val="auto"/>
                <w:lang w:val="en-US" w:eastAsia="zh-CN"/>
                <w:highlight w:val="none"/>
              </w:rPr>
              <w:t>9</w:t>
            </w:r>
            <w:r>
              <w:rPr>
                <w:rFonts w:hint="eastAsia"/>
                <w:color w:val="auto"/>
                <w:highlight w:val="none"/>
              </w:rPr>
              <w:t xml:space="preserve">  </w:t>
            </w:r>
            <w:r>
              <w:rPr>
                <w:color w:val="auto"/>
                <w:highlight w:val="none"/>
              </w:rPr>
              <w:t>废气污染源非正常排放情况核算表</w:t>
            </w:r>
          </w:p>
          <w:tbl>
            <w:tblPr>
              <w:jc w:val="left"/>
              <w:tblInd w:w="0" w:type="dxa"/>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97"/>
              <w:gridCol w:w="1057"/>
              <w:gridCol w:w="916"/>
              <w:gridCol w:w="712"/>
              <w:gridCol w:w="589"/>
              <w:gridCol w:w="1015"/>
              <w:gridCol w:w="1030"/>
              <w:gridCol w:w="754"/>
              <w:gridCol w:w="649"/>
              <w:gridCol w:w="708"/>
            </w:tblGrid>
            <w:tr>
              <w:trPr>
                <w:trHeight w:val="611"/>
              </w:trPr>
              <w:tc>
                <w:tcPr>
                  <w:tcW w:w="591" w:type="pct"/>
                  <w:vMerge w:val="restart"/>
                  <w:vAlign w:val="center"/>
                </w:tcPr>
                <w:p>
                  <w:pPr>
                    <w:pStyle w:val="23"/>
                    <w:bidi w:val="0"/>
                    <w:rPr>
                      <w:color w:val="auto"/>
                    </w:rPr>
                  </w:pPr>
                  <w:r>
                    <w:rPr>
                      <w:color w:val="auto"/>
                    </w:rPr>
                    <w:t>非正常排放源</w:t>
                  </w:r>
                </w:p>
              </w:tc>
              <w:tc>
                <w:tcPr>
                  <w:tcW w:w="627" w:type="pct"/>
                  <w:vMerge w:val="restart"/>
                  <w:vAlign w:val="center"/>
                </w:tcPr>
                <w:p>
                  <w:pPr>
                    <w:pStyle w:val="23"/>
                    <w:bidi w:val="0"/>
                    <w:rPr>
                      <w:color w:val="auto"/>
                    </w:rPr>
                  </w:pPr>
                  <w:r>
                    <w:rPr>
                      <w:color w:val="auto"/>
                    </w:rPr>
                    <w:t>非正常排放原因</w:t>
                  </w:r>
                </w:p>
              </w:tc>
              <w:tc>
                <w:tcPr>
                  <w:tcW w:w="543" w:type="pct"/>
                  <w:vMerge w:val="restart"/>
                  <w:vAlign w:val="center"/>
                </w:tcPr>
                <w:p>
                  <w:pPr>
                    <w:pStyle w:val="23"/>
                    <w:bidi w:val="0"/>
                    <w:rPr>
                      <w:color w:val="auto"/>
                    </w:rPr>
                  </w:pPr>
                  <w:r>
                    <w:rPr>
                      <w:color w:val="auto"/>
                    </w:rPr>
                    <w:t>污染物</w:t>
                  </w:r>
                </w:p>
              </w:tc>
              <w:tc>
                <w:tcPr>
                  <w:tcW w:w="422" w:type="pct"/>
                  <w:vMerge w:val="restart"/>
                  <w:vAlign w:val="center"/>
                </w:tcPr>
                <w:p>
                  <w:pPr>
                    <w:pStyle w:val="23"/>
                    <w:bidi w:val="0"/>
                    <w:rPr>
                      <w:color w:val="auto"/>
                    </w:rPr>
                  </w:pPr>
                  <w:r>
                    <w:rPr>
                      <w:color w:val="auto"/>
                    </w:rPr>
                    <w:t>风量</w:t>
                  </w:r>
                </w:p>
                <w:p>
                  <w:pPr>
                    <w:pStyle w:val="23"/>
                    <w:bidi w:val="0"/>
                    <w:rPr>
                      <w:color w:val="auto"/>
                    </w:rPr>
                  </w:pPr>
                  <w:r>
                    <w:rPr>
                      <w:rFonts w:hint="eastAsia"/>
                      <w:color w:val="auto"/>
                    </w:rPr>
                    <w:t>m³</w:t>
                  </w:r>
                  <w:r>
                    <w:rPr>
                      <w:color w:val="auto"/>
                    </w:rPr>
                    <w:t>/h</w:t>
                  </w:r>
                </w:p>
              </w:tc>
              <w:tc>
                <w:tcPr>
                  <w:tcW w:w="349" w:type="pct"/>
                  <w:vMerge w:val="restart"/>
                  <w:vAlign w:val="center"/>
                </w:tcPr>
                <w:p>
                  <w:pPr>
                    <w:pStyle w:val="23"/>
                    <w:bidi w:val="0"/>
                    <w:rPr>
                      <w:color w:val="auto"/>
                    </w:rPr>
                  </w:pPr>
                  <w:r>
                    <w:rPr>
                      <w:color w:val="auto"/>
                    </w:rPr>
                    <w:t>处理效率</w:t>
                  </w:r>
                </w:p>
              </w:tc>
              <w:tc>
                <w:tcPr>
                  <w:tcW w:w="1213" w:type="pct"/>
                  <w:gridSpan w:val="2"/>
                  <w:vAlign w:val="center"/>
                </w:tcPr>
                <w:p>
                  <w:pPr>
                    <w:pStyle w:val="23"/>
                    <w:bidi w:val="0"/>
                    <w:rPr>
                      <w:color w:val="auto"/>
                    </w:rPr>
                  </w:pPr>
                  <w:r>
                    <w:rPr>
                      <w:color w:val="auto"/>
                    </w:rPr>
                    <w:t>排放情况</w:t>
                  </w:r>
                </w:p>
              </w:tc>
              <w:tc>
                <w:tcPr>
                  <w:tcW w:w="447" w:type="pct"/>
                  <w:vMerge w:val="restart"/>
                  <w:vAlign w:val="center"/>
                </w:tcPr>
                <w:p>
                  <w:pPr>
                    <w:pStyle w:val="23"/>
                    <w:bidi w:val="0"/>
                    <w:rPr>
                      <w:color w:val="auto"/>
                    </w:rPr>
                  </w:pPr>
                  <w:r>
                    <w:rPr>
                      <w:color w:val="auto"/>
                    </w:rPr>
                    <w:t>单次持续时间h</w:t>
                  </w:r>
                </w:p>
              </w:tc>
              <w:tc>
                <w:tcPr>
                  <w:tcW w:w="385" w:type="pct"/>
                  <w:vMerge w:val="restart"/>
                  <w:vAlign w:val="center"/>
                </w:tcPr>
                <w:p>
                  <w:pPr>
                    <w:pStyle w:val="23"/>
                    <w:bidi w:val="0"/>
                    <w:rPr>
                      <w:color w:val="auto"/>
                    </w:rPr>
                  </w:pPr>
                  <w:r>
                    <w:rPr>
                      <w:color w:val="auto"/>
                    </w:rPr>
                    <w:t>年发生次数</w:t>
                  </w:r>
                </w:p>
              </w:tc>
              <w:tc>
                <w:tcPr>
                  <w:tcW w:w="420" w:type="pct"/>
                  <w:vMerge w:val="restart"/>
                  <w:vAlign w:val="center"/>
                </w:tcPr>
                <w:p>
                  <w:pPr>
                    <w:pStyle w:val="23"/>
                    <w:bidi w:val="0"/>
                    <w:rPr>
                      <w:color w:val="auto"/>
                    </w:rPr>
                  </w:pPr>
                  <w:r>
                    <w:rPr>
                      <w:rFonts w:hint="eastAsia"/>
                      <w:color w:val="auto"/>
                    </w:rPr>
                    <w:t>应对措施</w:t>
                  </w:r>
                </w:p>
              </w:tc>
            </w:tr>
            <w:tr>
              <w:trPr>
                <w:trHeight w:val="488"/>
              </w:trPr>
              <w:tc>
                <w:tcPr>
                  <w:tcW w:w="591" w:type="pct"/>
                  <w:vMerge/>
                  <w:vAlign w:val="center"/>
                </w:tcPr>
                <w:p/>
              </w:tc>
              <w:tc>
                <w:tcPr>
                  <w:tcW w:w="627" w:type="pct"/>
                  <w:vMerge/>
                  <w:tcBorders>
                    <w:left w:val="single" w:sz="4" w:space="0" w:color="auto"/>
                  </w:tcBorders>
                  <w:vAlign w:val="center"/>
                </w:tcPr>
                <w:p/>
              </w:tc>
              <w:tc>
                <w:tcPr>
                  <w:tcW w:w="543" w:type="pct"/>
                  <w:vMerge/>
                  <w:tcBorders>
                    <w:left w:val="single" w:sz="4" w:space="0" w:color="auto"/>
                  </w:tcBorders>
                  <w:vAlign w:val="center"/>
                </w:tcPr>
                <w:p/>
              </w:tc>
              <w:tc>
                <w:tcPr>
                  <w:tcW w:w="422" w:type="pct"/>
                  <w:vMerge/>
                  <w:tcBorders>
                    <w:left w:val="single" w:sz="4" w:space="0" w:color="auto"/>
                  </w:tcBorders>
                  <w:vAlign w:val="center"/>
                </w:tcPr>
                <w:p/>
              </w:tc>
              <w:tc>
                <w:tcPr>
                  <w:tcW w:w="349" w:type="pct"/>
                  <w:vMerge/>
                  <w:tcBorders>
                    <w:left w:val="single" w:sz="4" w:space="0" w:color="auto"/>
                  </w:tcBorders>
                  <w:vAlign w:val="center"/>
                </w:tcPr>
                <w:p/>
              </w:tc>
              <w:tc>
                <w:tcPr>
                  <w:tcW w:w="602" w:type="pct"/>
                  <w:tcBorders>
                    <w:left w:val="single" w:sz="4" w:space="0" w:color="auto"/>
                  </w:tcBorders>
                  <w:vAlign w:val="center"/>
                </w:tcPr>
                <w:p>
                  <w:pPr>
                    <w:pStyle w:val="23"/>
                    <w:bidi w:val="0"/>
                    <w:rPr>
                      <w:rFonts w:eastAsia="宋体" w:hint="eastAsia"/>
                      <w:color w:val="auto"/>
                      <w:lang w:eastAsia="zh-CN"/>
                    </w:rPr>
                  </w:pPr>
                  <w:r>
                    <w:rPr>
                      <w:color w:val="auto"/>
                    </w:rPr>
                    <w:t>排放量</w:t>
                  </w:r>
                  <w:r>
                    <w:rPr>
                      <w:rFonts w:hint="eastAsia"/>
                      <w:color w:val="auto"/>
                      <w:lang w:val="en-US" w:eastAsia="zh-CN"/>
                    </w:rPr>
                    <w:t>kg</w:t>
                  </w:r>
                </w:p>
              </w:tc>
              <w:tc>
                <w:tcPr>
                  <w:tcW w:w="611" w:type="pct"/>
                  <w:tcBorders>
                    <w:left w:val="single" w:sz="4" w:space="0" w:color="auto"/>
                  </w:tcBorders>
                  <w:vAlign w:val="center"/>
                </w:tcPr>
                <w:p>
                  <w:pPr>
                    <w:pStyle w:val="23"/>
                    <w:bidi w:val="0"/>
                    <w:rPr>
                      <w:rFonts w:eastAsia="宋体" w:hint="eastAsia"/>
                      <w:color w:val="auto"/>
                      <w:lang w:val="en-US" w:eastAsia="zh-CN"/>
                    </w:rPr>
                  </w:pPr>
                  <w:r>
                    <w:rPr>
                      <w:color w:val="auto"/>
                    </w:rPr>
                    <w:t>排放浓度mg/</w:t>
                  </w:r>
                  <w:r>
                    <w:rPr>
                      <w:rFonts w:hint="eastAsia"/>
                      <w:color w:val="auto"/>
                      <w:lang w:val="en-US" w:eastAsia="zh-CN"/>
                    </w:rPr>
                    <w:t>m</w:t>
                  </w:r>
                  <w:r>
                    <w:rPr>
                      <w:rFonts w:ascii="Times New Roman" w:cs="Times New Roman" w:hAnsi="Times New Roman"/>
                      <w:color w:val="auto"/>
                      <w:lang w:val="en-US" w:eastAsia="zh-CN"/>
                    </w:rPr>
                    <w:t>³</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vMerge w:val="restart"/>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排气筒DA001</w:t>
                  </w:r>
                </w:p>
              </w:tc>
              <w:tc>
                <w:tcPr>
                  <w:tcW w:w="627" w:type="pct"/>
                  <w:vMerge w:val="restart"/>
                  <w:tcBorders>
                    <w:left w:val="single" w:sz="4" w:space="0" w:color="auto"/>
                  </w:tcBorders>
                  <w:vAlign w:val="center"/>
                </w:tcPr>
                <w:p>
                  <w:pPr>
                    <w:pStyle w:val="23"/>
                    <w:bidi w:val="0"/>
                    <w:rPr>
                      <w:color w:val="auto"/>
                    </w:rPr>
                  </w:pPr>
                  <w:r>
                    <w:rPr>
                      <w:color w:val="auto"/>
                    </w:rPr>
                    <w:t>环保设备发生故障不能正常运行</w:t>
                  </w: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W w:w="422" w:type="pct"/>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20000</w:t>
                  </w:r>
                </w:p>
              </w:tc>
              <w:tc>
                <w:tcPr>
                  <w:tcW w:w="349" w:type="pct"/>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60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0.08</w:t>
                  </w:r>
                </w:p>
              </w:tc>
              <w:tc>
                <w:tcPr>
                  <w:tcW w:w="611"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3.93</w:t>
                  </w:r>
                </w:p>
              </w:tc>
              <w:tc>
                <w:tcPr>
                  <w:tcW w:w="447" w:type="pct"/>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w:t>
                  </w:r>
                </w:p>
              </w:tc>
              <w:tc>
                <w:tcPr>
                  <w:tcW w:w="385" w:type="pct"/>
                  <w:vMerge w:val="restart"/>
                  <w:tcBorders>
                    <w:left w:val="single" w:sz="4" w:space="0" w:color="auto"/>
                  </w:tcBorders>
                  <w:vAlign w:val="center"/>
                </w:tcPr>
                <w:p>
                  <w:pPr>
                    <w:pStyle w:val="23"/>
                    <w:bidi w:val="0"/>
                    <w:rPr>
                      <w:color w:val="auto"/>
                    </w:rPr>
                  </w:pPr>
                  <w:r>
                    <w:rPr>
                      <w:color w:val="auto"/>
                    </w:rPr>
                    <w:t>1</w:t>
                  </w:r>
                </w:p>
              </w:tc>
              <w:tc>
                <w:tcPr>
                  <w:tcW w:w="420" w:type="pct"/>
                  <w:vMerge w:val="restart"/>
                  <w:tcBorders>
                    <w:left w:val="single" w:sz="4" w:space="0" w:color="auto"/>
                  </w:tcBorders>
                  <w:vAlign w:val="center"/>
                </w:tcPr>
                <w:p>
                  <w:pPr>
                    <w:pStyle w:val="23"/>
                    <w:bidi w:val="0"/>
                    <w:rPr>
                      <w:rFonts w:eastAsia="宋体"/>
                      <w:color w:val="auto"/>
                      <w:lang w:val="en-US" w:eastAsia="zh-CN"/>
                    </w:rPr>
                  </w:pPr>
                  <w:r>
                    <w:rPr>
                      <w:color w:val="auto"/>
                    </w:rPr>
                    <w:t>及时</w:t>
                  </w:r>
                  <w:r>
                    <w:rPr>
                      <w:rFonts w:hint="eastAsia"/>
                      <w:color w:val="auto"/>
                      <w:lang w:val="en-US" w:eastAsia="zh-CN"/>
                    </w:rPr>
                    <w:t>维修设备</w:t>
                  </w:r>
                </w:p>
              </w:tc>
            </w:tr>
            <w:tr>
              <w:tc>
                <w:tcPr>
                  <w:tcW w:w="591" w:type="pct"/>
                  <w:vMerge/>
                  <w:vAlign w:val="center"/>
                </w:tcP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臭气浓度</w:t>
                  </w:r>
                </w:p>
              </w:tc>
              <w:tc>
                <w:tcPr>
                  <w:tcW w:w="422" w:type="pct"/>
                  <w:vMerge/>
                  <w:tcBorders>
                    <w:left w:val="single" w:sz="4" w:space="0" w:color="auto"/>
                  </w:tcBorders>
                  <w:vAlign w:val="center"/>
                </w:tcPr>
                <w:p/>
              </w:tc>
              <w:tc>
                <w:tcPr>
                  <w:tcW w:w="349" w:type="pct"/>
                  <w:vMerge/>
                  <w:tcBorders>
                    <w:left w:val="single" w:sz="4" w:space="0" w:color="auto"/>
                  </w:tcBorders>
                  <w:vAlign w:val="center"/>
                </w:tcPr>
                <w:p/>
              </w:tc>
              <w:tc>
                <w:tcPr>
                  <w:tcW w:w="1213" w:type="pct"/>
                  <w:gridSpan w:val="2"/>
                  <w:tcBorders>
                    <w:left w:val="single" w:sz="4" w:space="0" w:color="auto"/>
                  </w:tcBorders>
                  <w:vAlign w:val="center"/>
                </w:tcPr>
                <w:p>
                  <w:pPr>
                    <w:pStyle w:val="25"/>
                    <w:tabs>
                      <w:tab w:val="left" w:pos="1680"/>
                      <w:tab w:val="left" w:pos="3465"/>
                    </w:tabs>
                    <w:bidi w:val="0"/>
                    <w:rPr>
                      <w:color w:val="auto"/>
                      <w:lang w:val="en-US" w:eastAsia="zh-CN"/>
                    </w:rPr>
                  </w:pPr>
                  <w:r>
                    <w:rPr>
                      <w:rFonts w:hint="eastAsia"/>
                      <w:color w:val="auto"/>
                      <w:lang w:val="en-US" w:eastAsia="zh-CN"/>
                    </w:rPr>
                    <w:t>600（无量纲）</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排气筒DA002</w:t>
                  </w: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hint="eastAsia"/>
                      <w:color w:val="auto"/>
                      <w:lang w:val="en-US" w:eastAsia="zh-CN"/>
                    </w:rPr>
                  </w:pPr>
                  <w:r>
                    <w:rPr>
                      <w:rFonts w:hint="eastAsia"/>
                      <w:color w:val="auto"/>
                      <w:lang w:val="en-US" w:eastAsia="zh-CN"/>
                    </w:rPr>
                    <w:t>颗粒物</w:t>
                  </w:r>
                </w:p>
              </w:tc>
              <w:tc>
                <w:tcPr>
                  <w:tcW w:w="422" w:type="pct"/>
                  <w:tcBorders>
                    <w:left w:val="single" w:sz="4" w:space="0" w:color="auto"/>
                  </w:tcBorders>
                  <w:vAlign w:val="center"/>
                </w:tcPr>
                <w:p>
                  <w:pPr>
                    <w:pStyle w:val="23"/>
                    <w:bidi w:val="0"/>
                    <w:rPr>
                      <w:color w:val="auto"/>
                      <w:lang w:val="en-US" w:eastAsia="zh-CN"/>
                    </w:rPr>
                  </w:pPr>
                  <w:r>
                    <w:rPr>
                      <w:rFonts w:hint="eastAsia"/>
                      <w:color w:val="auto"/>
                      <w:lang w:val="en-US" w:eastAsia="zh-CN"/>
                    </w:rPr>
                    <w:t>10000</w:t>
                  </w:r>
                </w:p>
              </w:tc>
              <w:tc>
                <w:tcPr>
                  <w:tcW w:w="349" w:type="pct"/>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60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0.22</w:t>
                  </w:r>
                </w:p>
              </w:tc>
              <w:tc>
                <w:tcPr>
                  <w:tcW w:w="611"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22.34</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vMerge w:val="restart"/>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排气筒</w:t>
                  </w:r>
                  <w:r>
                    <w:rPr>
                      <w:rFonts w:hint="eastAsia"/>
                      <w:color w:val="auto"/>
                      <w:lang w:val="en-US" w:eastAsia="zh-CN"/>
                    </w:rPr>
                    <w:t>DA003</w:t>
                  </w: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氨</w:t>
                  </w:r>
                </w:p>
              </w:tc>
              <w:tc>
                <w:tcPr>
                  <w:tcW w:w="422" w:type="pct"/>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5000</w:t>
                  </w:r>
                </w:p>
              </w:tc>
              <w:tc>
                <w:tcPr>
                  <w:tcW w:w="349" w:type="pct"/>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60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0.302625</w:t>
                  </w:r>
                </w:p>
              </w:tc>
              <w:tc>
                <w:tcPr>
                  <w:tcW w:w="611"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60.525</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vMerge/>
                  <w:vAlign w:val="center"/>
                </w:tcP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硫化氢</w:t>
                  </w:r>
                </w:p>
              </w:tc>
              <w:tc>
                <w:tcPr>
                  <w:tcW w:w="422" w:type="pct"/>
                  <w:vMerge/>
                  <w:tcBorders>
                    <w:left w:val="single" w:sz="4" w:space="0" w:color="auto"/>
                  </w:tcBorders>
                  <w:vAlign w:val="center"/>
                </w:tcPr>
                <w:p/>
              </w:tc>
              <w:tc>
                <w:tcPr>
                  <w:tcW w:w="349" w:type="pct"/>
                  <w:vMerge/>
                  <w:tcBorders>
                    <w:left w:val="single" w:sz="4" w:space="0" w:color="auto"/>
                  </w:tcBorders>
                  <w:vAlign w:val="center"/>
                </w:tcPr>
                <w:p/>
              </w:tc>
              <w:tc>
                <w:tcPr>
                  <w:tcW w:w="60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0.00075</w:t>
                  </w:r>
                </w:p>
              </w:tc>
              <w:tc>
                <w:tcPr>
                  <w:tcW w:w="611"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0.15</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vMerge/>
                  <w:vAlign w:val="center"/>
                </w:tcP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臭气浓度</w:t>
                  </w:r>
                </w:p>
              </w:tc>
              <w:tc>
                <w:tcPr>
                  <w:tcW w:w="422" w:type="pct"/>
                  <w:vMerge/>
                  <w:tcBorders>
                    <w:left w:val="single" w:sz="4" w:space="0" w:color="auto"/>
                  </w:tcBorders>
                  <w:vAlign w:val="center"/>
                </w:tcPr>
                <w:p/>
              </w:tc>
              <w:tc>
                <w:tcPr>
                  <w:tcW w:w="349" w:type="pct"/>
                  <w:vMerge/>
                  <w:tcBorders>
                    <w:left w:val="single" w:sz="4" w:space="0" w:color="auto"/>
                  </w:tcBorders>
                  <w:vAlign w:val="center"/>
                </w:tcPr>
                <w:p/>
              </w:tc>
              <w:tc>
                <w:tcPr>
                  <w:tcW w:w="1213" w:type="pct"/>
                  <w:gridSpan w:val="2"/>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600（无量纲）</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vMerge w:val="restart"/>
                  <w:shd w:val="clear" w:color="auto" w:fill="auto"/>
                  <w:vAlign w:val="center"/>
                </w:tcPr>
                <w:p>
                  <w:pPr>
                    <w:pStyle w:val="23"/>
                    <w:bidi w:val="0"/>
                    <w:ind w:firstLine="0"/>
                    <w:rPr>
                      <w:color w:val="auto"/>
                      <w:lang w:val="en-US"/>
                    </w:rPr>
                  </w:pPr>
                  <w:r>
                    <w:rPr>
                      <w:color w:val="auto"/>
                    </w:rPr>
                    <w:t>排气筒</w:t>
                  </w:r>
                  <w:r>
                    <w:rPr>
                      <w:rFonts w:hint="eastAsia"/>
                      <w:color w:val="auto"/>
                      <w:lang w:val="en-US" w:eastAsia="zh-CN"/>
                    </w:rPr>
                    <w:t>DA005</w:t>
                  </w: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NOx</w:t>
                  </w:r>
                </w:p>
              </w:tc>
              <w:tc>
                <w:tcPr>
                  <w:tcW w:w="422" w:type="pct"/>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0</w:t>
                  </w:r>
                </w:p>
              </w:tc>
              <w:tc>
                <w:tcPr>
                  <w:tcW w:w="349" w:type="pct"/>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w:t>
                  </w:r>
                </w:p>
              </w:tc>
              <w:tc>
                <w:tcPr>
                  <w:tcW w:w="602" w:type="pct"/>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611" w:type="pct"/>
                  <w:tcBorders>
                    <w:left w:val="single" w:sz="4" w:space="0" w:color="auto"/>
                  </w:tcBorders>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vMerge/>
                  <w:vAlign w:val="center"/>
                </w:tcP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vertAlign w:val="subscript"/>
                      <w:lang w:val="en-US" w:eastAsia="zh-CN" w:bidi="ar-SA"/>
                    </w:rPr>
                  </w:pPr>
                  <w:r>
                    <w:rPr>
                      <w:rFonts w:hint="eastAsia"/>
                      <w:color w:val="auto"/>
                      <w:lang w:val="en-US" w:eastAsia="zh-CN"/>
                    </w:rPr>
                    <w:t>SO</w:t>
                  </w:r>
                  <w:r>
                    <w:rPr>
                      <w:rFonts w:hint="eastAsia"/>
                      <w:color w:val="auto"/>
                      <w:vertAlign w:val="subscript"/>
                      <w:lang w:val="en-US" w:eastAsia="zh-CN"/>
                    </w:rPr>
                    <w:t>2</w:t>
                  </w:r>
                </w:p>
              </w:tc>
              <w:tc>
                <w:tcPr>
                  <w:tcW w:w="422" w:type="pct"/>
                  <w:vMerge/>
                  <w:tcBorders>
                    <w:left w:val="single" w:sz="4" w:space="0" w:color="auto"/>
                  </w:tcBorders>
                  <w:vAlign w:val="center"/>
                </w:tcPr>
                <w:p/>
              </w:tc>
              <w:tc>
                <w:tcPr>
                  <w:tcW w:w="349" w:type="pct"/>
                  <w:vMerge/>
                  <w:tcBorders>
                    <w:left w:val="single" w:sz="4" w:space="0" w:color="auto"/>
                  </w:tcBorders>
                  <w:vAlign w:val="center"/>
                </w:tcPr>
                <w:p/>
              </w:tc>
              <w:tc>
                <w:tcPr>
                  <w:tcW w:w="60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611"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vMerge/>
                  <w:vAlign w:val="center"/>
                </w:tcP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颗粒物</w:t>
                  </w:r>
                </w:p>
              </w:tc>
              <w:tc>
                <w:tcPr>
                  <w:tcW w:w="422" w:type="pct"/>
                  <w:vMerge/>
                  <w:tcBorders>
                    <w:left w:val="single" w:sz="4" w:space="0" w:color="auto"/>
                  </w:tcBorders>
                  <w:vAlign w:val="center"/>
                </w:tcPr>
                <w:p/>
              </w:tc>
              <w:tc>
                <w:tcPr>
                  <w:tcW w:w="349" w:type="pct"/>
                  <w:vMerge/>
                  <w:tcBorders>
                    <w:left w:val="single" w:sz="4" w:space="0" w:color="auto"/>
                  </w:tcBorders>
                  <w:vAlign w:val="center"/>
                </w:tcPr>
                <w:p/>
              </w:tc>
              <w:tc>
                <w:tcPr>
                  <w:tcW w:w="60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611"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vMerge/>
                  <w:vAlign w:val="center"/>
                </w:tcP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烟气黑度</w:t>
                  </w:r>
                </w:p>
              </w:tc>
              <w:tc>
                <w:tcPr>
                  <w:tcW w:w="422" w:type="pct"/>
                  <w:vMerge/>
                  <w:tcBorders>
                    <w:left w:val="single" w:sz="4" w:space="0" w:color="auto"/>
                  </w:tcBorders>
                  <w:vAlign w:val="center"/>
                </w:tcPr>
                <w:p/>
              </w:tc>
              <w:tc>
                <w:tcPr>
                  <w:tcW w:w="349" w:type="pct"/>
                  <w:vMerge/>
                  <w:tcBorders>
                    <w:left w:val="single" w:sz="4" w:space="0" w:color="auto"/>
                  </w:tcBorders>
                  <w:vAlign w:val="center"/>
                </w:tcPr>
                <w:p/>
              </w:tc>
              <w:tc>
                <w:tcPr>
                  <w:tcW w:w="60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611"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r>
              <w:tc>
                <w:tcPr>
                  <w:tcW w:w="591" w:type="pct"/>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排气筒</w:t>
                  </w:r>
                  <w:r>
                    <w:rPr>
                      <w:rFonts w:hint="eastAsia"/>
                      <w:color w:val="auto"/>
                      <w:lang w:val="en-US" w:eastAsia="zh-CN"/>
                    </w:rPr>
                    <w:t>DA006</w:t>
                  </w:r>
                </w:p>
              </w:tc>
              <w:tc>
                <w:tcPr>
                  <w:tcW w:w="627" w:type="pct"/>
                  <w:vMerge/>
                  <w:tcBorders>
                    <w:left w:val="single" w:sz="4" w:space="0" w:color="auto"/>
                  </w:tcBorders>
                  <w:vAlign w:val="center"/>
                </w:tcPr>
                <w:p/>
              </w:tc>
              <w:tc>
                <w:tcPr>
                  <w:tcW w:w="54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臭气浓度</w:t>
                  </w:r>
                </w:p>
              </w:tc>
              <w:tc>
                <w:tcPr>
                  <w:tcW w:w="422" w:type="pct"/>
                  <w:tcBorders>
                    <w:left w:val="single" w:sz="4" w:space="0" w:color="auto"/>
                  </w:tcBorders>
                  <w:vAlign w:val="center"/>
                </w:tcPr>
                <w:p>
                  <w:pPr>
                    <w:pStyle w:val="23"/>
                    <w:bidi w:val="0"/>
                    <w:rPr>
                      <w:color w:val="auto"/>
                      <w:lang w:val="en-US" w:eastAsia="zh-CN"/>
                    </w:rPr>
                  </w:pPr>
                  <w:r>
                    <w:rPr>
                      <w:rFonts w:hint="eastAsia"/>
                      <w:color w:val="auto"/>
                      <w:lang w:val="en-US" w:eastAsia="zh-CN"/>
                    </w:rPr>
                    <w:t>5000</w:t>
                  </w:r>
                </w:p>
              </w:tc>
              <w:tc>
                <w:tcPr>
                  <w:tcW w:w="349" w:type="pc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0</w:t>
                  </w:r>
                </w:p>
              </w:tc>
              <w:tc>
                <w:tcPr>
                  <w:tcW w:w="1213" w:type="pct"/>
                  <w:gridSpan w:val="2"/>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300（无量纲）</w:t>
                  </w:r>
                </w:p>
              </w:tc>
              <w:tc>
                <w:tcPr>
                  <w:tcW w:w="447" w:type="pct"/>
                  <w:vMerge/>
                  <w:tcBorders>
                    <w:left w:val="single" w:sz="4" w:space="0" w:color="auto"/>
                  </w:tcBorders>
                  <w:vAlign w:val="center"/>
                </w:tcPr>
                <w:p/>
              </w:tc>
              <w:tc>
                <w:tcPr>
                  <w:tcW w:w="385" w:type="pct"/>
                  <w:vMerge/>
                  <w:tcBorders>
                    <w:left w:val="single" w:sz="4" w:space="0" w:color="auto"/>
                  </w:tcBorders>
                  <w:vAlign w:val="center"/>
                </w:tcPr>
                <w:p/>
              </w:tc>
              <w:tc>
                <w:tcPr>
                  <w:tcW w:w="420" w:type="pct"/>
                  <w:vMerge/>
                  <w:tcBorders>
                    <w:left w:val="single" w:sz="4" w:space="0" w:color="auto"/>
                  </w:tcBorders>
                  <w:vAlign w:val="center"/>
                </w:tcPr>
                <w:p/>
              </w:tc>
            </w:tr>
          </w:tbl>
          <w:p>
            <w:pPr>
              <w:spacing w:line="360" w:lineRule="auto"/>
              <w:rPr>
                <w:rFonts w:hint="eastAsia"/>
                <w:color w:val="auto"/>
                <w:sz w:val="24"/>
                <w:szCs w:val="24"/>
                <w:lang w:val="en-US" w:eastAsia="zh-CN"/>
              </w:rPr>
            </w:pPr>
            <w:r>
              <w:rPr>
                <w:rFonts w:hint="eastAsia"/>
                <w:color w:val="auto"/>
                <w:sz w:val="24"/>
                <w:szCs w:val="24"/>
                <w:lang w:val="en-US" w:eastAsia="zh-CN"/>
              </w:rPr>
              <w:t>6、废气影响评价结论</w:t>
            </w:r>
          </w:p>
          <w:p>
            <w:pPr>
              <w:spacing w:line="360" w:lineRule="auto"/>
              <w:rPr>
                <w:rFonts w:hint="eastAsia"/>
                <w:color w:val="auto"/>
                <w:sz w:val="24"/>
                <w:szCs w:val="24"/>
                <w:lang w:val="en-US" w:eastAsia="zh-CN"/>
                <w:highlight w:val="none"/>
              </w:rPr>
            </w:pPr>
            <w:r>
              <w:rPr>
                <w:rFonts w:hint="eastAsia"/>
                <w:color w:val="auto"/>
                <w:sz w:val="24"/>
                <w:szCs w:val="24"/>
                <w:lang w:val="en-US" w:eastAsia="zh-CN"/>
                <w:highlight w:val="none"/>
              </w:rPr>
              <w:t>DA001非甲烷总烃排有组织排放浓度2.36mg/m³，满足《工业企业挥发性有机物排放控制标准》（DB13/2322-2025）表1其他工业行业排放限值要求；有组织排放臭气浓度360（无量纲），满足《恶臭污染物排放标准》（GB14554-93）表2恶臭污染物排放标准值；</w:t>
            </w:r>
          </w:p>
          <w:p>
            <w:pPr>
              <w:spacing w:line="360" w:lineRule="auto"/>
              <w:rPr>
                <w:color w:val="auto"/>
                <w:sz w:val="24"/>
                <w:szCs w:val="24"/>
                <w:lang w:val="en-US" w:eastAsia="zh-CN"/>
                <w:highlight w:val="none"/>
              </w:rPr>
            </w:pPr>
            <w:r>
              <w:rPr>
                <w:rFonts w:hint="eastAsia"/>
                <w:color w:val="auto"/>
                <w:sz w:val="24"/>
                <w:szCs w:val="24"/>
                <w:lang w:val="en-US" w:eastAsia="zh-CN"/>
                <w:highlight w:val="none"/>
              </w:rPr>
              <w:t>DA002颗粒物有组织排放浓度2.23mg/m³满足《大气污染物综合排放标准》（GB16297-1996）表2二级标准；</w:t>
            </w:r>
          </w:p>
          <w:p>
            <w:pPr>
              <w:spacing w:line="360" w:lineRule="auto"/>
              <w:rPr>
                <w:rFonts w:hint="eastAsia"/>
                <w:color w:val="auto"/>
                <w:sz w:val="24"/>
                <w:szCs w:val="24"/>
                <w:lang w:val="en-US" w:eastAsia="zh-CN"/>
                <w:highlight w:val="none"/>
              </w:rPr>
            </w:pPr>
            <w:r>
              <w:rPr>
                <w:rFonts w:hint="eastAsia"/>
                <w:color w:val="auto"/>
                <w:sz w:val="24"/>
                <w:szCs w:val="24"/>
                <w:lang w:val="en-US" w:eastAsia="zh-CN"/>
                <w:highlight w:val="none"/>
              </w:rPr>
              <w:t>DA003氨有组织排放速率为0.03kg/h、硫化氢有组织排放速率为0.0001kg/h，臭气浓度60（无量纲），满足《恶臭污染物排放标准》（GB14554-93）表2恶臭污染物排放标准值；</w:t>
            </w:r>
          </w:p>
          <w:p>
            <w:pPr>
              <w:spacing w:line="360" w:lineRule="auto"/>
              <w:rPr>
                <w:rFonts w:hint="eastAsia"/>
                <w:color w:val="auto"/>
                <w:sz w:val="24"/>
                <w:szCs w:val="24"/>
                <w:lang w:val="en-US" w:eastAsia="zh-CN"/>
                <w:highlight w:val="none"/>
              </w:rPr>
            </w:pPr>
            <w:r>
              <w:rPr>
                <w:rFonts w:hint="eastAsia"/>
                <w:color w:val="auto"/>
                <w:sz w:val="24"/>
                <w:szCs w:val="24"/>
                <w:lang w:val="en-US" w:eastAsia="zh-CN"/>
                <w:highlight w:val="none"/>
              </w:rPr>
              <w:t>DA005 NOx排放浓度28.10mg/m³、SO</w:t>
            </w:r>
            <w:r>
              <w:rPr>
                <w:rFonts w:hint="eastAsia"/>
                <w:color w:val="auto"/>
                <w:sz w:val="24"/>
                <w:szCs w:val="24"/>
                <w:vertAlign w:val="subscript"/>
                <w:lang w:val="en-US" w:eastAsia="zh-CN"/>
                <w:highlight w:val="none"/>
              </w:rPr>
              <w:t>2</w:t>
            </w:r>
            <w:r>
              <w:rPr>
                <w:rFonts w:hint="eastAsia"/>
                <w:color w:val="auto"/>
                <w:sz w:val="24"/>
                <w:szCs w:val="24"/>
                <w:lang w:val="en-US" w:eastAsia="zh-CN"/>
                <w:highlight w:val="none"/>
              </w:rPr>
              <w:t>排放浓度3.74mg/m³、颗粒物排放浓度4.12mg/m³，烟气黑度＜1级，满足《锅炉大气污染物排放标准》（DB13/5161-2020）表1燃气锅炉排放限值；</w:t>
            </w:r>
          </w:p>
          <w:p>
            <w:pPr>
              <w:spacing w:line="360" w:lineRule="auto"/>
              <w:rPr>
                <w:rFonts w:hint="eastAsia"/>
                <w:color w:val="auto"/>
                <w:sz w:val="24"/>
                <w:szCs w:val="24"/>
                <w:lang w:val="en-US" w:eastAsia="zh-CN"/>
                <w:highlight w:val="none"/>
              </w:rPr>
            </w:pPr>
            <w:r>
              <w:rPr>
                <w:rFonts w:hint="eastAsia"/>
                <w:color w:val="auto"/>
                <w:sz w:val="24"/>
                <w:szCs w:val="24"/>
                <w:lang w:val="en-US" w:eastAsia="zh-CN"/>
                <w:highlight w:val="none"/>
              </w:rPr>
              <w:t>DA006臭气浓度90（无量纲），满足《恶臭污染物排放标准》（GB14554-93）表2恶臭污染物排放标准值。</w:t>
            </w:r>
          </w:p>
          <w:p>
            <w:pPr>
              <w:spacing w:line="360" w:lineRule="auto"/>
              <w:rPr>
                <w:color w:val="auto"/>
                <w:sz w:val="24"/>
                <w:szCs w:val="24"/>
                <w:lang w:val="en-US" w:eastAsia="zh-CN"/>
                <w:highlight w:val="none"/>
              </w:rPr>
            </w:pPr>
            <w:r>
              <w:rPr>
                <w:color w:val="auto"/>
                <w:sz w:val="24"/>
                <w:szCs w:val="24"/>
                <w:lang w:val="en-US" w:eastAsia="zh-CN"/>
                <w:highlight w:val="none"/>
              </w:rPr>
              <w:t>厂界非甲烷总烃贡献浓度为0.021mg/m³，颗粒物贡献浓度为0.03mg/m³</w:t>
            </w:r>
            <w:r>
              <w:rPr>
                <w:rFonts w:hint="eastAsia"/>
                <w:color w:val="auto"/>
                <w:sz w:val="24"/>
                <w:szCs w:val="24"/>
                <w:lang w:val="en-US" w:eastAsia="zh-CN"/>
                <w:highlight w:val="none"/>
              </w:rPr>
              <w:t>，满足《大气污染物综合排放标准》(GB16297-1996）表2中无组织浓度限值；</w:t>
            </w:r>
            <w:r>
              <w:rPr>
                <w:color w:val="auto"/>
                <w:sz w:val="24"/>
                <w:szCs w:val="24"/>
                <w:lang w:val="en-US" w:eastAsia="zh-CN"/>
                <w:highlight w:val="none"/>
              </w:rPr>
              <w:t>无组织氨贡献浓度为0.</w:t>
            </w:r>
            <w:r>
              <w:rPr>
                <w:rFonts w:hint="eastAsia"/>
                <w:color w:val="auto"/>
                <w:sz w:val="24"/>
                <w:szCs w:val="24"/>
                <w:lang w:val="en-US" w:eastAsia="zh-CN"/>
                <w:highlight w:val="none"/>
              </w:rPr>
              <w:t>09</w:t>
            </w:r>
            <w:r>
              <w:rPr>
                <w:color w:val="auto"/>
                <w:sz w:val="24"/>
                <w:szCs w:val="24"/>
                <w:lang w:val="en-US" w:eastAsia="zh-CN"/>
                <w:highlight w:val="none"/>
              </w:rPr>
              <w:t>mg/m³，无组织硫化氢贡献浓度为0.0003mg/m³</w:t>
            </w:r>
            <w:r>
              <w:rPr>
                <w:rFonts w:hint="eastAsia"/>
                <w:color w:val="auto"/>
                <w:sz w:val="24"/>
                <w:szCs w:val="24"/>
                <w:lang w:val="en-US" w:eastAsia="zh-CN"/>
                <w:highlight w:val="none"/>
              </w:rPr>
              <w:t>臭气浓度＜20（无量纲），满足《恶臭污染物排放标准》（GB14554-93）表1恶臭污染物厂界标准值</w:t>
            </w:r>
          </w:p>
          <w:p>
            <w:pPr>
              <w:spacing w:line="360" w:lineRule="auto"/>
              <w:rPr>
                <w:rFonts w:hint="eastAsia"/>
                <w:color w:val="auto"/>
                <w:sz w:val="24"/>
                <w:szCs w:val="24"/>
                <w:lang w:val="en-US" w:eastAsia="zh-CN"/>
              </w:rPr>
            </w:pPr>
            <w:r>
              <w:rPr>
                <w:rFonts w:hint="eastAsia"/>
                <w:color w:val="auto"/>
                <w:sz w:val="24"/>
                <w:szCs w:val="24"/>
                <w:lang w:val="en-US" w:eastAsia="zh-CN"/>
              </w:rPr>
              <w:t>本项目废气经处理后排放可满足相关排放标准。废气经污染防治措施处理后，均能达标排放，不会突破环境质量底线，对周边大气环境的环境影响可接受。</w:t>
            </w:r>
          </w:p>
          <w:p>
            <w:pPr>
              <w:spacing w:line="360" w:lineRule="auto"/>
              <w:rPr>
                <w:rFonts w:hint="eastAsia"/>
                <w:color w:val="auto"/>
                <w:sz w:val="24"/>
                <w:szCs w:val="24"/>
                <w:lang w:val="en-US" w:eastAsia="zh-CN"/>
              </w:rPr>
            </w:pPr>
            <w:r>
              <w:rPr>
                <w:rFonts w:hint="eastAsia"/>
                <w:color w:val="auto"/>
                <w:sz w:val="24"/>
                <w:szCs w:val="24"/>
                <w:lang w:val="en-US" w:eastAsia="zh-CN"/>
              </w:rPr>
              <w:t>因此，本项目对大气环境</w:t>
            </w:r>
            <w:bookmarkStart w:id="1" w:name="OLE_LINK14"/>
            <w:r>
              <w:rPr>
                <w:rFonts w:hint="eastAsia"/>
                <w:color w:val="auto"/>
                <w:sz w:val="24"/>
                <w:szCs w:val="24"/>
                <w:lang w:val="en-US" w:eastAsia="zh-CN"/>
              </w:rPr>
              <w:t>不会造成明显影响。</w:t>
            </w:r>
            <w:bookmarkEnd w:id="1"/>
          </w:p>
          <w:p>
            <w:pPr>
              <w:spacing w:line="360" w:lineRule="auto"/>
              <w:ind w:firstLineChars="200" w:firstLine="480"/>
              <w:rPr>
                <w:b/>
                <w:bCs/>
                <w:snapToGrid w:val="0"/>
                <w:color w:val="auto"/>
                <w:kern w:val="0"/>
                <w:sz w:val="24"/>
              </w:rPr>
            </w:pPr>
            <w:r>
              <w:rPr>
                <w:rFonts w:hint="eastAsia"/>
                <w:b/>
                <w:bCs/>
                <w:snapToGrid w:val="0"/>
                <w:color w:val="auto"/>
                <w:kern w:val="0"/>
                <w:sz w:val="24"/>
                <w:lang w:val="en-US" w:eastAsia="zh-CN"/>
              </w:rPr>
              <w:t>二</w:t>
            </w:r>
            <w:r>
              <w:rPr>
                <w:b/>
                <w:bCs/>
                <w:snapToGrid w:val="0"/>
                <w:color w:val="auto"/>
                <w:kern w:val="0"/>
                <w:sz w:val="24"/>
              </w:rPr>
              <w:t>、废水</w:t>
            </w:r>
          </w:p>
          <w:p>
            <w:pPr>
              <w:bidi w:val="0"/>
              <w:rPr>
                <w:color w:val="auto"/>
              </w:rPr>
            </w:pPr>
            <w:r>
              <w:rPr>
                <w:color w:val="auto"/>
                <w:lang w:val="en-US" w:eastAsia="zh-CN"/>
              </w:rPr>
              <w:t>本项目</w:t>
            </w:r>
            <w:r>
              <w:rPr>
                <w:rFonts w:hint="eastAsia"/>
                <w:color w:val="auto"/>
                <w:lang w:val="en-US" w:eastAsia="zh-CN"/>
              </w:rPr>
              <w:t>完成后全厂</w:t>
            </w:r>
            <w:r>
              <w:rPr>
                <w:color w:val="auto"/>
                <w:lang w:val="en-US" w:eastAsia="zh-CN"/>
              </w:rPr>
              <w:t>废水主要为生产废水</w:t>
            </w:r>
            <w:r>
              <w:rPr>
                <w:rFonts w:hint="eastAsia"/>
                <w:color w:val="auto"/>
                <w:lang w:val="en-US" w:eastAsia="zh-CN"/>
              </w:rPr>
              <w:t>、食堂废水和</w:t>
            </w:r>
            <w:r>
              <w:rPr>
                <w:color w:val="auto"/>
                <w:lang w:val="en-US" w:eastAsia="zh-CN"/>
              </w:rPr>
              <w:t>生活污水，生产废水主要是水处理机组浓水</w:t>
            </w:r>
            <w:r>
              <w:rPr>
                <w:rFonts w:hint="eastAsia"/>
                <w:color w:val="auto"/>
                <w:lang w:val="en-US" w:eastAsia="zh-CN"/>
              </w:rPr>
              <w:t>、纯水机浓水、蒸汽发生器排水、设备冲洗废水、车间地面清洗废水、果蔬清洗废水、研发实验室废水、碱喷淋装置定期排水。本项目全厂废水排入厂区污水处理站处理，处理后经市政污水管网排入，处理后经市政管网排入德威华泰石家庄市栾城水务有限公司。</w:t>
            </w:r>
          </w:p>
          <w:p>
            <w:pPr>
              <w:spacing w:line="360" w:lineRule="auto"/>
              <w:rPr>
                <w:rFonts w:hint="eastAsia"/>
                <w:color w:val="auto"/>
                <w:sz w:val="24"/>
                <w:szCs w:val="32"/>
              </w:rPr>
            </w:pPr>
            <w:r>
              <w:rPr>
                <w:rFonts w:hint="eastAsia"/>
                <w:color w:val="auto"/>
                <w:sz w:val="24"/>
                <w:szCs w:val="32"/>
              </w:rPr>
              <w:t>根据工程分析，本项目废水污染物主要为pH、COD、BOD</w:t>
            </w:r>
            <w:r>
              <w:rPr>
                <w:rFonts w:hint="eastAsia"/>
                <w:color w:val="auto"/>
                <w:sz w:val="24"/>
                <w:szCs w:val="32"/>
                <w:vertAlign w:val="subscript"/>
              </w:rPr>
              <w:t>5</w:t>
            </w:r>
            <w:r>
              <w:rPr>
                <w:rFonts w:hint="eastAsia"/>
                <w:color w:val="auto"/>
                <w:sz w:val="24"/>
                <w:szCs w:val="32"/>
              </w:rPr>
              <w:t>、SS、NH</w:t>
            </w:r>
            <w:r>
              <w:rPr>
                <w:rFonts w:hint="eastAsia"/>
                <w:color w:val="auto"/>
                <w:sz w:val="24"/>
                <w:szCs w:val="32"/>
                <w:vertAlign w:val="subscript"/>
              </w:rPr>
              <w:t>3</w:t>
            </w:r>
            <w:r>
              <w:rPr>
                <w:rFonts w:hint="eastAsia"/>
                <w:color w:val="auto"/>
                <w:sz w:val="24"/>
                <w:szCs w:val="32"/>
              </w:rPr>
              <w:t>-N</w:t>
            </w:r>
            <w:r>
              <w:rPr>
                <w:rFonts w:hint="eastAsia"/>
                <w:color w:val="auto"/>
                <w:sz w:val="24"/>
                <w:szCs w:val="32"/>
                <w:lang w:eastAsia="zh-CN"/>
              </w:rPr>
              <w:t>、</w:t>
            </w:r>
            <w:r>
              <w:rPr>
                <w:rFonts w:hint="eastAsia"/>
                <w:color w:val="auto"/>
                <w:sz w:val="24"/>
                <w:szCs w:val="32"/>
                <w:lang w:val="en-US" w:eastAsia="zh-CN"/>
              </w:rPr>
              <w:t>TP</w:t>
            </w:r>
            <w:r>
              <w:rPr>
                <w:rFonts w:hint="eastAsia"/>
                <w:color w:val="auto"/>
                <w:sz w:val="24"/>
                <w:szCs w:val="32"/>
                <w:lang w:eastAsia="zh-CN"/>
              </w:rPr>
              <w:t>、</w:t>
            </w:r>
            <w:r>
              <w:rPr>
                <w:rFonts w:hint="eastAsia"/>
                <w:color w:val="auto"/>
                <w:sz w:val="24"/>
                <w:szCs w:val="32"/>
                <w:lang w:val="en-US" w:eastAsia="zh-CN"/>
              </w:rPr>
              <w:t>TN、色度、动植物油。</w:t>
            </w:r>
          </w:p>
          <w:p>
            <w:pPr>
              <w:bidi w:val="0"/>
              <w:rPr>
                <w:rFonts w:hint="eastAsia"/>
                <w:color w:val="auto"/>
              </w:rPr>
            </w:pPr>
            <w:r>
              <w:rPr>
                <w:rFonts w:hint="eastAsia"/>
                <w:color w:val="auto"/>
              </w:rPr>
              <w:t>（1）废水源强</w:t>
            </w:r>
          </w:p>
          <w:p>
            <w:pPr>
              <w:bidi w:val="0"/>
              <w:rPr>
                <w:color w:val="auto"/>
                <w:lang w:val="en-US" w:eastAsia="zh-CN"/>
              </w:rPr>
            </w:pPr>
            <w:r>
              <w:rPr>
                <w:rFonts w:hint="eastAsia"/>
                <w:color w:val="auto"/>
                <w:lang w:val="en-US" w:eastAsia="zh-CN"/>
              </w:rPr>
              <w:t>1）现有工程</w:t>
            </w:r>
          </w:p>
          <w:p>
            <w:pPr>
              <w:bidi w:val="0"/>
              <w:rPr>
                <w:color w:val="auto"/>
                <w:lang w:val="en-US" w:eastAsia="zh-CN"/>
              </w:rPr>
            </w:pPr>
            <w:r>
              <w:rPr>
                <w:rFonts w:hint="eastAsia"/>
                <w:color w:val="auto"/>
                <w:lang w:val="en-US" w:eastAsia="zh-CN"/>
              </w:rPr>
              <w:t>现有工程</w:t>
            </w:r>
            <w:r>
              <w:rPr>
                <w:color w:val="auto"/>
                <w:lang w:val="en-US" w:eastAsia="zh-CN"/>
              </w:rPr>
              <w:t>废水主要为设备冲洗废水、车间地面清洗废水、生活污水、食堂污水、水处理机组浓水、研发实验室排水、碱喷淋装置定期排水。</w:t>
            </w:r>
          </w:p>
          <w:p>
            <w:pPr>
              <w:bidi w:val="0"/>
              <w:rPr>
                <w:color w:val="auto"/>
                <w:lang w:val="en-US" w:eastAsia="zh-CN"/>
              </w:rPr>
            </w:pPr>
            <w:r>
              <w:rPr>
                <w:color w:val="auto"/>
                <w:lang w:val="en-US" w:eastAsia="zh-CN"/>
              </w:rPr>
              <w:t>①水处理机组浓水：水处理机组浓水产生量为4.1896m³/d；</w:t>
            </w:r>
          </w:p>
          <w:p>
            <w:pPr>
              <w:bidi w:val="0"/>
              <w:rPr>
                <w:color w:val="auto"/>
                <w:lang w:val="en-US" w:eastAsia="zh-CN"/>
              </w:rPr>
            </w:pPr>
            <w:r>
              <w:rPr>
                <w:color w:val="auto"/>
                <w:lang w:val="en-US" w:eastAsia="zh-CN"/>
              </w:rPr>
              <w:t>②设备冲洗废水：设备冲洗废水产生量为0.576m³/d；</w:t>
            </w:r>
          </w:p>
          <w:p>
            <w:pPr>
              <w:bidi w:val="0"/>
              <w:rPr>
                <w:color w:val="auto"/>
                <w:lang w:val="en-US" w:eastAsia="zh-CN"/>
              </w:rPr>
            </w:pPr>
            <w:r>
              <w:rPr>
                <w:color w:val="auto"/>
                <w:lang w:val="en-US" w:eastAsia="zh-CN"/>
              </w:rPr>
              <w:t>③车间地面清洗废水：车间地面清洗废水产生量为21.76m³/d；</w:t>
            </w:r>
          </w:p>
          <w:p>
            <w:pPr>
              <w:bidi w:val="0"/>
              <w:rPr>
                <w:color w:val="auto"/>
                <w:lang w:val="en-US" w:eastAsia="zh-CN"/>
              </w:rPr>
            </w:pPr>
            <w:r>
              <w:rPr>
                <w:color w:val="auto"/>
                <w:lang w:val="en-US" w:eastAsia="zh-CN"/>
              </w:rPr>
              <w:t>④生活污水：生活污水的产生量为2.4m³/d</w:t>
            </w:r>
            <w:r>
              <w:rPr>
                <w:rFonts w:hint="eastAsia"/>
                <w:color w:val="auto"/>
                <w:lang w:val="en-US" w:eastAsia="zh-CN"/>
              </w:rPr>
              <w:t>；</w:t>
            </w:r>
          </w:p>
          <w:p>
            <w:pPr>
              <w:bidi w:val="0"/>
              <w:rPr>
                <w:color w:val="auto"/>
                <w:lang w:val="en-US" w:eastAsia="zh-CN"/>
              </w:rPr>
            </w:pPr>
            <w:r>
              <w:rPr>
                <w:color w:val="auto"/>
                <w:lang w:val="en-US" w:eastAsia="zh-CN"/>
              </w:rPr>
              <w:t>⑤食堂污水：食堂污水的产生量为0.8m³/d（240m³/a）；</w:t>
            </w:r>
          </w:p>
          <w:p>
            <w:pPr>
              <w:bidi w:val="0"/>
              <w:rPr>
                <w:color w:val="auto"/>
                <w:lang w:val="en-US" w:eastAsia="zh-CN"/>
              </w:rPr>
            </w:pPr>
            <w:r>
              <w:rPr>
                <w:rFonts w:hint="eastAsia"/>
                <w:color w:val="auto"/>
                <w:lang w:val="en-US" w:eastAsia="zh-CN"/>
              </w:rPr>
              <w:t>2）本项目</w:t>
            </w:r>
          </w:p>
          <w:p>
            <w:pPr>
              <w:bidi w:val="0"/>
              <w:rPr>
                <w:rFonts w:hint="eastAsia"/>
                <w:color w:val="auto"/>
                <w:lang w:val="en-US" w:eastAsia="zh-CN"/>
              </w:rPr>
            </w:pPr>
            <w:r>
              <w:rPr>
                <w:rFonts w:hint="eastAsia"/>
                <w:color w:val="auto"/>
                <w:lang w:val="en-US" w:eastAsia="zh-CN"/>
              </w:rPr>
              <w:t>本项目废水主要为设备冲洗废水、果蔬清洗废水、纯水机废水及蒸汽发生器排水。</w:t>
            </w:r>
          </w:p>
          <w:p>
            <w:pPr>
              <w:bidi w:val="0"/>
              <w:rPr>
                <w:rFonts w:hint="eastAsia"/>
                <w:color w:val="auto"/>
                <w:lang w:val="en-US" w:eastAsia="zh-CN"/>
              </w:rPr>
            </w:pPr>
            <w:r>
              <w:rPr>
                <w:rFonts w:hint="eastAsia"/>
                <w:color w:val="auto"/>
                <w:lang w:val="en-US" w:eastAsia="zh-CN"/>
              </w:rPr>
              <w:t>①纯水机废水：水处理机组浓水产生量为5.8m³/d；</w:t>
            </w:r>
          </w:p>
          <w:p>
            <w:pPr>
              <w:bidi w:val="0"/>
              <w:rPr>
                <w:rFonts w:hint="eastAsia"/>
                <w:color w:val="auto"/>
                <w:lang w:val="en-US" w:eastAsia="zh-CN"/>
              </w:rPr>
            </w:pPr>
            <w:r>
              <w:rPr>
                <w:rFonts w:hint="eastAsia"/>
                <w:color w:val="auto"/>
                <w:lang w:val="en-US" w:eastAsia="zh-CN"/>
              </w:rPr>
              <w:t>②设备冲洗废水：设备冲洗废水产生量按用水量的80%计，为0.1m³/d；</w:t>
            </w:r>
          </w:p>
          <w:p>
            <w:pPr>
              <w:bidi w:val="0"/>
              <w:rPr>
                <w:rFonts w:hint="eastAsia"/>
                <w:color w:val="auto"/>
                <w:lang w:val="en-US" w:eastAsia="zh-CN"/>
              </w:rPr>
            </w:pPr>
            <w:r>
              <w:rPr>
                <w:rFonts w:hint="eastAsia"/>
                <w:color w:val="auto"/>
                <w:lang w:val="en-US" w:eastAsia="zh-CN"/>
              </w:rPr>
              <w:t>③蒸汽发生器排水：蒸汽发生器定期排水量为1.6m³/d；</w:t>
            </w:r>
          </w:p>
          <w:p>
            <w:pPr>
              <w:bidi w:val="0"/>
              <w:rPr>
                <w:rFonts w:hint="eastAsia"/>
                <w:color w:val="auto"/>
                <w:lang w:val="en-US" w:eastAsia="zh-CN"/>
              </w:rPr>
            </w:pPr>
            <w:r>
              <w:rPr>
                <w:rFonts w:hint="eastAsia"/>
                <w:color w:val="auto"/>
                <w:lang w:val="en-US" w:eastAsia="zh-CN"/>
              </w:rPr>
              <w:t>④果蔬清洗废水：果蔬清洗废水的产生量以用水量的80%计，为30m³/d；</w:t>
            </w:r>
          </w:p>
          <w:p>
            <w:pPr>
              <w:bidi w:val="0"/>
              <w:rPr>
                <w:rFonts w:hint="eastAsia"/>
                <w:color w:val="auto"/>
                <w:lang w:val="en-US" w:eastAsia="zh-CN"/>
              </w:rPr>
            </w:pPr>
            <w:r>
              <w:rPr>
                <w:rFonts w:hint="eastAsia"/>
                <w:color w:val="auto"/>
                <w:lang w:val="en-US" w:eastAsia="zh-CN"/>
              </w:rPr>
              <w:t>⑤研发实验室废水：研发实验室废水主要为设备及器具清洗废水，产生量为0.01m³/d；</w:t>
            </w:r>
          </w:p>
          <w:p>
            <w:pPr>
              <w:bidi w:val="0"/>
              <w:rPr>
                <w:rFonts w:hint="eastAsia"/>
                <w:color w:val="auto"/>
                <w:lang w:val="en-US" w:eastAsia="zh-CN"/>
              </w:rPr>
            </w:pPr>
            <w:r>
              <w:rPr>
                <w:rFonts w:hint="eastAsia"/>
                <w:color w:val="auto"/>
                <w:lang w:val="en-US" w:eastAsia="zh-CN"/>
              </w:rPr>
              <w:t>⑥碱喷淋装置排水：项目污水处理站扩容后恶臭污染物产生量增加，因此碱喷淋装置定期排水量会增加，排水量为3m³/d；</w:t>
            </w:r>
          </w:p>
          <w:p>
            <w:pPr>
              <w:bidi w:val="0"/>
              <w:rPr>
                <w:color w:val="auto"/>
                <w:lang w:val="en-US" w:eastAsia="zh-CN"/>
              </w:rPr>
            </w:pPr>
            <w:r>
              <w:rPr>
                <w:rFonts w:hint="eastAsia"/>
                <w:color w:val="auto"/>
                <w:lang w:val="en-US" w:eastAsia="zh-CN"/>
              </w:rPr>
              <w:t>⑦</w:t>
            </w:r>
            <w:r>
              <w:rPr>
                <w:color w:val="auto"/>
                <w:lang w:val="en-US" w:eastAsia="zh-CN"/>
              </w:rPr>
              <w:t>浓缩过滤废水：本项目浓缩过滤采用反渗透工艺进行浓缩，根据工艺设计浓缩过程约去除果汁中50%的水，用于生产浓缩果蔬汁（浆）的果汁量为300吨，则浓缩过滤废水产生量为150m³/a（0.5m³/d）</w:t>
            </w:r>
            <w:r>
              <w:rPr>
                <w:rFonts w:hint="eastAsia"/>
                <w:color w:val="auto"/>
                <w:lang w:val="en-US" w:eastAsia="zh-CN"/>
              </w:rPr>
              <w:t>。</w:t>
            </w:r>
          </w:p>
          <w:p>
            <w:pPr>
              <w:spacing w:line="360" w:lineRule="auto"/>
              <w:rPr>
                <w:rFonts w:hint="eastAsia"/>
                <w:color w:val="auto"/>
                <w:sz w:val="24"/>
                <w:szCs w:val="24"/>
                <w:lang w:val="en-US" w:eastAsia="zh-CN"/>
              </w:rPr>
            </w:pPr>
            <w:r>
              <w:rPr>
                <w:rFonts w:hint="eastAsia"/>
                <w:color w:val="auto"/>
                <w:sz w:val="24"/>
                <w:szCs w:val="24"/>
                <w:lang w:val="en-US" w:eastAsia="zh-CN"/>
              </w:rPr>
              <w:t>生产废水污染物产生量参考</w:t>
            </w:r>
            <w:r>
              <w:rPr>
                <w:color w:val="auto"/>
                <w:sz w:val="24"/>
                <w:szCs w:val="24"/>
              </w:rPr>
              <w:t>《</w:t>
            </w:r>
            <w:r>
              <w:rPr>
                <w:color w:val="auto"/>
                <w:sz w:val="24"/>
                <w:szCs w:val="24"/>
                <w:lang w:val="en-US" w:eastAsia="zh-CN"/>
              </w:rPr>
              <w:t>排放源统计调查产排污核算方法</w:t>
            </w:r>
            <w:r>
              <w:rPr>
                <w:rFonts w:hint="eastAsia"/>
                <w:color w:val="auto"/>
                <w:sz w:val="24"/>
                <w:szCs w:val="24"/>
                <w:lang w:val="en-US" w:eastAsia="zh-CN"/>
              </w:rPr>
              <w:t>和系数手册</w:t>
            </w:r>
            <w:r>
              <w:rPr>
                <w:color w:val="auto"/>
                <w:sz w:val="24"/>
                <w:szCs w:val="24"/>
              </w:rPr>
              <w:t>》</w:t>
            </w:r>
            <w:r>
              <w:rPr>
                <w:rFonts w:hint="eastAsia"/>
                <w:color w:val="auto"/>
                <w:sz w:val="24"/>
                <w:szCs w:val="24"/>
                <w:lang w:val="en-US" w:eastAsia="zh-CN"/>
              </w:rPr>
              <w:t>中</w:t>
            </w:r>
            <w:r>
              <w:rPr>
                <w:color w:val="auto"/>
                <w:sz w:val="24"/>
                <w:szCs w:val="24"/>
              </w:rPr>
              <w:t>饮料制造行业</w:t>
            </w:r>
            <w:r>
              <w:rPr>
                <w:rFonts w:hint="eastAsia"/>
                <w:color w:val="auto"/>
                <w:sz w:val="24"/>
                <w:szCs w:val="24"/>
                <w:lang w:val="en-US" w:eastAsia="zh-CN"/>
              </w:rPr>
              <w:t>系数手册及《饮料制造废水治理工程技术规范》参考废水水质情况（食品添加剂以饮料进行计算）</w:t>
            </w:r>
            <w:r>
              <w:rPr>
                <w:rFonts w:hint="eastAsia"/>
                <w:color w:val="auto"/>
                <w:sz w:val="24"/>
                <w:szCs w:val="24"/>
                <w:lang w:eastAsia="zh-CN"/>
              </w:rPr>
              <w:t>；</w:t>
            </w:r>
            <w:r>
              <w:rPr>
                <w:rFonts w:hint="eastAsia"/>
                <w:color w:val="auto"/>
                <w:sz w:val="24"/>
                <w:szCs w:val="24"/>
                <w:lang w:val="en-US" w:eastAsia="zh-CN"/>
              </w:rPr>
              <w:t>生活污水污染物产生系数参照《农村生活污水处理工程技术标准》（GB/T51347-2019）；食堂废水污染物产生系数参照《饮食业环境保护技术规范》（HJ 554—2010）；</w:t>
            </w:r>
            <w:r>
              <w:rPr>
                <w:rFonts w:hint="eastAsia"/>
                <w:color w:val="auto"/>
                <w:sz w:val="24"/>
                <w:szCs w:val="24"/>
                <w:lang w:val="en-US" w:eastAsia="zh-CN"/>
                <w:highlight w:val="none"/>
              </w:rPr>
              <w:t>水处理机组浓水、纯水机浓水、蒸汽发生器排水水质情况参考东莞市仟净环保设备有限公司软水制备出水水质检测报告，报告编号GDHL（检）20180529A206，COD22mg/L、BOD</w:t>
            </w:r>
            <w:r>
              <w:rPr>
                <w:rFonts w:hint="eastAsia"/>
                <w:color w:val="auto"/>
                <w:sz w:val="24"/>
                <w:szCs w:val="24"/>
                <w:vertAlign w:val="subscript"/>
                <w:lang w:val="en-US" w:eastAsia="zh-CN"/>
                <w:highlight w:val="none"/>
              </w:rPr>
              <w:t>5</w:t>
            </w:r>
            <w:r>
              <w:rPr>
                <w:rFonts w:hint="eastAsia"/>
                <w:color w:val="auto"/>
                <w:sz w:val="24"/>
                <w:szCs w:val="24"/>
                <w:lang w:val="en-US" w:eastAsia="zh-CN"/>
                <w:highlight w:val="none"/>
              </w:rPr>
              <w:t>5.2mg/L、氨氮0.5mg/L、SS 15mg/L，</w:t>
            </w:r>
            <w:r>
              <w:rPr>
                <w:rFonts w:hint="eastAsia"/>
                <w:color w:val="auto"/>
                <w:sz w:val="24"/>
                <w:szCs w:val="24"/>
                <w:lang w:val="en-US" w:eastAsia="zh-CN"/>
              </w:rPr>
              <w:t>本项目废水污染物产生情况如下表。</w:t>
            </w:r>
          </w:p>
          <w:p>
            <w:pPr>
              <w:pStyle w:val="24"/>
              <w:bidi w:val="0"/>
              <w:rPr>
                <w:color w:val="auto"/>
                <w:lang w:val="en-US" w:eastAsia="zh-CN"/>
              </w:rPr>
            </w:pPr>
            <w:r>
              <w:rPr>
                <w:rFonts w:hint="eastAsia"/>
                <w:color w:val="auto"/>
                <w:lang w:val="en-US" w:eastAsia="zh-CN"/>
              </w:rPr>
              <w:t>表4-10  本项目废水污染物产生量一览表</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57"/>
              <w:gridCol w:w="1301"/>
              <w:gridCol w:w="1746"/>
              <w:gridCol w:w="1714"/>
              <w:gridCol w:w="1947"/>
              <w:gridCol w:w="867"/>
            </w:tblGrid>
            <w:tr>
              <w:tc>
                <w:tcPr>
                  <w:tcW w:w="508" w:type="pct"/>
                  <w:vAlign w:val="center"/>
                </w:tcPr>
                <w:p>
                  <w:pPr>
                    <w:pStyle w:val="23"/>
                    <w:bidi w:val="0"/>
                    <w:rPr>
                      <w:color w:val="auto"/>
                    </w:rPr>
                  </w:pPr>
                  <w:r>
                    <w:rPr>
                      <w:color w:val="auto"/>
                    </w:rPr>
                    <w:t>序号</w:t>
                  </w:r>
                </w:p>
              </w:tc>
              <w:tc>
                <w:tcPr>
                  <w:tcW w:w="771" w:type="pct"/>
                  <w:vAlign w:val="center"/>
                </w:tcPr>
                <w:p>
                  <w:pPr>
                    <w:pStyle w:val="23"/>
                    <w:bidi w:val="0"/>
                    <w:rPr>
                      <w:color w:val="auto"/>
                    </w:rPr>
                  </w:pPr>
                  <w:r>
                    <w:rPr>
                      <w:color w:val="auto"/>
                    </w:rPr>
                    <w:t>废水</w:t>
                  </w:r>
                </w:p>
                <w:p>
                  <w:pPr>
                    <w:pStyle w:val="23"/>
                    <w:bidi w:val="0"/>
                    <w:rPr>
                      <w:color w:val="auto"/>
                    </w:rPr>
                  </w:pPr>
                  <w:r>
                    <w:rPr>
                      <w:color w:val="auto"/>
                    </w:rPr>
                    <w:t>种类</w:t>
                  </w:r>
                </w:p>
              </w:tc>
              <w:tc>
                <w:tcPr>
                  <w:tcW w:w="1035" w:type="pct"/>
                  <w:vAlign w:val="center"/>
                </w:tcPr>
                <w:p>
                  <w:pPr>
                    <w:pStyle w:val="23"/>
                    <w:bidi w:val="0"/>
                    <w:rPr>
                      <w:color w:val="auto"/>
                    </w:rPr>
                  </w:pPr>
                  <w:r>
                    <w:rPr>
                      <w:color w:val="auto"/>
                    </w:rPr>
                    <w:t>废水量</w:t>
                  </w:r>
                  <w:r>
                    <w:rPr>
                      <w:rFonts w:hint="eastAsia"/>
                      <w:color w:val="auto"/>
                      <w:lang w:val="en-US" w:eastAsia="zh-CN"/>
                    </w:rPr>
                    <w:t>m³</w:t>
                  </w:r>
                  <w:r>
                    <w:rPr>
                      <w:color w:val="auto"/>
                    </w:rPr>
                    <w:t>/a</w:t>
                  </w:r>
                </w:p>
              </w:tc>
              <w:tc>
                <w:tcPr>
                  <w:tcW w:w="1016" w:type="pct"/>
                  <w:vAlign w:val="center"/>
                </w:tcPr>
                <w:p>
                  <w:pPr>
                    <w:pStyle w:val="23"/>
                    <w:bidi w:val="0"/>
                    <w:rPr>
                      <w:color w:val="auto"/>
                    </w:rPr>
                  </w:pPr>
                  <w:r>
                    <w:rPr>
                      <w:color w:val="auto"/>
                    </w:rPr>
                    <w:t>污染物种类</w:t>
                  </w:r>
                </w:p>
              </w:tc>
              <w:tc>
                <w:tcPr>
                  <w:tcW w:w="1154" w:type="pct"/>
                  <w:vAlign w:val="center"/>
                </w:tcPr>
                <w:p>
                  <w:pPr>
                    <w:pStyle w:val="23"/>
                    <w:bidi w:val="0"/>
                    <w:rPr>
                      <w:rFonts w:eastAsia="宋体"/>
                      <w:color w:val="auto"/>
                      <w:lang w:val="en-US" w:eastAsia="zh-CN"/>
                    </w:rPr>
                  </w:pPr>
                  <w:r>
                    <w:rPr>
                      <w:rFonts w:hint="eastAsia"/>
                      <w:color w:val="auto"/>
                      <w:lang w:val="en-US" w:eastAsia="zh-CN"/>
                    </w:rPr>
                    <w:t>产生系数</w:t>
                  </w:r>
                </w:p>
              </w:tc>
              <w:tc>
                <w:tcPr>
                  <w:tcW w:w="514" w:type="pct"/>
                  <w:vAlign w:val="center"/>
                </w:tcPr>
                <w:p>
                  <w:pPr>
                    <w:pStyle w:val="23"/>
                    <w:bidi w:val="0"/>
                    <w:rPr>
                      <w:color w:val="auto"/>
                    </w:rPr>
                  </w:pPr>
                  <w:r>
                    <w:rPr>
                      <w:color w:val="auto"/>
                    </w:rPr>
                    <w:t>产生量t/a</w:t>
                  </w:r>
                </w:p>
              </w:tc>
            </w:tr>
            <w:tr>
              <w:tc>
                <w:tcPr>
                  <w:tcW w:w="508" w:type="pct"/>
                  <w:vMerge w:val="restart"/>
                  <w:vAlign w:val="center"/>
                </w:tcPr>
                <w:p>
                  <w:pPr>
                    <w:pStyle w:val="23"/>
                    <w:bidi w:val="0"/>
                    <w:rPr>
                      <w:rFonts w:eastAsia="宋体" w:hint="eastAsia"/>
                      <w:color w:val="auto"/>
                      <w:lang w:val="en-US" w:eastAsia="zh-CN"/>
                    </w:rPr>
                  </w:pPr>
                  <w:r>
                    <w:rPr>
                      <w:rFonts w:hint="eastAsia"/>
                      <w:color w:val="auto"/>
                      <w:lang w:val="en-US" w:eastAsia="zh-CN"/>
                    </w:rPr>
                    <w:t>1</w:t>
                  </w:r>
                </w:p>
              </w:tc>
              <w:tc>
                <w:tcPr>
                  <w:tcW w:w="771" w:type="pct"/>
                  <w:vMerge w:val="restart"/>
                  <w:tcBorders>
                    <w:left w:val="single" w:sz="4" w:space="0" w:color="auto"/>
                  </w:tcBorders>
                  <w:vAlign w:val="center"/>
                </w:tcPr>
                <w:p>
                  <w:pPr>
                    <w:pStyle w:val="23"/>
                    <w:bidi w:val="0"/>
                    <w:rPr>
                      <w:rFonts w:eastAsia="宋体"/>
                      <w:color w:val="auto"/>
                      <w:lang w:val="en-US" w:eastAsia="zh-CN"/>
                    </w:rPr>
                  </w:pPr>
                  <w:r>
                    <w:rPr>
                      <w:rFonts w:eastAsia="宋体"/>
                      <w:color w:val="auto"/>
                      <w:lang w:val="en-US" w:eastAsia="zh-CN"/>
                    </w:rPr>
                    <w:t>设备冲洗废水、车间地面清洗废水、果蔬清洗废水、研发实验室废水、碱喷淋装置定期排水</w:t>
                  </w:r>
                  <w:r>
                    <w:rPr>
                      <w:rFonts w:hint="eastAsia"/>
                      <w:color w:val="auto"/>
                      <w:lang w:val="en-US" w:eastAsia="zh-CN"/>
                    </w:rPr>
                    <w:t>、浓缩过滤废水</w:t>
                  </w:r>
                </w:p>
              </w:tc>
              <w:tc>
                <w:tcPr>
                  <w:tcW w:w="1035" w:type="pct"/>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16783.8</w:t>
                  </w:r>
                </w:p>
              </w:tc>
              <w:tc>
                <w:tcPr>
                  <w:tcW w:w="1016"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pH</w:t>
                  </w:r>
                </w:p>
              </w:tc>
              <w:tc>
                <w:tcPr>
                  <w:tcW w:w="1154" w:type="pct"/>
                  <w:tcBorders>
                    <w:left w:val="single" w:sz="4" w:space="0" w:color="auto"/>
                  </w:tcBorders>
                  <w:vAlign w:val="center"/>
                </w:tcPr>
                <w:p>
                  <w:pPr>
                    <w:pStyle w:val="23"/>
                    <w:bidi w:val="0"/>
                    <w:rPr>
                      <w:rFonts w:eastAsia="宋体"/>
                      <w:color w:val="auto"/>
                      <w:lang w:val="en-US" w:eastAsia="zh-CN"/>
                    </w:rPr>
                  </w:pPr>
                  <w:r>
                    <w:rPr>
                      <w:rFonts w:eastAsia="宋体"/>
                      <w:color w:val="auto"/>
                      <w:lang w:val="en-US" w:eastAsia="zh-CN"/>
                    </w:rPr>
                    <w:t>6-9</w:t>
                  </w:r>
                </w:p>
              </w:tc>
              <w:tc>
                <w:tcPr>
                  <w:tcW w:w="51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rPr>
                      <w:color w:val="auto"/>
                    </w:rPr>
                  </w:pPr>
                  <w:r>
                    <w:rPr>
                      <w:color w:val="auto"/>
                    </w:rPr>
                    <w:t>COD</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6488g/t-产品</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51.580</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rPr>
                      <w:rFonts w:eastAsia="宋体"/>
                      <w:color w:val="auto"/>
                      <w:vertAlign w:val="subscript"/>
                      <w:lang w:val="en-US" w:eastAsia="zh-CN"/>
                    </w:rPr>
                  </w:pPr>
                  <w:r>
                    <w:rPr>
                      <w:rFonts w:hint="eastAsia"/>
                      <w:color w:val="auto"/>
                      <w:lang w:val="en-US" w:eastAsia="zh-CN"/>
                    </w:rPr>
                    <w:t>BOD</w:t>
                  </w:r>
                  <w:r>
                    <w:rPr>
                      <w:rFonts w:hint="eastAsia"/>
                      <w:color w:val="auto"/>
                      <w:vertAlign w:val="subscript"/>
                      <w:lang w:val="en-US" w:eastAsia="zh-CN"/>
                    </w:rPr>
                    <w:t>5</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2900mg/L</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48.673</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NH</w:t>
                  </w:r>
                  <w:r>
                    <w:rPr>
                      <w:color w:val="auto"/>
                      <w:vertAlign w:val="subscript"/>
                    </w:rPr>
                    <w:t>3</w:t>
                  </w:r>
                  <w:r>
                    <w:rPr>
                      <w:color w:val="auto"/>
                    </w:rPr>
                    <w:t>-N</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11.49g/t-产品</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0.091</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TN</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16.93g/t-产品</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0.135</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TP</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0.43g/t-产品</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0.003</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rPr>
                      <w:color w:val="auto"/>
                      <w:lang w:val="en-US" w:eastAsia="zh-CN"/>
                    </w:rPr>
                  </w:pPr>
                  <w:r>
                    <w:rPr>
                      <w:rFonts w:hint="eastAsia"/>
                      <w:color w:val="auto"/>
                      <w:lang w:val="en-US" w:eastAsia="zh-CN"/>
                    </w:rPr>
                    <w:t>SS</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300mg/L</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5.035</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rPr>
                      <w:color w:val="auto"/>
                      <w:lang w:val="en-US" w:eastAsia="zh-CN"/>
                    </w:rPr>
                  </w:pPr>
                  <w:r>
                    <w:rPr>
                      <w:rFonts w:hint="eastAsia"/>
                      <w:color w:val="auto"/>
                      <w:lang w:val="en-US" w:eastAsia="zh-CN"/>
                    </w:rPr>
                    <w:t>动植物油</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100mg/L</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1.678</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rPr>
                      <w:color w:val="auto"/>
                      <w:lang w:val="en-US" w:eastAsia="zh-CN"/>
                    </w:rPr>
                  </w:pPr>
                  <w:r>
                    <w:rPr>
                      <w:rFonts w:hint="eastAsia"/>
                      <w:color w:val="auto"/>
                      <w:lang w:val="en-US" w:eastAsia="zh-CN"/>
                    </w:rPr>
                    <w:t>色度</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10倍</w:t>
                  </w:r>
                </w:p>
              </w:tc>
              <w:tc>
                <w:tcPr>
                  <w:tcW w:w="51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r>
            <w:tr>
              <w:tc>
                <w:tcPr>
                  <w:tcW w:w="508" w:type="pct"/>
                  <w:vMerge w:val="restart"/>
                  <w:vAlign w:val="center"/>
                </w:tcPr>
                <w:p>
                  <w:pPr>
                    <w:pStyle w:val="23"/>
                    <w:bidi w:val="0"/>
                    <w:ind w:firstLine="0"/>
                    <w:rPr>
                      <w:rFonts w:eastAsia="宋体" w:hint="eastAsia"/>
                      <w:color w:val="auto"/>
                      <w:lang w:val="en-US" w:eastAsia="zh-CN"/>
                    </w:rPr>
                  </w:pPr>
                  <w:r>
                    <w:rPr>
                      <w:rFonts w:hint="eastAsia"/>
                      <w:color w:val="auto"/>
                      <w:lang w:val="en-US" w:eastAsia="zh-CN"/>
                    </w:rPr>
                    <w:t>2</w:t>
                  </w:r>
                </w:p>
              </w:tc>
              <w:tc>
                <w:tcPr>
                  <w:tcW w:w="771" w:type="pct"/>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生活污水</w:t>
                  </w:r>
                </w:p>
              </w:tc>
              <w:tc>
                <w:tcPr>
                  <w:tcW w:w="1035" w:type="pct"/>
                  <w:vMerge w:val="restart"/>
                  <w:tcBorders>
                    <w:left w:val="single" w:sz="4" w:space="0" w:color="auto"/>
                  </w:tcBorders>
                  <w:vAlign w:val="center"/>
                </w:tcPr>
                <w:p>
                  <w:pPr>
                    <w:pStyle w:val="23"/>
                    <w:bidi w:val="0"/>
                    <w:rPr>
                      <w:rFonts w:eastAsia="宋体"/>
                      <w:color w:val="auto"/>
                      <w:lang w:val="en-US" w:eastAsia="zh-CN"/>
                    </w:rPr>
                  </w:pPr>
                  <w:r>
                    <w:rPr>
                      <w:rFonts w:eastAsia="宋体"/>
                      <w:color w:val="auto"/>
                      <w:lang w:val="en-US" w:eastAsia="zh-CN"/>
                    </w:rPr>
                    <w:t>720</w:t>
                  </w: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pH</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6-9</w:t>
                  </w:r>
                </w:p>
              </w:tc>
              <w:tc>
                <w:tcPr>
                  <w:tcW w:w="514" w:type="pc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COD</w:t>
                  </w:r>
                </w:p>
              </w:tc>
              <w:tc>
                <w:tcPr>
                  <w:tcW w:w="1154" w:type="pct"/>
                  <w:tcBorders>
                    <w:left w:val="single" w:sz="4" w:space="0" w:color="auto"/>
                  </w:tcBorders>
                  <w:vAlign w:val="center"/>
                </w:tcPr>
                <w:p>
                  <w:pPr>
                    <w:pStyle w:val="23"/>
                    <w:bidi w:val="0"/>
                    <w:rPr>
                      <w:color w:val="auto"/>
                      <w:lang w:val="en-US" w:eastAsia="zh-CN"/>
                    </w:rPr>
                  </w:pPr>
                  <w:r>
                    <w:rPr>
                      <w:color w:val="auto"/>
                      <w:lang w:val="en-US" w:eastAsia="zh-CN"/>
                    </w:rPr>
                    <w:t>300</w:t>
                  </w:r>
                  <w:r>
                    <w:rPr>
                      <w:rFonts w:hint="eastAsia"/>
                      <w:color w:val="auto"/>
                      <w:lang w:val="en-US" w:eastAsia="zh-CN"/>
                    </w:rPr>
                    <w:t>mg/L</w:t>
                  </w:r>
                </w:p>
              </w:tc>
              <w:tc>
                <w:tcPr>
                  <w:tcW w:w="514"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0.216</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BOD</w:t>
                  </w:r>
                  <w:r>
                    <w:rPr>
                      <w:color w:val="auto"/>
                      <w:vertAlign w:val="subscript"/>
                    </w:rPr>
                    <w:t>5</w:t>
                  </w:r>
                </w:p>
              </w:tc>
              <w:tc>
                <w:tcPr>
                  <w:tcW w:w="1154" w:type="pct"/>
                  <w:tcBorders>
                    <w:left w:val="single" w:sz="4" w:space="0" w:color="auto"/>
                  </w:tcBorders>
                  <w:vAlign w:val="center"/>
                </w:tcPr>
                <w:p>
                  <w:pPr>
                    <w:pStyle w:val="23"/>
                    <w:bidi w:val="0"/>
                    <w:rPr>
                      <w:rFonts w:hint="eastAsia"/>
                      <w:color w:val="auto"/>
                      <w:lang w:val="en-US" w:eastAsia="zh-CN"/>
                    </w:rPr>
                  </w:pPr>
                  <w:r>
                    <w:rPr>
                      <w:color w:val="auto"/>
                      <w:lang w:val="en-US" w:eastAsia="zh-CN"/>
                    </w:rPr>
                    <w:t>200mg/L</w:t>
                  </w:r>
                </w:p>
              </w:tc>
              <w:tc>
                <w:tcPr>
                  <w:tcW w:w="514"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0.144</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SS</w:t>
                  </w:r>
                </w:p>
              </w:tc>
              <w:tc>
                <w:tcPr>
                  <w:tcW w:w="1154" w:type="pct"/>
                  <w:tcBorders>
                    <w:left w:val="single" w:sz="4" w:space="0" w:color="auto"/>
                  </w:tcBorders>
                  <w:vAlign w:val="center"/>
                </w:tcPr>
                <w:p>
                  <w:pPr>
                    <w:pStyle w:val="23"/>
                    <w:bidi w:val="0"/>
                    <w:rPr>
                      <w:rFonts w:hint="eastAsia"/>
                      <w:color w:val="auto"/>
                      <w:lang w:val="en-US" w:eastAsia="zh-CN"/>
                    </w:rPr>
                  </w:pPr>
                  <w:r>
                    <w:rPr>
                      <w:color w:val="auto"/>
                      <w:lang w:val="en-US" w:eastAsia="zh-CN"/>
                    </w:rPr>
                    <w:t>150mg/L</w:t>
                  </w:r>
                </w:p>
              </w:tc>
              <w:tc>
                <w:tcPr>
                  <w:tcW w:w="514"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0.108</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NH</w:t>
                  </w:r>
                  <w:r>
                    <w:rPr>
                      <w:color w:val="auto"/>
                      <w:vertAlign w:val="subscript"/>
                    </w:rPr>
                    <w:t>3</w:t>
                  </w:r>
                  <w:r>
                    <w:rPr>
                      <w:color w:val="auto"/>
                    </w:rPr>
                    <w:t>-N</w:t>
                  </w:r>
                </w:p>
              </w:tc>
              <w:tc>
                <w:tcPr>
                  <w:tcW w:w="1154" w:type="pct"/>
                  <w:tcBorders>
                    <w:left w:val="single" w:sz="4" w:space="0" w:color="auto"/>
                  </w:tcBorders>
                  <w:vAlign w:val="center"/>
                </w:tcPr>
                <w:p>
                  <w:pPr>
                    <w:pStyle w:val="23"/>
                    <w:bidi w:val="0"/>
                    <w:rPr>
                      <w:rFonts w:hint="eastAsia"/>
                      <w:color w:val="auto"/>
                      <w:lang w:val="en-US" w:eastAsia="zh-CN"/>
                    </w:rPr>
                  </w:pPr>
                  <w:r>
                    <w:rPr>
                      <w:color w:val="auto"/>
                      <w:lang w:val="en-US" w:eastAsia="zh-CN"/>
                    </w:rPr>
                    <w:t>25mg/L</w:t>
                  </w:r>
                </w:p>
              </w:tc>
              <w:tc>
                <w:tcPr>
                  <w:tcW w:w="514"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0.018</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TN</w:t>
                  </w:r>
                </w:p>
              </w:tc>
              <w:tc>
                <w:tcPr>
                  <w:tcW w:w="1154"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60mg/L</w:t>
                  </w:r>
                </w:p>
              </w:tc>
              <w:tc>
                <w:tcPr>
                  <w:tcW w:w="514"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0.043</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TP</w:t>
                  </w:r>
                </w:p>
              </w:tc>
              <w:tc>
                <w:tcPr>
                  <w:tcW w:w="1154" w:type="pct"/>
                  <w:tcBorders>
                    <w:left w:val="single" w:sz="4" w:space="0" w:color="auto"/>
                  </w:tcBorders>
                  <w:vAlign w:val="center"/>
                </w:tcPr>
                <w:p>
                  <w:pPr>
                    <w:pStyle w:val="23"/>
                    <w:bidi w:val="0"/>
                    <w:rPr>
                      <w:rFonts w:hint="eastAsia"/>
                      <w:color w:val="auto"/>
                      <w:lang w:val="en-US" w:eastAsia="zh-CN"/>
                    </w:rPr>
                  </w:pPr>
                  <w:r>
                    <w:rPr>
                      <w:rFonts w:hint="eastAsia"/>
                      <w:color w:val="auto"/>
                    </w:rPr>
                    <w:t>4</w:t>
                  </w:r>
                  <w:r>
                    <w:rPr>
                      <w:rFonts w:hint="eastAsia"/>
                      <w:color w:val="auto"/>
                      <w:lang w:val="en-US" w:eastAsia="zh-CN"/>
                    </w:rPr>
                    <w:t>mg/L</w:t>
                  </w:r>
                </w:p>
              </w:tc>
              <w:tc>
                <w:tcPr>
                  <w:tcW w:w="514"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0.003</w:t>
                  </w:r>
                </w:p>
              </w:tc>
            </w:tr>
            <w:tr>
              <w:tc>
                <w:tcPr>
                  <w:tcW w:w="508" w:type="pct"/>
                  <w:vMerge w:val="restart"/>
                  <w:vAlign w:val="center"/>
                </w:tcPr>
                <w:p>
                  <w:pPr>
                    <w:pStyle w:val="23"/>
                    <w:bidi w:val="0"/>
                    <w:rPr>
                      <w:rFonts w:eastAsia="宋体" w:hint="eastAsia"/>
                      <w:color w:val="auto"/>
                      <w:lang w:val="en-US" w:eastAsia="zh-CN"/>
                    </w:rPr>
                  </w:pPr>
                  <w:r>
                    <w:rPr>
                      <w:rFonts w:eastAsia="宋体" w:hint="eastAsia"/>
                      <w:color w:val="auto"/>
                      <w:lang w:val="en-US" w:eastAsia="zh-CN"/>
                    </w:rPr>
                    <w:t>3</w:t>
                  </w:r>
                </w:p>
              </w:tc>
              <w:tc>
                <w:tcPr>
                  <w:tcW w:w="771" w:type="pct"/>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食堂污水</w:t>
                  </w:r>
                </w:p>
              </w:tc>
              <w:tc>
                <w:tcPr>
                  <w:tcW w:w="1035" w:type="pct"/>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240</w:t>
                  </w:r>
                </w:p>
              </w:tc>
              <w:tc>
                <w:tcPr>
                  <w:tcW w:w="1016" w:type="pct"/>
                  <w:tcBorders>
                    <w:left w:val="single" w:sz="4" w:space="0" w:color="auto"/>
                  </w:tcBorders>
                  <w:vAlign w:val="center"/>
                </w:tcPr>
                <w:p>
                  <w:pPr>
                    <w:pStyle w:val="23"/>
                    <w:bidi w:val="0"/>
                    <w:ind w:firstLine="0"/>
                    <w:rPr>
                      <w:rFonts w:eastAsia="宋体"/>
                      <w:color w:val="auto"/>
                      <w:lang w:val="en-US" w:eastAsia="zh-CN"/>
                    </w:rPr>
                  </w:pPr>
                  <w:r>
                    <w:rPr>
                      <w:rFonts w:hint="eastAsia"/>
                      <w:color w:val="auto"/>
                      <w:lang w:val="en-US" w:eastAsia="zh-CN"/>
                    </w:rPr>
                    <w:t>pH</w:t>
                  </w:r>
                </w:p>
              </w:tc>
              <w:tc>
                <w:tcPr>
                  <w:tcW w:w="1154"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6-9</w:t>
                  </w:r>
                </w:p>
              </w:tc>
              <w:tc>
                <w:tcPr>
                  <w:tcW w:w="51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COD</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800mg/L</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0.192</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BOD</w:t>
                  </w:r>
                  <w:r>
                    <w:rPr>
                      <w:color w:val="auto"/>
                      <w:vertAlign w:val="subscript"/>
                    </w:rPr>
                    <w:t>5</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400mg/L</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0.096</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SS</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300mg/L</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0.072</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NH</w:t>
                  </w:r>
                  <w:r>
                    <w:rPr>
                      <w:color w:val="auto"/>
                      <w:vertAlign w:val="subscript"/>
                    </w:rPr>
                    <w:t>3</w:t>
                  </w:r>
                  <w:r>
                    <w:rPr>
                      <w:color w:val="auto"/>
                    </w:rPr>
                    <w:t>-N</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20mg/L</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0.005</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TN</w:t>
                  </w:r>
                </w:p>
              </w:tc>
              <w:tc>
                <w:tcPr>
                  <w:tcW w:w="115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60mg/L</w:t>
                  </w:r>
                </w:p>
              </w:tc>
              <w:tc>
                <w:tcPr>
                  <w:tcW w:w="514"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0.014</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TP</w:t>
                  </w:r>
                </w:p>
              </w:tc>
              <w:tc>
                <w:tcPr>
                  <w:tcW w:w="115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4</w:t>
                  </w:r>
                  <w:r>
                    <w:rPr>
                      <w:rFonts w:hint="eastAsia"/>
                      <w:color w:val="auto"/>
                      <w:lang w:val="en-US" w:eastAsia="zh-CN"/>
                    </w:rPr>
                    <w:t>mg/L</w:t>
                  </w:r>
                </w:p>
              </w:tc>
              <w:tc>
                <w:tcPr>
                  <w:tcW w:w="514"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0.001</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动植物油</w:t>
                  </w:r>
                </w:p>
              </w:tc>
              <w:tc>
                <w:tcPr>
                  <w:tcW w:w="115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100mg/L</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0.024</w:t>
                  </w:r>
                </w:p>
              </w:tc>
            </w:tr>
            <w:tr>
              <w:tc>
                <w:tcPr>
                  <w:tcW w:w="508" w:type="pct"/>
                  <w:vMerge w:val="restart"/>
                  <w:vAlign w:val="center"/>
                </w:tcPr>
                <w:p>
                  <w:pPr>
                    <w:pStyle w:val="23"/>
                    <w:bidi w:val="0"/>
                    <w:rPr>
                      <w:color w:val="auto"/>
                      <w:lang w:val="en-US" w:eastAsia="zh-CN"/>
                    </w:rPr>
                  </w:pPr>
                  <w:r>
                    <w:rPr>
                      <w:rFonts w:hint="eastAsia"/>
                      <w:color w:val="auto"/>
                      <w:lang w:val="en-US" w:eastAsia="zh-CN"/>
                    </w:rPr>
                    <w:t>4</w:t>
                  </w:r>
                </w:p>
              </w:tc>
              <w:tc>
                <w:tcPr>
                  <w:tcW w:w="771" w:type="pct"/>
                  <w:vMerge w:val="restar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水处理机组浓水、纯水机浓水、蒸汽发生器排水</w:t>
                  </w:r>
                </w:p>
              </w:tc>
              <w:tc>
                <w:tcPr>
                  <w:tcW w:w="1035" w:type="pct"/>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3476.88</w:t>
                  </w:r>
                </w:p>
              </w:tc>
              <w:tc>
                <w:tcPr>
                  <w:tcW w:w="1016"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COD</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22mg/L</w:t>
                  </w:r>
                </w:p>
              </w:tc>
              <w:tc>
                <w:tcPr>
                  <w:tcW w:w="514"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0.174</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color w:val="auto"/>
                      <w:vertAlign w:val="subscript"/>
                      <w:lang w:val="en-US" w:eastAsia="zh-CN"/>
                    </w:rPr>
                  </w:pPr>
                  <w:r>
                    <w:rPr>
                      <w:rFonts w:hint="eastAsia"/>
                      <w:color w:val="auto"/>
                      <w:lang w:val="en-US" w:eastAsia="zh-CN"/>
                    </w:rPr>
                    <w:t>BOD</w:t>
                  </w:r>
                  <w:r>
                    <w:rPr>
                      <w:rFonts w:hint="eastAsia"/>
                      <w:color w:val="auto"/>
                      <w:vertAlign w:val="subscript"/>
                      <w:lang w:val="en-US" w:eastAsia="zh-CN"/>
                    </w:rPr>
                    <w:t>5</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5.2mg/L</w:t>
                  </w:r>
                </w:p>
              </w:tc>
              <w:tc>
                <w:tcPr>
                  <w:tcW w:w="514"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0.041</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NH</w:t>
                  </w:r>
                  <w:r>
                    <w:rPr>
                      <w:color w:val="auto"/>
                      <w:vertAlign w:val="subscript"/>
                    </w:rPr>
                    <w:t>3</w:t>
                  </w:r>
                  <w:r>
                    <w:rPr>
                      <w:color w:val="auto"/>
                    </w:rPr>
                    <w:t>-N</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0.5mg/L</w:t>
                  </w:r>
                </w:p>
              </w:tc>
              <w:tc>
                <w:tcPr>
                  <w:tcW w:w="514"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0.004</w:t>
                  </w:r>
                </w:p>
              </w:tc>
            </w:tr>
            <w:tr>
              <w:tc>
                <w:tcPr>
                  <w:tcW w:w="508" w:type="pct"/>
                  <w:vMerge/>
                  <w:vAlign w:val="center"/>
                </w:tcPr>
                <w:p/>
              </w:tc>
              <w:tc>
                <w:tcPr>
                  <w:tcW w:w="771" w:type="pct"/>
                  <w:vMerge/>
                  <w:tcBorders>
                    <w:left w:val="single" w:sz="4" w:space="0" w:color="auto"/>
                  </w:tcBorders>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SS</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15mg/L</w:t>
                  </w:r>
                </w:p>
              </w:tc>
              <w:tc>
                <w:tcPr>
                  <w:tcW w:w="514"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0.119</w:t>
                  </w:r>
                </w:p>
              </w:tc>
            </w:tr>
            <w:tr>
              <w:tc>
                <w:tcPr>
                  <w:tcW w:w="1279" w:type="pct"/>
                  <w:gridSpan w:val="2"/>
                  <w:vMerge w:val="restart"/>
                  <w:vAlign w:val="center"/>
                </w:tcPr>
                <w:p>
                  <w:pPr>
                    <w:pStyle w:val="23"/>
                    <w:bidi w:val="0"/>
                    <w:rPr>
                      <w:color w:val="auto"/>
                      <w:lang w:val="en-US" w:eastAsia="zh-CN"/>
                    </w:rPr>
                  </w:pPr>
                  <w:r>
                    <w:rPr>
                      <w:rFonts w:hint="eastAsia"/>
                      <w:color w:val="auto"/>
                      <w:lang w:val="en-US" w:eastAsia="zh-CN"/>
                    </w:rPr>
                    <w:t>综合废水</w:t>
                  </w:r>
                </w:p>
              </w:tc>
              <w:tc>
                <w:tcPr>
                  <w:tcW w:w="1035" w:type="pct"/>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21220.68</w:t>
                  </w: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pH</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514"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6-9</w:t>
                  </w:r>
                </w:p>
              </w:tc>
            </w:tr>
            <w:tr>
              <w:tc>
                <w:tcPr>
                  <w:tcW w:w="1279" w:type="pct"/>
                  <w:gridSpan w:val="2"/>
                  <w:vMerge/>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COD</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51.988</w:t>
                  </w:r>
                </w:p>
              </w:tc>
            </w:tr>
            <w:tr>
              <w:tc>
                <w:tcPr>
                  <w:tcW w:w="1279" w:type="pct"/>
                  <w:gridSpan w:val="2"/>
                  <w:vMerge/>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BOD</w:t>
                  </w:r>
                  <w:r>
                    <w:rPr>
                      <w:color w:val="auto"/>
                      <w:vertAlign w:val="subscript"/>
                    </w:rPr>
                    <w:t>5</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48.913</w:t>
                  </w:r>
                </w:p>
              </w:tc>
            </w:tr>
            <w:tr>
              <w:tc>
                <w:tcPr>
                  <w:tcW w:w="1279" w:type="pct"/>
                  <w:gridSpan w:val="2"/>
                  <w:vMerge/>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SS</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5.215</w:t>
                  </w:r>
                </w:p>
              </w:tc>
            </w:tr>
            <w:tr>
              <w:tc>
                <w:tcPr>
                  <w:tcW w:w="1279" w:type="pct"/>
                  <w:gridSpan w:val="2"/>
                  <w:vMerge/>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NH</w:t>
                  </w:r>
                  <w:r>
                    <w:rPr>
                      <w:color w:val="auto"/>
                      <w:vertAlign w:val="subscript"/>
                    </w:rPr>
                    <w:t>3</w:t>
                  </w:r>
                  <w:r>
                    <w:rPr>
                      <w:color w:val="auto"/>
                    </w:rPr>
                    <w:t>-N</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0.114</w:t>
                  </w:r>
                </w:p>
              </w:tc>
            </w:tr>
            <w:tr>
              <w:tc>
                <w:tcPr>
                  <w:tcW w:w="1279" w:type="pct"/>
                  <w:gridSpan w:val="2"/>
                  <w:vMerge/>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TN</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0.192</w:t>
                  </w:r>
                </w:p>
              </w:tc>
            </w:tr>
            <w:tr>
              <w:tc>
                <w:tcPr>
                  <w:tcW w:w="1279" w:type="pct"/>
                  <w:gridSpan w:val="2"/>
                  <w:vMerge/>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TP</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0.007</w:t>
                  </w:r>
                </w:p>
              </w:tc>
            </w:tr>
            <w:tr>
              <w:tc>
                <w:tcPr>
                  <w:tcW w:w="1279" w:type="pct"/>
                  <w:gridSpan w:val="2"/>
                  <w:vMerge/>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rFonts w:hint="eastAsia"/>
                      <w:color w:val="auto"/>
                      <w:lang w:val="en-US" w:eastAsia="zh-CN"/>
                    </w:rPr>
                  </w:pPr>
                  <w:r>
                    <w:rPr>
                      <w:rFonts w:hint="eastAsia"/>
                      <w:color w:val="auto"/>
                      <w:lang w:val="en-US" w:eastAsia="zh-CN"/>
                    </w:rPr>
                    <w:t>动植物油</w:t>
                  </w:r>
                </w:p>
              </w:tc>
              <w:tc>
                <w:tcPr>
                  <w:tcW w:w="115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514"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1.702</w:t>
                  </w:r>
                </w:p>
              </w:tc>
            </w:tr>
            <w:tr>
              <w:tc>
                <w:tcPr>
                  <w:tcW w:w="1279" w:type="pct"/>
                  <w:gridSpan w:val="2"/>
                  <w:vMerge/>
                  <w:vAlign w:val="center"/>
                </w:tcPr>
                <w:p/>
              </w:tc>
              <w:tc>
                <w:tcPr>
                  <w:tcW w:w="1035" w:type="pct"/>
                  <w:vMerge/>
                  <w:tcBorders>
                    <w:left w:val="single" w:sz="4" w:space="0" w:color="auto"/>
                  </w:tcBorders>
                  <w:vAlign w:val="center"/>
                </w:tcPr>
                <w:p/>
              </w:tc>
              <w:tc>
                <w:tcPr>
                  <w:tcW w:w="1016" w:type="pc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色度</w:t>
                  </w:r>
                </w:p>
              </w:tc>
              <w:tc>
                <w:tcPr>
                  <w:tcW w:w="1154"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10倍</w:t>
                  </w:r>
                </w:p>
              </w:tc>
              <w:tc>
                <w:tcPr>
                  <w:tcW w:w="514"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r>
          </w:tbl>
          <w:p>
            <w:pPr>
              <w:spacing w:line="360" w:lineRule="auto"/>
              <w:rPr>
                <w:color w:val="auto"/>
                <w:sz w:val="24"/>
                <w:szCs w:val="24"/>
              </w:rPr>
            </w:pPr>
            <w:r>
              <w:rPr>
                <w:color w:val="auto"/>
                <w:sz w:val="24"/>
                <w:szCs w:val="24"/>
              </w:rPr>
              <w:t>污染物产生和排放情况见表4-</w:t>
            </w:r>
            <w:r>
              <w:rPr>
                <w:rFonts w:hint="eastAsia"/>
                <w:color w:val="auto"/>
                <w:sz w:val="24"/>
                <w:szCs w:val="24"/>
              </w:rPr>
              <w:t>1</w:t>
            </w:r>
            <w:r>
              <w:rPr>
                <w:rFonts w:hint="eastAsia"/>
                <w:color w:val="auto"/>
                <w:sz w:val="24"/>
                <w:szCs w:val="24"/>
                <w:lang w:val="en-US" w:eastAsia="zh-CN"/>
              </w:rPr>
              <w:t>1</w:t>
            </w:r>
            <w:r>
              <w:rPr>
                <w:color w:val="auto"/>
                <w:sz w:val="24"/>
                <w:szCs w:val="24"/>
              </w:rPr>
              <w:t>，废水排放口基本情况见表4-</w:t>
            </w:r>
            <w:r>
              <w:rPr>
                <w:rFonts w:hint="eastAsia"/>
                <w:color w:val="auto"/>
                <w:sz w:val="24"/>
                <w:szCs w:val="24"/>
              </w:rPr>
              <w:t>1</w:t>
            </w:r>
            <w:r>
              <w:rPr>
                <w:rFonts w:hint="eastAsia"/>
                <w:color w:val="auto"/>
                <w:sz w:val="24"/>
                <w:szCs w:val="24"/>
                <w:lang w:val="en-US" w:eastAsia="zh-CN"/>
              </w:rPr>
              <w:t>2</w:t>
            </w:r>
            <w:r>
              <w:rPr>
                <w:color w:val="auto"/>
                <w:sz w:val="24"/>
                <w:szCs w:val="24"/>
              </w:rPr>
              <w:t>。</w:t>
            </w:r>
          </w:p>
          <w:p>
            <w:pPr>
              <w:pStyle w:val="24"/>
              <w:bidi w:val="0"/>
              <w:rPr>
                <w:color w:val="auto"/>
              </w:rPr>
            </w:pPr>
            <w:r>
              <w:rPr>
                <w:color w:val="auto"/>
              </w:rPr>
              <w:t>表4-</w:t>
            </w:r>
            <w:r>
              <w:rPr>
                <w:rFonts w:hint="eastAsia"/>
                <w:color w:val="auto"/>
              </w:rPr>
              <w:t>1</w:t>
            </w:r>
            <w:r>
              <w:rPr>
                <w:rFonts w:hint="eastAsia"/>
                <w:color w:val="auto"/>
                <w:lang w:val="en-US" w:eastAsia="zh-CN"/>
              </w:rPr>
              <w:t>1</w:t>
            </w:r>
            <w:r>
              <w:rPr>
                <w:rFonts w:hint="eastAsia"/>
                <w:color w:val="auto"/>
              </w:rPr>
              <w:t xml:space="preserve">  </w:t>
            </w:r>
            <w:r>
              <w:rPr>
                <w:color w:val="auto"/>
              </w:rPr>
              <w:t>废水污染物产生和排放情况一览表</w:t>
            </w:r>
          </w:p>
          <w:tbl>
            <w:tblPr>
              <w:jc w:val="cent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18"/>
              <w:gridCol w:w="965"/>
              <w:gridCol w:w="781"/>
              <w:gridCol w:w="897"/>
              <w:gridCol w:w="762"/>
              <w:gridCol w:w="1009"/>
              <w:gridCol w:w="612"/>
              <w:gridCol w:w="771"/>
              <w:gridCol w:w="843"/>
              <w:gridCol w:w="1365"/>
            </w:tblGrid>
            <w:tr>
              <w:tc>
                <w:tcPr>
                  <w:tcW w:w="248" w:type="pct"/>
                  <w:vAlign w:val="center"/>
                </w:tcPr>
                <w:p>
                  <w:pPr>
                    <w:pStyle w:val="23"/>
                    <w:bidi w:val="0"/>
                    <w:rPr>
                      <w:color w:val="auto"/>
                    </w:rPr>
                  </w:pPr>
                  <w:r>
                    <w:rPr>
                      <w:color w:val="auto"/>
                    </w:rPr>
                    <w:t>废水</w:t>
                  </w:r>
                </w:p>
                <w:p>
                  <w:pPr>
                    <w:pStyle w:val="23"/>
                    <w:bidi w:val="0"/>
                    <w:rPr>
                      <w:color w:val="auto"/>
                    </w:rPr>
                  </w:pPr>
                  <w:r>
                    <w:rPr>
                      <w:color w:val="auto"/>
                    </w:rPr>
                    <w:t>种类</w:t>
                  </w:r>
                </w:p>
              </w:tc>
              <w:tc>
                <w:tcPr>
                  <w:tcW w:w="572" w:type="pct"/>
                  <w:vAlign w:val="center"/>
                </w:tcPr>
                <w:p>
                  <w:pPr>
                    <w:pStyle w:val="23"/>
                    <w:bidi w:val="0"/>
                    <w:rPr>
                      <w:color w:val="auto"/>
                    </w:rPr>
                  </w:pPr>
                  <w:r>
                    <w:rPr>
                      <w:color w:val="auto"/>
                    </w:rPr>
                    <w:t>废水量</w:t>
                  </w:r>
                  <w:r>
                    <w:rPr>
                      <w:rFonts w:hint="eastAsia"/>
                      <w:color w:val="auto"/>
                      <w:lang w:val="en-US" w:eastAsia="zh-CN"/>
                    </w:rPr>
                    <w:t>m³</w:t>
                  </w:r>
                  <w:r>
                    <w:rPr>
                      <w:color w:val="auto"/>
                    </w:rPr>
                    <w:t>/a</w:t>
                  </w:r>
                </w:p>
              </w:tc>
              <w:tc>
                <w:tcPr>
                  <w:tcW w:w="463" w:type="pct"/>
                  <w:vAlign w:val="center"/>
                </w:tcPr>
                <w:p>
                  <w:pPr>
                    <w:pStyle w:val="23"/>
                    <w:bidi w:val="0"/>
                    <w:rPr>
                      <w:color w:val="auto"/>
                    </w:rPr>
                  </w:pPr>
                  <w:r>
                    <w:rPr>
                      <w:color w:val="auto"/>
                    </w:rPr>
                    <w:t>污染物种类</w:t>
                  </w:r>
                </w:p>
              </w:tc>
              <w:tc>
                <w:tcPr>
                  <w:tcW w:w="532" w:type="pct"/>
                  <w:vAlign w:val="center"/>
                </w:tcPr>
                <w:p>
                  <w:pPr>
                    <w:pStyle w:val="23"/>
                    <w:bidi w:val="0"/>
                    <w:rPr>
                      <w:color w:val="auto"/>
                    </w:rPr>
                  </w:pPr>
                  <w:r>
                    <w:rPr>
                      <w:color w:val="auto"/>
                    </w:rPr>
                    <w:t>产生浓度mg/L</w:t>
                  </w:r>
                </w:p>
              </w:tc>
              <w:tc>
                <w:tcPr>
                  <w:tcW w:w="452" w:type="pct"/>
                  <w:vAlign w:val="center"/>
                </w:tcPr>
                <w:p>
                  <w:pPr>
                    <w:pStyle w:val="23"/>
                    <w:bidi w:val="0"/>
                    <w:rPr>
                      <w:color w:val="auto"/>
                    </w:rPr>
                  </w:pPr>
                  <w:r>
                    <w:rPr>
                      <w:color w:val="auto"/>
                    </w:rPr>
                    <w:t>产生量t/a</w:t>
                  </w:r>
                </w:p>
              </w:tc>
              <w:tc>
                <w:tcPr>
                  <w:tcW w:w="598" w:type="pct"/>
                  <w:vAlign w:val="center"/>
                </w:tcPr>
                <w:p>
                  <w:pPr>
                    <w:pStyle w:val="23"/>
                    <w:bidi w:val="0"/>
                    <w:rPr>
                      <w:color w:val="auto"/>
                    </w:rPr>
                  </w:pPr>
                  <w:r>
                    <w:rPr>
                      <w:color w:val="auto"/>
                    </w:rPr>
                    <w:t>治理措施</w:t>
                  </w:r>
                </w:p>
              </w:tc>
              <w:tc>
                <w:tcPr>
                  <w:tcW w:w="363" w:type="pct"/>
                  <w:vAlign w:val="center"/>
                </w:tcPr>
                <w:p>
                  <w:pPr>
                    <w:pStyle w:val="23"/>
                    <w:bidi w:val="0"/>
                    <w:rPr>
                      <w:color w:val="auto"/>
                    </w:rPr>
                  </w:pPr>
                  <w:r>
                    <w:rPr>
                      <w:color w:val="auto"/>
                    </w:rPr>
                    <w:t>去除率%</w:t>
                  </w:r>
                </w:p>
              </w:tc>
              <w:tc>
                <w:tcPr>
                  <w:tcW w:w="457" w:type="pct"/>
                  <w:vAlign w:val="center"/>
                </w:tcPr>
                <w:p>
                  <w:pPr>
                    <w:pStyle w:val="23"/>
                    <w:bidi w:val="0"/>
                    <w:rPr>
                      <w:color w:val="auto"/>
                    </w:rPr>
                  </w:pPr>
                  <w:r>
                    <w:rPr>
                      <w:color w:val="auto"/>
                    </w:rPr>
                    <w:t>排放浓度mg/L</w:t>
                  </w:r>
                </w:p>
              </w:tc>
              <w:tc>
                <w:tcPr>
                  <w:tcW w:w="500" w:type="pct"/>
                  <w:vAlign w:val="center"/>
                </w:tcPr>
                <w:p>
                  <w:pPr>
                    <w:pStyle w:val="23"/>
                    <w:bidi w:val="0"/>
                    <w:rPr>
                      <w:color w:val="auto"/>
                    </w:rPr>
                  </w:pPr>
                  <w:r>
                    <w:rPr>
                      <w:color w:val="auto"/>
                    </w:rPr>
                    <w:t>排放量t/a</w:t>
                  </w:r>
                </w:p>
              </w:tc>
              <w:tc>
                <w:tcPr>
                  <w:tcW w:w="809" w:type="pct"/>
                  <w:vAlign w:val="center"/>
                </w:tcPr>
                <w:p>
                  <w:pPr>
                    <w:pStyle w:val="23"/>
                    <w:bidi w:val="0"/>
                    <w:rPr>
                      <w:color w:val="auto"/>
                    </w:rPr>
                  </w:pPr>
                  <w:r>
                    <w:rPr>
                      <w:color w:val="auto"/>
                    </w:rPr>
                    <w:t>排放标准</w:t>
                  </w:r>
                </w:p>
              </w:tc>
            </w:tr>
            <w:tr>
              <w:trPr>
                <w:trHeight w:val="214"/>
              </w:trPr>
              <w:tc>
                <w:tcPr>
                  <w:tcW w:w="248" w:type="pct"/>
                  <w:vMerge w:val="restart"/>
                  <w:vAlign w:val="center"/>
                </w:tcPr>
                <w:p>
                  <w:pPr>
                    <w:pStyle w:val="23"/>
                    <w:bidi w:val="0"/>
                    <w:rPr>
                      <w:color w:val="auto"/>
                    </w:rPr>
                  </w:pPr>
                  <w:r>
                    <w:rPr>
                      <w:color w:val="auto"/>
                    </w:rPr>
                    <w:t>综合废水</w:t>
                  </w:r>
                </w:p>
              </w:tc>
              <w:tc>
                <w:tcPr>
                  <w:tcW w:w="572" w:type="pct"/>
                  <w:vMerge w:val="restart"/>
                  <w:tcBorders>
                    <w:left w:val="single" w:sz="4" w:space="0" w:color="auto"/>
                  </w:tcBorders>
                  <w:vAlign w:val="center"/>
                </w:tcPr>
                <w:p>
                  <w:pPr>
                    <w:pStyle w:val="23"/>
                    <w:bidi w:val="0"/>
                    <w:rPr>
                      <w:color w:val="auto"/>
                    </w:rPr>
                  </w:pPr>
                  <w:r>
                    <w:rPr>
                      <w:rFonts w:hint="eastAsia"/>
                      <w:color w:val="auto"/>
                      <w:lang w:val="en-US" w:eastAsia="zh-CN"/>
                    </w:rPr>
                    <w:t>21220.68</w:t>
                  </w:r>
                </w:p>
              </w:tc>
              <w:tc>
                <w:tcPr>
                  <w:tcW w:w="46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pH</w:t>
                  </w:r>
                </w:p>
              </w:tc>
              <w:tc>
                <w:tcPr>
                  <w:tcW w:w="532"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6-9</w:t>
                  </w:r>
                </w:p>
              </w:tc>
              <w:tc>
                <w:tcPr>
                  <w:tcW w:w="452" w:type="pct"/>
                  <w:tcBorders>
                    <w:left w:val="single" w:sz="4" w:space="0" w:color="auto"/>
                  </w:tcBorders>
                  <w:vAlign w:val="center"/>
                </w:tcPr>
                <w:p>
                  <w:pPr>
                    <w:pStyle w:val="23"/>
                    <w:bidi w:val="0"/>
                    <w:rPr>
                      <w:color w:val="auto"/>
                    </w:rPr>
                  </w:pPr>
                  <w:r>
                    <w:rPr>
                      <w:color w:val="auto"/>
                    </w:rPr>
                    <w:t>/</w:t>
                  </w:r>
                </w:p>
              </w:tc>
              <w:tc>
                <w:tcPr>
                  <w:tcW w:w="598" w:type="pct"/>
                  <w:vMerge w:val="restart"/>
                  <w:tcBorders>
                    <w:left w:val="single" w:sz="4" w:space="0" w:color="auto"/>
                  </w:tcBorders>
                  <w:vAlign w:val="center"/>
                </w:tcPr>
                <w:p>
                  <w:pPr>
                    <w:pStyle w:val="23"/>
                    <w:bidi w:val="0"/>
                    <w:rPr>
                      <w:rFonts w:eastAsia="宋体"/>
                      <w:color w:val="auto"/>
                      <w:lang w:val="en-US" w:eastAsia="zh-CN"/>
                      <w:highlight w:val="none"/>
                    </w:rPr>
                  </w:pPr>
                  <w:r>
                    <w:rPr>
                      <w:rFonts w:hint="eastAsia"/>
                      <w:color w:val="auto"/>
                      <w:lang w:val="en-US" w:eastAsia="zh-CN"/>
                      <w:highlight w:val="none"/>
                    </w:rPr>
                    <w:t>隔油-调节池-气浮-水解池-厌氧池-好氧池-沉淀池-好氧池-二级沉淀-斜管沉淀池</w:t>
                  </w:r>
                </w:p>
              </w:tc>
              <w:tc>
                <w:tcPr>
                  <w:tcW w:w="363" w:type="pct"/>
                  <w:tcBorders>
                    <w:left w:val="single" w:sz="4" w:space="0" w:color="auto"/>
                  </w:tcBorders>
                  <w:vAlign w:val="center"/>
                </w:tcPr>
                <w:p>
                  <w:pPr>
                    <w:pStyle w:val="23"/>
                    <w:bidi w:val="0"/>
                    <w:rPr>
                      <w:color w:val="auto"/>
                    </w:rPr>
                  </w:pPr>
                  <w:r>
                    <w:rPr>
                      <w:color w:val="auto"/>
                    </w:rPr>
                    <w:t>/</w:t>
                  </w:r>
                </w:p>
              </w:tc>
              <w:tc>
                <w:tcPr>
                  <w:tcW w:w="457" w:type="pct"/>
                  <w:tcBorders>
                    <w:left w:val="single" w:sz="4" w:space="0" w:color="auto"/>
                  </w:tcBorders>
                  <w:vAlign w:val="center"/>
                </w:tcPr>
                <w:p>
                  <w:pPr>
                    <w:pStyle w:val="23"/>
                    <w:bidi w:val="0"/>
                    <w:rPr>
                      <w:color w:val="auto"/>
                    </w:rPr>
                  </w:pPr>
                  <w:r>
                    <w:rPr>
                      <w:rFonts w:hint="eastAsia"/>
                      <w:color w:val="auto"/>
                      <w:lang w:val="en-US" w:eastAsia="zh-CN"/>
                    </w:rPr>
                    <w:t>6-9</w:t>
                  </w:r>
                </w:p>
              </w:tc>
              <w:tc>
                <w:tcPr>
                  <w:tcW w:w="500" w:type="pc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w:t>
                  </w:r>
                </w:p>
              </w:tc>
              <w:tc>
                <w:tcPr>
                  <w:tcW w:w="809" w:type="pct"/>
                  <w:vMerge w:val="restart"/>
                  <w:tcBorders>
                    <w:left w:val="single" w:sz="4" w:space="0" w:color="auto"/>
                  </w:tcBorders>
                  <w:vAlign w:val="center"/>
                </w:tcPr>
                <w:p>
                  <w:pPr>
                    <w:pStyle w:val="23"/>
                    <w:bidi w:val="0"/>
                    <w:rPr>
                      <w:color w:val="auto"/>
                    </w:rPr>
                  </w:pPr>
                  <w:r>
                    <w:rPr>
                      <w:rFonts w:hint="eastAsia"/>
                      <w:color w:val="auto"/>
                    </w:rPr>
                    <w:t>《污水综合排放标准》（GB8978-1996）中表4三级标准</w:t>
                  </w:r>
                  <w:r>
                    <w:rPr>
                      <w:color w:val="auto"/>
                    </w:rPr>
                    <w:t>，同时满足与</w:t>
                  </w:r>
                  <w:r>
                    <w:rPr>
                      <w:rFonts w:hint="eastAsia"/>
                      <w:color w:val="auto"/>
                    </w:rPr>
                    <w:t>德威华泰石家庄市栾城水务有限公司</w:t>
                  </w:r>
                  <w:r>
                    <w:rPr>
                      <w:color w:val="auto"/>
                    </w:rPr>
                    <w:t>协议进水水质标准</w:t>
                  </w:r>
                </w:p>
              </w:tc>
            </w:tr>
            <w:tr>
              <w:tc>
                <w:tcPr>
                  <w:tcW w:w="248" w:type="pct"/>
                  <w:vMerge/>
                  <w:vAlign w:val="center"/>
                </w:tcPr>
                <w:p/>
              </w:tc>
              <w:tc>
                <w:tcPr>
                  <w:tcW w:w="572" w:type="pct"/>
                  <w:vMerge/>
                  <w:tcBorders>
                    <w:left w:val="single" w:sz="4" w:space="0" w:color="auto"/>
                  </w:tcBorders>
                  <w:vAlign w:val="center"/>
                </w:tcPr>
                <w:p/>
              </w:tc>
              <w:tc>
                <w:tcPr>
                  <w:tcW w:w="46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COD</w:t>
                  </w:r>
                </w:p>
              </w:tc>
              <w:tc>
                <w:tcPr>
                  <w:tcW w:w="53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2449.86</w:t>
                  </w:r>
                </w:p>
              </w:tc>
              <w:tc>
                <w:tcPr>
                  <w:tcW w:w="45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51.988</w:t>
                  </w:r>
                </w:p>
              </w:tc>
              <w:tc>
                <w:tcPr>
                  <w:tcW w:w="598" w:type="pct"/>
                  <w:vMerge/>
                  <w:tcBorders>
                    <w:left w:val="single" w:sz="4" w:space="0" w:color="auto"/>
                  </w:tcBorders>
                  <w:vAlign w:val="center"/>
                </w:tcPr>
                <w:p/>
              </w:tc>
              <w:tc>
                <w:tcPr>
                  <w:tcW w:w="363"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95</w:t>
                  </w:r>
                </w:p>
              </w:tc>
              <w:tc>
                <w:tcPr>
                  <w:tcW w:w="457" w:type="pct"/>
                  <w:tcBorders>
                    <w:left w:val="single" w:sz="4" w:space="0" w:color="auto"/>
                  </w:tcBorders>
                  <w:shd w:val="clear" w:color="auto" w:fill="auto"/>
                  <w:vAlign w:val="center"/>
                </w:tcPr>
                <w:p>
                  <w:pPr>
                    <w:pStyle w:val="23"/>
                    <w:bidi w:val="0"/>
                    <w:rPr>
                      <w:lang w:val="en-US" w:eastAsia="zh-CN"/>
                    </w:rPr>
                  </w:pPr>
                  <w:r>
                    <w:rPr>
                      <w:rFonts w:hint="eastAsia"/>
                      <w:lang w:val="en-US" w:eastAsia="zh-CN"/>
                    </w:rPr>
                    <w:t>122.49</w:t>
                  </w:r>
                </w:p>
              </w:tc>
              <w:tc>
                <w:tcPr>
                  <w:tcW w:w="500" w:type="pct"/>
                  <w:tcBorders>
                    <w:left w:val="single" w:sz="4" w:space="0" w:color="auto"/>
                  </w:tcBorders>
                  <w:shd w:val="clear" w:color="auto" w:fill="auto"/>
                  <w:vAlign w:val="center"/>
                </w:tcPr>
                <w:p>
                  <w:pPr>
                    <w:pStyle w:val="23"/>
                    <w:bidi w:val="0"/>
                    <w:rPr>
                      <w:lang w:val="en-US" w:eastAsia="zh-CN"/>
                    </w:rPr>
                  </w:pPr>
                  <w:r>
                    <w:rPr>
                      <w:rFonts w:hint="eastAsia"/>
                      <w:lang w:val="en-US" w:eastAsia="zh-CN"/>
                    </w:rPr>
                    <w:t>2.599</w:t>
                  </w:r>
                </w:p>
              </w:tc>
              <w:tc>
                <w:tcPr>
                  <w:tcW w:w="809" w:type="pct"/>
                  <w:vMerge/>
                  <w:tcBorders>
                    <w:left w:val="single" w:sz="4" w:space="0" w:color="auto"/>
                  </w:tcBorders>
                  <w:vAlign w:val="center"/>
                </w:tcPr>
                <w:p/>
              </w:tc>
            </w:tr>
            <w:tr>
              <w:tc>
                <w:tcPr>
                  <w:tcW w:w="248" w:type="pct"/>
                  <w:vMerge/>
                  <w:vAlign w:val="center"/>
                </w:tcPr>
                <w:p/>
              </w:tc>
              <w:tc>
                <w:tcPr>
                  <w:tcW w:w="572" w:type="pct"/>
                  <w:vMerge/>
                  <w:tcBorders>
                    <w:left w:val="single" w:sz="4" w:space="0" w:color="auto"/>
                  </w:tcBorders>
                  <w:vAlign w:val="center"/>
                </w:tcPr>
                <w:p/>
              </w:tc>
              <w:tc>
                <w:tcPr>
                  <w:tcW w:w="46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BOD</w:t>
                  </w:r>
                  <w:r>
                    <w:rPr>
                      <w:color w:val="auto"/>
                      <w:vertAlign w:val="subscript"/>
                    </w:rPr>
                    <w:t>5</w:t>
                  </w:r>
                </w:p>
              </w:tc>
              <w:tc>
                <w:tcPr>
                  <w:tcW w:w="53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2304.97</w:t>
                  </w:r>
                </w:p>
              </w:tc>
              <w:tc>
                <w:tcPr>
                  <w:tcW w:w="45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48.913</w:t>
                  </w:r>
                </w:p>
              </w:tc>
              <w:tc>
                <w:tcPr>
                  <w:tcW w:w="598" w:type="pct"/>
                  <w:vMerge/>
                  <w:tcBorders>
                    <w:left w:val="single" w:sz="4" w:space="0" w:color="auto"/>
                  </w:tcBorders>
                  <w:vAlign w:val="center"/>
                </w:tcPr>
                <w:p/>
              </w:tc>
              <w:tc>
                <w:tcPr>
                  <w:tcW w:w="363" w:type="pct"/>
                  <w:tcBorders>
                    <w:left w:val="single" w:sz="4" w:space="0" w:color="auto"/>
                  </w:tcBorders>
                  <w:vAlign w:val="center"/>
                </w:tcPr>
                <w:p>
                  <w:pPr>
                    <w:pStyle w:val="23"/>
                    <w:bidi w:val="0"/>
                    <w:rPr>
                      <w:color w:val="auto"/>
                    </w:rPr>
                  </w:pPr>
                  <w:r>
                    <w:rPr>
                      <w:rFonts w:hint="eastAsia"/>
                      <w:color w:val="auto"/>
                    </w:rPr>
                    <w:t>90</w:t>
                  </w:r>
                </w:p>
              </w:tc>
              <w:tc>
                <w:tcPr>
                  <w:tcW w:w="457"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230.50</w:t>
                  </w:r>
                </w:p>
              </w:tc>
              <w:tc>
                <w:tcPr>
                  <w:tcW w:w="500"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4.891</w:t>
                  </w:r>
                </w:p>
              </w:tc>
              <w:tc>
                <w:tcPr>
                  <w:tcW w:w="809" w:type="pct"/>
                  <w:vMerge/>
                  <w:tcBorders>
                    <w:left w:val="single" w:sz="4" w:space="0" w:color="auto"/>
                  </w:tcBorders>
                  <w:vAlign w:val="center"/>
                </w:tcPr>
                <w:p/>
              </w:tc>
            </w:tr>
            <w:tr>
              <w:tc>
                <w:tcPr>
                  <w:tcW w:w="248" w:type="pct"/>
                  <w:vMerge/>
                  <w:vAlign w:val="center"/>
                </w:tcPr>
                <w:p/>
              </w:tc>
              <w:tc>
                <w:tcPr>
                  <w:tcW w:w="572" w:type="pct"/>
                  <w:vMerge/>
                  <w:tcBorders>
                    <w:left w:val="single" w:sz="4" w:space="0" w:color="auto"/>
                  </w:tcBorders>
                  <w:vAlign w:val="center"/>
                </w:tcPr>
                <w:p/>
              </w:tc>
              <w:tc>
                <w:tcPr>
                  <w:tcW w:w="46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SS</w:t>
                  </w:r>
                </w:p>
              </w:tc>
              <w:tc>
                <w:tcPr>
                  <w:tcW w:w="53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245.76</w:t>
                  </w:r>
                </w:p>
              </w:tc>
              <w:tc>
                <w:tcPr>
                  <w:tcW w:w="45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5.215</w:t>
                  </w:r>
                </w:p>
              </w:tc>
              <w:tc>
                <w:tcPr>
                  <w:tcW w:w="598" w:type="pct"/>
                  <w:vMerge/>
                  <w:tcBorders>
                    <w:left w:val="single" w:sz="4" w:space="0" w:color="auto"/>
                  </w:tcBorders>
                  <w:vAlign w:val="center"/>
                </w:tcPr>
                <w:p/>
              </w:tc>
              <w:tc>
                <w:tcPr>
                  <w:tcW w:w="363" w:type="pct"/>
                  <w:tcBorders>
                    <w:left w:val="single" w:sz="4" w:space="0" w:color="auto"/>
                  </w:tcBorders>
                  <w:vAlign w:val="center"/>
                </w:tcPr>
                <w:p>
                  <w:pPr>
                    <w:pStyle w:val="23"/>
                    <w:bidi w:val="0"/>
                    <w:rPr>
                      <w:color w:val="auto"/>
                    </w:rPr>
                  </w:pPr>
                  <w:r>
                    <w:rPr>
                      <w:color w:val="auto"/>
                    </w:rPr>
                    <w:t>8</w:t>
                  </w:r>
                  <w:r>
                    <w:rPr>
                      <w:rFonts w:hint="eastAsia"/>
                      <w:color w:val="auto"/>
                    </w:rPr>
                    <w:t>0</w:t>
                  </w:r>
                </w:p>
              </w:tc>
              <w:tc>
                <w:tcPr>
                  <w:tcW w:w="457"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49.15</w:t>
                  </w:r>
                </w:p>
              </w:tc>
              <w:tc>
                <w:tcPr>
                  <w:tcW w:w="500"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1.043</w:t>
                  </w:r>
                </w:p>
              </w:tc>
              <w:tc>
                <w:tcPr>
                  <w:tcW w:w="809" w:type="pct"/>
                  <w:vMerge/>
                  <w:tcBorders>
                    <w:left w:val="single" w:sz="4" w:space="0" w:color="auto"/>
                  </w:tcBorders>
                  <w:vAlign w:val="center"/>
                </w:tcPr>
                <w:p/>
              </w:tc>
            </w:tr>
            <w:tr>
              <w:tc>
                <w:tcPr>
                  <w:tcW w:w="248" w:type="pct"/>
                  <w:vMerge/>
                  <w:vAlign w:val="center"/>
                </w:tcPr>
                <w:p/>
              </w:tc>
              <w:tc>
                <w:tcPr>
                  <w:tcW w:w="572" w:type="pct"/>
                  <w:vMerge/>
                  <w:tcBorders>
                    <w:left w:val="single" w:sz="4" w:space="0" w:color="auto"/>
                  </w:tcBorders>
                  <w:vAlign w:val="center"/>
                </w:tcPr>
                <w:p/>
              </w:tc>
              <w:tc>
                <w:tcPr>
                  <w:tcW w:w="46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NH</w:t>
                  </w:r>
                  <w:r>
                    <w:rPr>
                      <w:color w:val="auto"/>
                      <w:vertAlign w:val="subscript"/>
                    </w:rPr>
                    <w:t>3</w:t>
                  </w:r>
                  <w:r>
                    <w:rPr>
                      <w:color w:val="auto"/>
                    </w:rPr>
                    <w:t>-N</w:t>
                  </w:r>
                </w:p>
              </w:tc>
              <w:tc>
                <w:tcPr>
                  <w:tcW w:w="53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5.38</w:t>
                  </w:r>
                </w:p>
              </w:tc>
              <w:tc>
                <w:tcPr>
                  <w:tcW w:w="45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0.114</w:t>
                  </w:r>
                </w:p>
              </w:tc>
              <w:tc>
                <w:tcPr>
                  <w:tcW w:w="598" w:type="pct"/>
                  <w:vMerge/>
                  <w:tcBorders>
                    <w:left w:val="single" w:sz="4" w:space="0" w:color="auto"/>
                  </w:tcBorders>
                  <w:vAlign w:val="center"/>
                </w:tcPr>
                <w:p/>
              </w:tc>
              <w:tc>
                <w:tcPr>
                  <w:tcW w:w="363"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80</w:t>
                  </w:r>
                </w:p>
              </w:tc>
              <w:tc>
                <w:tcPr>
                  <w:tcW w:w="457"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1.08</w:t>
                  </w:r>
                </w:p>
              </w:tc>
              <w:tc>
                <w:tcPr>
                  <w:tcW w:w="500"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0.023</w:t>
                  </w:r>
                </w:p>
              </w:tc>
              <w:tc>
                <w:tcPr>
                  <w:tcW w:w="809" w:type="pct"/>
                  <w:vMerge/>
                  <w:tcBorders>
                    <w:left w:val="single" w:sz="4" w:space="0" w:color="auto"/>
                  </w:tcBorders>
                  <w:vAlign w:val="center"/>
                </w:tcPr>
                <w:p/>
              </w:tc>
            </w:tr>
            <w:tr>
              <w:tc>
                <w:tcPr>
                  <w:tcW w:w="248" w:type="pct"/>
                  <w:vMerge/>
                  <w:vAlign w:val="center"/>
                </w:tcPr>
                <w:p/>
              </w:tc>
              <w:tc>
                <w:tcPr>
                  <w:tcW w:w="572" w:type="pct"/>
                  <w:vMerge/>
                  <w:tcBorders>
                    <w:left w:val="single" w:sz="4" w:space="0" w:color="auto"/>
                  </w:tcBorders>
                  <w:vAlign w:val="center"/>
                </w:tcPr>
                <w:p/>
              </w:tc>
              <w:tc>
                <w:tcPr>
                  <w:tcW w:w="46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TN</w:t>
                  </w:r>
                </w:p>
              </w:tc>
              <w:tc>
                <w:tcPr>
                  <w:tcW w:w="53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9.06</w:t>
                  </w:r>
                </w:p>
              </w:tc>
              <w:tc>
                <w:tcPr>
                  <w:tcW w:w="45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0.192</w:t>
                  </w:r>
                </w:p>
              </w:tc>
              <w:tc>
                <w:tcPr>
                  <w:tcW w:w="598" w:type="pct"/>
                  <w:vMerge/>
                  <w:tcBorders>
                    <w:left w:val="single" w:sz="4" w:space="0" w:color="auto"/>
                  </w:tcBorders>
                  <w:vAlign w:val="center"/>
                </w:tcPr>
                <w:p/>
              </w:tc>
              <w:tc>
                <w:tcPr>
                  <w:tcW w:w="363"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80</w:t>
                  </w:r>
                </w:p>
              </w:tc>
              <w:tc>
                <w:tcPr>
                  <w:tcW w:w="457"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1.81</w:t>
                  </w:r>
                </w:p>
              </w:tc>
              <w:tc>
                <w:tcPr>
                  <w:tcW w:w="500"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0.038</w:t>
                  </w:r>
                </w:p>
              </w:tc>
              <w:tc>
                <w:tcPr>
                  <w:tcW w:w="809" w:type="pct"/>
                  <w:vMerge/>
                  <w:tcBorders>
                    <w:left w:val="single" w:sz="4" w:space="0" w:color="auto"/>
                  </w:tcBorders>
                  <w:vAlign w:val="center"/>
                </w:tcPr>
                <w:p/>
              </w:tc>
            </w:tr>
            <w:tr>
              <w:tc>
                <w:tcPr>
                  <w:tcW w:w="248" w:type="pct"/>
                  <w:vMerge/>
                  <w:vAlign w:val="center"/>
                </w:tcPr>
                <w:p/>
              </w:tc>
              <w:tc>
                <w:tcPr>
                  <w:tcW w:w="572" w:type="pct"/>
                  <w:vMerge/>
                  <w:tcBorders>
                    <w:left w:val="single" w:sz="4" w:space="0" w:color="auto"/>
                  </w:tcBorders>
                  <w:vAlign w:val="center"/>
                </w:tcPr>
                <w:p/>
              </w:tc>
              <w:tc>
                <w:tcPr>
                  <w:tcW w:w="46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TP</w:t>
                  </w:r>
                </w:p>
              </w:tc>
              <w:tc>
                <w:tcPr>
                  <w:tcW w:w="53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0.34</w:t>
                  </w:r>
                </w:p>
              </w:tc>
              <w:tc>
                <w:tcPr>
                  <w:tcW w:w="45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0.007</w:t>
                  </w:r>
                </w:p>
              </w:tc>
              <w:tc>
                <w:tcPr>
                  <w:tcW w:w="598" w:type="pct"/>
                  <w:vMerge/>
                  <w:tcBorders>
                    <w:left w:val="single" w:sz="4" w:space="0" w:color="auto"/>
                  </w:tcBorders>
                  <w:vAlign w:val="center"/>
                </w:tcPr>
                <w:p/>
              </w:tc>
              <w:tc>
                <w:tcPr>
                  <w:tcW w:w="363"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60</w:t>
                  </w:r>
                </w:p>
              </w:tc>
              <w:tc>
                <w:tcPr>
                  <w:tcW w:w="457"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0.14</w:t>
                  </w:r>
                </w:p>
              </w:tc>
              <w:tc>
                <w:tcPr>
                  <w:tcW w:w="500"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0.003</w:t>
                  </w:r>
                </w:p>
              </w:tc>
              <w:tc>
                <w:tcPr>
                  <w:tcW w:w="809" w:type="pct"/>
                  <w:vMerge/>
                  <w:tcBorders>
                    <w:left w:val="single" w:sz="4" w:space="0" w:color="auto"/>
                  </w:tcBorders>
                  <w:vAlign w:val="center"/>
                </w:tcPr>
                <w:p/>
              </w:tc>
            </w:tr>
            <w:tr>
              <w:tc>
                <w:tcPr>
                  <w:tcW w:w="248" w:type="pct"/>
                  <w:vMerge/>
                  <w:vAlign w:val="center"/>
                </w:tcPr>
                <w:p/>
              </w:tc>
              <w:tc>
                <w:tcPr>
                  <w:tcW w:w="572" w:type="pct"/>
                  <w:vMerge/>
                  <w:tcBorders>
                    <w:left w:val="single" w:sz="4" w:space="0" w:color="auto"/>
                  </w:tcBorders>
                  <w:vAlign w:val="center"/>
                </w:tcPr>
                <w:p/>
              </w:tc>
              <w:tc>
                <w:tcPr>
                  <w:tcW w:w="46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动植物油</w:t>
                  </w:r>
                </w:p>
              </w:tc>
              <w:tc>
                <w:tcPr>
                  <w:tcW w:w="532"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80.22</w:t>
                  </w:r>
                </w:p>
              </w:tc>
              <w:tc>
                <w:tcPr>
                  <w:tcW w:w="452" w:type="pct"/>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rFonts w:hint="eastAsia"/>
                      <w:color w:val="auto"/>
                      <w:lang w:val="en-US" w:eastAsia="zh-CN"/>
                    </w:rPr>
                    <w:t>1.702</w:t>
                  </w:r>
                </w:p>
              </w:tc>
              <w:tc>
                <w:tcPr>
                  <w:tcW w:w="598" w:type="pct"/>
                  <w:vMerge/>
                  <w:tcBorders>
                    <w:left w:val="single" w:sz="4" w:space="0" w:color="auto"/>
                  </w:tcBorders>
                  <w:vAlign w:val="center"/>
                </w:tcPr>
                <w:p/>
              </w:tc>
              <w:tc>
                <w:tcPr>
                  <w:tcW w:w="363"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85</w:t>
                  </w:r>
                </w:p>
              </w:tc>
              <w:tc>
                <w:tcPr>
                  <w:tcW w:w="457" w:type="pct"/>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12.03</w:t>
                  </w:r>
                </w:p>
              </w:tc>
              <w:tc>
                <w:tcPr>
                  <w:tcW w:w="500" w:type="pct"/>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0.255</w:t>
                  </w:r>
                </w:p>
              </w:tc>
              <w:tc>
                <w:tcPr>
                  <w:tcW w:w="809" w:type="pct"/>
                  <w:vMerge/>
                  <w:tcBorders>
                    <w:left w:val="single" w:sz="4" w:space="0" w:color="auto"/>
                  </w:tcBorders>
                  <w:vAlign w:val="center"/>
                </w:tcPr>
                <w:p/>
              </w:tc>
            </w:tr>
            <w:tr>
              <w:tc>
                <w:tcPr>
                  <w:tcW w:w="248" w:type="pct"/>
                  <w:vMerge/>
                  <w:vAlign w:val="center"/>
                </w:tcPr>
                <w:p/>
              </w:tc>
              <w:tc>
                <w:tcPr>
                  <w:tcW w:w="572" w:type="pct"/>
                  <w:vMerge/>
                  <w:tcBorders>
                    <w:left w:val="single" w:sz="4" w:space="0" w:color="auto"/>
                  </w:tcBorders>
                  <w:vAlign w:val="center"/>
                </w:tcPr>
                <w:p/>
              </w:tc>
              <w:tc>
                <w:tcPr>
                  <w:tcW w:w="463" w:type="pct"/>
                  <w:tcBorders>
                    <w:left w:val="single" w:sz="4" w:space="0" w:color="auto"/>
                  </w:tcBorders>
                  <w:shd w:val="clear" w:color="auto" w:fill="auto"/>
                  <w:vAlign w:val="center"/>
                </w:tcPr>
                <w:p>
                  <w:pPr>
                    <w:pStyle w:val="23"/>
                    <w:bidi w:val="0"/>
                    <w:ind w:firstLine="0"/>
                    <w:rPr>
                      <w:color w:val="auto"/>
                      <w:lang w:val="en-US" w:eastAsia="zh-CN"/>
                    </w:rPr>
                  </w:pPr>
                  <w:r>
                    <w:rPr>
                      <w:rFonts w:hint="eastAsia"/>
                      <w:color w:val="auto"/>
                      <w:lang w:val="en-US" w:eastAsia="zh-CN"/>
                    </w:rPr>
                    <w:t>色度</w:t>
                  </w:r>
                </w:p>
              </w:tc>
              <w:tc>
                <w:tcPr>
                  <w:tcW w:w="532" w:type="pct"/>
                  <w:tcBorders>
                    <w:left w:val="single" w:sz="4" w:space="0" w:color="auto"/>
                  </w:tcBorders>
                  <w:vAlign w:val="center"/>
                </w:tcPr>
                <w:p>
                  <w:pPr>
                    <w:pStyle w:val="23"/>
                    <w:bidi w:val="0"/>
                    <w:rPr>
                      <w:color w:val="auto"/>
                      <w:lang w:val="en-US" w:eastAsia="zh-CN"/>
                    </w:rPr>
                  </w:pPr>
                  <w:r>
                    <w:rPr>
                      <w:rFonts w:hint="eastAsia"/>
                      <w:color w:val="auto"/>
                      <w:lang w:val="en-US" w:eastAsia="zh-CN"/>
                    </w:rPr>
                    <w:t>10倍</w:t>
                  </w:r>
                </w:p>
              </w:tc>
              <w:tc>
                <w:tcPr>
                  <w:tcW w:w="452" w:type="pct"/>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w:t>
                  </w:r>
                </w:p>
              </w:tc>
              <w:tc>
                <w:tcPr>
                  <w:tcW w:w="598" w:type="pct"/>
                  <w:vMerge/>
                  <w:tcBorders>
                    <w:left w:val="single" w:sz="4" w:space="0" w:color="auto"/>
                  </w:tcBorders>
                  <w:vAlign w:val="center"/>
                </w:tcPr>
                <w:p/>
              </w:tc>
              <w:tc>
                <w:tcPr>
                  <w:tcW w:w="363" w:type="pct"/>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457" w:type="pct"/>
                  <w:tcBorders>
                    <w:left w:val="single" w:sz="4" w:space="0" w:color="auto"/>
                  </w:tcBorders>
                  <w:vAlign w:val="center"/>
                </w:tcPr>
                <w:p>
                  <w:pPr>
                    <w:pStyle w:val="23"/>
                    <w:bidi w:val="0"/>
                    <w:rPr>
                      <w:color w:val="auto"/>
                      <w:lang w:val="en-US" w:eastAsia="zh-CN"/>
                    </w:rPr>
                  </w:pPr>
                  <w:r>
                    <w:rPr>
                      <w:rFonts w:hint="eastAsia"/>
                      <w:color w:val="auto"/>
                      <w:lang w:val="en-US" w:eastAsia="zh-CN"/>
                    </w:rPr>
                    <w:t>10倍</w:t>
                  </w:r>
                </w:p>
              </w:tc>
              <w:tc>
                <w:tcPr>
                  <w:tcW w:w="500" w:type="pct"/>
                  <w:tcBorders>
                    <w:left w:val="single" w:sz="4" w:space="0" w:color="auto"/>
                  </w:tcBorders>
                  <w:vAlign w:val="center"/>
                </w:tcPr>
                <w:p>
                  <w:pPr>
                    <w:pStyle w:val="23"/>
                    <w:bidi w:val="0"/>
                    <w:rPr>
                      <w:color w:val="auto"/>
                      <w:lang w:val="en-US" w:eastAsia="zh-CN"/>
                    </w:rPr>
                  </w:pPr>
                  <w:r>
                    <w:rPr>
                      <w:rFonts w:hint="eastAsia"/>
                      <w:color w:val="auto"/>
                      <w:lang w:val="en-US" w:eastAsia="zh-CN"/>
                    </w:rPr>
                    <w:t>/</w:t>
                  </w:r>
                </w:p>
              </w:tc>
              <w:tc>
                <w:tcPr>
                  <w:tcW w:w="809" w:type="pct"/>
                  <w:vMerge/>
                  <w:tcBorders>
                    <w:left w:val="single" w:sz="4" w:space="0" w:color="auto"/>
                  </w:tcBorders>
                  <w:vAlign w:val="center"/>
                </w:tcPr>
                <w:p/>
              </w:tc>
            </w:tr>
          </w:tbl>
          <w:p>
            <w:pPr>
              <w:pStyle w:val="24"/>
              <w:bidi w:val="0"/>
              <w:rPr>
                <w:color w:val="auto"/>
              </w:rPr>
            </w:pPr>
          </w:p>
          <w:p>
            <w:pPr>
              <w:pStyle w:val="24"/>
              <w:bidi w:val="0"/>
              <w:rPr>
                <w:color w:val="auto"/>
              </w:rPr>
            </w:pPr>
            <w:r>
              <w:rPr>
                <w:color w:val="auto"/>
              </w:rPr>
              <w:t>表4-</w:t>
            </w:r>
            <w:r>
              <w:rPr>
                <w:rFonts w:hint="eastAsia"/>
                <w:color w:val="auto"/>
              </w:rPr>
              <w:t>1</w:t>
            </w:r>
            <w:r>
              <w:rPr>
                <w:rFonts w:hint="eastAsia"/>
                <w:color w:val="auto"/>
                <w:lang w:val="en-US" w:eastAsia="zh-CN"/>
              </w:rPr>
              <w:t>2</w:t>
            </w:r>
            <w:r>
              <w:rPr>
                <w:rFonts w:hint="eastAsia"/>
                <w:color w:val="auto"/>
              </w:rPr>
              <w:t xml:space="preserve">  </w:t>
            </w:r>
            <w:r>
              <w:rPr>
                <w:color w:val="auto"/>
              </w:rPr>
              <w:t>废水间接排放口基本情况表</w:t>
            </w:r>
          </w:p>
          <w:tbl>
            <w:tblPr>
              <w:jc w:val="left"/>
              <w:tblInd w:w="0" w:type="dxa"/>
              <w:tblW w:w="5000"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top w:w="0" w:type="dxa"/>
                <w:left w:w="108" w:type="dxa"/>
                <w:bottom w:w="0" w:type="dxa"/>
                <w:right w:w="108" w:type="dxa"/>
              </w:tblCellMar>
              <w:tblLook w:val="0600" w:firstRow="0" w:lastRow="0" w:firstColumn="0" w:lastColumn="0" w:noHBand="1" w:noVBand="1"/>
            </w:tblPr>
            <w:tblGrid>
              <w:gridCol w:w="837"/>
              <w:gridCol w:w="893"/>
              <w:gridCol w:w="1010"/>
              <w:gridCol w:w="1025"/>
              <w:gridCol w:w="979"/>
              <w:gridCol w:w="775"/>
              <w:gridCol w:w="403"/>
              <w:gridCol w:w="704"/>
              <w:gridCol w:w="768"/>
              <w:gridCol w:w="1038"/>
            </w:tblGrid>
            <w:tr>
              <w:trPr>
                <w:trHeight w:val="340"/>
              </w:trPr>
              <w:tc>
                <w:tcPr>
                  <w:tcW w:w="496" w:type="pct"/>
                  <w:vMerge w:val="restart"/>
                  <w:tcBorders>
                    <w:tl2br w:val="nil"/>
                    <w:tr2bl w:val="nil"/>
                  </w:tcBorders>
                  <w:vAlign w:val="center"/>
                </w:tcPr>
                <w:p>
                  <w:pPr>
                    <w:pStyle w:val="23"/>
                    <w:bidi w:val="0"/>
                    <w:rPr>
                      <w:color w:val="auto"/>
                    </w:rPr>
                  </w:pPr>
                  <w:r>
                    <w:rPr>
                      <w:color w:val="auto"/>
                    </w:rPr>
                    <w:t>排放口编号</w:t>
                  </w:r>
                </w:p>
              </w:tc>
              <w:tc>
                <w:tcPr>
                  <w:tcW w:w="1127" w:type="pct"/>
                  <w:gridSpan w:val="2"/>
                  <w:tcBorders>
                    <w:tl2br w:val="nil"/>
                    <w:tr2bl w:val="nil"/>
                  </w:tcBorders>
                  <w:vAlign w:val="center"/>
                </w:tcPr>
                <w:p>
                  <w:pPr>
                    <w:pStyle w:val="23"/>
                    <w:bidi w:val="0"/>
                    <w:rPr>
                      <w:color w:val="auto"/>
                    </w:rPr>
                  </w:pPr>
                  <w:r>
                    <w:rPr>
                      <w:color w:val="auto"/>
                    </w:rPr>
                    <w:t>排放口地理坐标（a）</w:t>
                  </w:r>
                </w:p>
              </w:tc>
              <w:tc>
                <w:tcPr>
                  <w:tcW w:w="607" w:type="pct"/>
                  <w:vMerge w:val="restart"/>
                  <w:tcBorders>
                    <w:tl2br w:val="nil"/>
                    <w:tr2bl w:val="nil"/>
                  </w:tcBorders>
                  <w:vAlign w:val="center"/>
                </w:tcPr>
                <w:p>
                  <w:pPr>
                    <w:pStyle w:val="23"/>
                    <w:bidi w:val="0"/>
                    <w:rPr>
                      <w:color w:val="auto"/>
                    </w:rPr>
                  </w:pPr>
                  <w:r>
                    <w:rPr>
                      <w:color w:val="auto"/>
                    </w:rPr>
                    <w:t>废水排放量（t/a）</w:t>
                  </w:r>
                </w:p>
              </w:tc>
              <w:tc>
                <w:tcPr>
                  <w:tcW w:w="580" w:type="pct"/>
                  <w:vMerge w:val="restart"/>
                  <w:tcBorders>
                    <w:tl2br w:val="nil"/>
                    <w:tr2bl w:val="nil"/>
                  </w:tcBorders>
                  <w:vAlign w:val="center"/>
                </w:tcPr>
                <w:p>
                  <w:pPr>
                    <w:pStyle w:val="23"/>
                    <w:bidi w:val="0"/>
                    <w:rPr>
                      <w:color w:val="auto"/>
                    </w:rPr>
                  </w:pPr>
                  <w:r>
                    <w:rPr>
                      <w:color w:val="auto"/>
                    </w:rPr>
                    <w:t>排放去向</w:t>
                  </w:r>
                </w:p>
              </w:tc>
              <w:tc>
                <w:tcPr>
                  <w:tcW w:w="459" w:type="pct"/>
                  <w:vMerge w:val="restart"/>
                  <w:tcBorders>
                    <w:tl2br w:val="nil"/>
                    <w:tr2bl w:val="nil"/>
                  </w:tcBorders>
                  <w:vAlign w:val="center"/>
                </w:tcPr>
                <w:p>
                  <w:pPr>
                    <w:pStyle w:val="23"/>
                    <w:bidi w:val="0"/>
                    <w:rPr>
                      <w:color w:val="auto"/>
                    </w:rPr>
                  </w:pPr>
                  <w:r>
                    <w:rPr>
                      <w:color w:val="auto"/>
                    </w:rPr>
                    <w:t>排放规律</w:t>
                  </w:r>
                </w:p>
              </w:tc>
              <w:tc>
                <w:tcPr>
                  <w:tcW w:w="239" w:type="pct"/>
                  <w:vMerge w:val="restart"/>
                  <w:tcBorders>
                    <w:tl2br w:val="nil"/>
                    <w:tr2bl w:val="nil"/>
                  </w:tcBorders>
                  <w:vAlign w:val="center"/>
                </w:tcPr>
                <w:p>
                  <w:pPr>
                    <w:pStyle w:val="23"/>
                    <w:bidi w:val="0"/>
                    <w:rPr>
                      <w:color w:val="auto"/>
                    </w:rPr>
                  </w:pPr>
                  <w:r>
                    <w:rPr>
                      <w:color w:val="auto"/>
                    </w:rPr>
                    <w:t>排放</w:t>
                  </w:r>
                </w:p>
                <w:p>
                  <w:pPr>
                    <w:pStyle w:val="23"/>
                    <w:bidi w:val="0"/>
                    <w:rPr>
                      <w:color w:val="auto"/>
                    </w:rPr>
                  </w:pPr>
                  <w:r>
                    <w:rPr>
                      <w:color w:val="auto"/>
                    </w:rPr>
                    <w:t>方式</w:t>
                  </w:r>
                </w:p>
              </w:tc>
              <w:tc>
                <w:tcPr>
                  <w:tcW w:w="1487" w:type="pct"/>
                  <w:gridSpan w:val="3"/>
                  <w:tcBorders>
                    <w:tl2br w:val="nil"/>
                    <w:tr2bl w:val="nil"/>
                  </w:tcBorders>
                  <w:vAlign w:val="center"/>
                </w:tcPr>
                <w:p>
                  <w:pPr>
                    <w:pStyle w:val="23"/>
                    <w:bidi w:val="0"/>
                    <w:rPr>
                      <w:color w:val="auto"/>
                    </w:rPr>
                  </w:pPr>
                  <w:r>
                    <w:rPr>
                      <w:color w:val="auto"/>
                    </w:rPr>
                    <w:t>受纳污水处理厂信息</w:t>
                  </w:r>
                </w:p>
              </w:tc>
            </w:tr>
            <w:tr>
              <w:trPr>
                <w:trHeight w:val="629"/>
              </w:trPr>
              <w:tc>
                <w:tcPr>
                  <w:tcW w:w="496" w:type="pct"/>
                  <w:vMerge/>
                  <w:tcBorders>
                    <w:tl2br w:val="nil"/>
                    <w:tr2bl w:val="nil"/>
                  </w:tcBorders>
                  <w:vAlign w:val="center"/>
                </w:tcPr>
                <w:p/>
              </w:tc>
              <w:tc>
                <w:tcPr>
                  <w:tcW w:w="529" w:type="pct"/>
                  <w:tcBorders>
                    <w:tl2br w:val="nil"/>
                    <w:tr2bl w:val="nil"/>
                  </w:tcBorders>
                  <w:vAlign w:val="center"/>
                </w:tcPr>
                <w:p>
                  <w:pPr>
                    <w:pStyle w:val="23"/>
                    <w:bidi w:val="0"/>
                    <w:rPr>
                      <w:color w:val="auto"/>
                    </w:rPr>
                  </w:pPr>
                  <w:r>
                    <w:rPr>
                      <w:color w:val="auto"/>
                    </w:rPr>
                    <w:t>经度</w:t>
                  </w:r>
                </w:p>
              </w:tc>
              <w:tc>
                <w:tcPr>
                  <w:tcW w:w="598" w:type="pct"/>
                  <w:tcBorders>
                    <w:tl2br w:val="nil"/>
                    <w:tr2bl w:val="nil"/>
                  </w:tcBorders>
                  <w:vAlign w:val="center"/>
                </w:tcPr>
                <w:p>
                  <w:pPr>
                    <w:pStyle w:val="23"/>
                    <w:bidi w:val="0"/>
                    <w:rPr>
                      <w:color w:val="auto"/>
                    </w:rPr>
                  </w:pPr>
                  <w:r>
                    <w:rPr>
                      <w:color w:val="auto"/>
                    </w:rPr>
                    <w:t>纬度</w:t>
                  </w: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tcBorders>
                    <w:tl2br w:val="nil"/>
                    <w:tr2bl w:val="nil"/>
                  </w:tcBorders>
                  <w:vAlign w:val="center"/>
                </w:tcPr>
                <w:p>
                  <w:pPr>
                    <w:pStyle w:val="23"/>
                    <w:bidi w:val="0"/>
                    <w:rPr>
                      <w:color w:val="auto"/>
                    </w:rPr>
                  </w:pPr>
                  <w:r>
                    <w:rPr>
                      <w:color w:val="auto"/>
                    </w:rPr>
                    <w:t>名称（b）</w:t>
                  </w:r>
                </w:p>
              </w:tc>
              <w:tc>
                <w:tcPr>
                  <w:tcW w:w="455" w:type="pct"/>
                  <w:tcBorders>
                    <w:tl2br w:val="nil"/>
                    <w:tr2bl w:val="nil"/>
                  </w:tcBorders>
                  <w:vAlign w:val="center"/>
                </w:tcPr>
                <w:p>
                  <w:pPr>
                    <w:pStyle w:val="23"/>
                    <w:bidi w:val="0"/>
                    <w:rPr>
                      <w:color w:val="auto"/>
                    </w:rPr>
                  </w:pPr>
                  <w:r>
                    <w:rPr>
                      <w:color w:val="auto"/>
                    </w:rPr>
                    <w:t>污染物种类</w:t>
                  </w:r>
                </w:p>
              </w:tc>
              <w:tc>
                <w:tcPr>
                  <w:tcW w:w="615" w:type="pct"/>
                  <w:tcBorders>
                    <w:tl2br w:val="nil"/>
                    <w:tr2bl w:val="nil"/>
                  </w:tcBorders>
                  <w:vAlign w:val="center"/>
                </w:tcPr>
                <w:p>
                  <w:pPr>
                    <w:pStyle w:val="23"/>
                    <w:bidi w:val="0"/>
                    <w:rPr>
                      <w:color w:val="auto"/>
                    </w:rPr>
                  </w:pPr>
                  <w:r>
                    <w:rPr>
                      <w:color w:val="auto"/>
                    </w:rPr>
                    <w:t>国家或地方污染物排放标准浓度限值（mg/L）</w:t>
                  </w:r>
                </w:p>
              </w:tc>
            </w:tr>
            <w:tr>
              <w:trPr>
                <w:trHeight w:val="340"/>
              </w:trPr>
              <w:tc>
                <w:tcPr>
                  <w:tcW w:w="496" w:type="pct"/>
                  <w:vMerge w:val="restart"/>
                  <w:tcBorders>
                    <w:tl2br w:val="nil"/>
                    <w:tr2bl w:val="nil"/>
                  </w:tcBorders>
                  <w:vAlign w:val="center"/>
                </w:tcPr>
                <w:p>
                  <w:pPr>
                    <w:pStyle w:val="23"/>
                    <w:bidi w:val="0"/>
                    <w:rPr>
                      <w:color w:val="auto"/>
                    </w:rPr>
                  </w:pPr>
                  <w:r>
                    <w:rPr>
                      <w:color w:val="auto"/>
                    </w:rPr>
                    <w:t>DW001</w:t>
                  </w:r>
                </w:p>
              </w:tc>
              <w:tc>
                <w:tcPr>
                  <w:tcW w:w="529" w:type="pct"/>
                  <w:vMerge w:val="restart"/>
                  <w:tcBorders>
                    <w:tl2br w:val="nil"/>
                    <w:tr2bl w:val="nil"/>
                  </w:tcBorders>
                  <w:vAlign w:val="center"/>
                </w:tcPr>
                <w:p>
                  <w:pPr>
                    <w:pStyle w:val="23"/>
                    <w:bidi w:val="0"/>
                    <w:rPr>
                      <w:rFonts w:ascii="Times New Roman" w:eastAsia="宋体" w:cs="Times New Roman" w:hAnsi="Times New Roman"/>
                      <w:color w:val="auto"/>
                      <w:lang w:val="en-US" w:eastAsia="zh-CN"/>
                    </w:rPr>
                  </w:pPr>
                  <w:r>
                    <w:rPr>
                      <w:rFonts w:ascii="Times New Roman" w:cs="Times New Roman" w:hAnsi="Times New Roman"/>
                      <w:color w:val="auto"/>
                      <w:lang w:val="en-US" w:eastAsia="zh-CN"/>
                    </w:rPr>
                    <w:t>114°38′11.817″</w:t>
                  </w:r>
                </w:p>
              </w:tc>
              <w:tc>
                <w:tcPr>
                  <w:tcW w:w="598" w:type="pct"/>
                  <w:vMerge w:val="restart"/>
                  <w:tcBorders>
                    <w:tl2br w:val="nil"/>
                    <w:tr2bl w:val="nil"/>
                  </w:tcBorders>
                  <w:vAlign w:val="center"/>
                </w:tcPr>
                <w:p>
                  <w:pPr>
                    <w:pStyle w:val="23"/>
                    <w:bidi w:val="0"/>
                    <w:rPr>
                      <w:rFonts w:ascii="Times New Roman" w:eastAsia="宋体" w:cs="Times New Roman" w:hAnsi="Times New Roman"/>
                      <w:color w:val="auto"/>
                      <w:lang w:val="en-US" w:eastAsia="zh-CN"/>
                    </w:rPr>
                  </w:pPr>
                  <w:r>
                    <w:rPr>
                      <w:rFonts w:ascii="Times New Roman" w:cs="Times New Roman" w:hAnsi="Times New Roman"/>
                      <w:color w:val="auto"/>
                      <w:lang w:val="en-US" w:eastAsia="zh-CN"/>
                    </w:rPr>
                    <w:t>37°52′5.203″</w:t>
                  </w:r>
                </w:p>
              </w:tc>
              <w:tc>
                <w:tcPr>
                  <w:tcW w:w="607" w:type="pct"/>
                  <w:vMerge w:val="restart"/>
                  <w:tcBorders>
                    <w:tl2br w:val="nil"/>
                    <w:tr2bl w:val="nil"/>
                  </w:tcBorders>
                  <w:vAlign w:val="center"/>
                </w:tcPr>
                <w:p>
                  <w:pPr>
                    <w:pStyle w:val="23"/>
                    <w:bidi w:val="0"/>
                    <w:rPr>
                      <w:color w:val="auto"/>
                    </w:rPr>
                  </w:pPr>
                  <w:r>
                    <w:rPr>
                      <w:rFonts w:hint="eastAsia"/>
                      <w:color w:val="auto"/>
                      <w:lang w:val="en-US" w:eastAsia="zh-CN"/>
                    </w:rPr>
                    <w:t>21070.68</w:t>
                  </w:r>
                </w:p>
              </w:tc>
              <w:tc>
                <w:tcPr>
                  <w:tcW w:w="580" w:type="pct"/>
                  <w:vMerge w:val="restart"/>
                  <w:tcBorders>
                    <w:tl2br w:val="nil"/>
                    <w:tr2bl w:val="nil"/>
                  </w:tcBorders>
                  <w:vAlign w:val="center"/>
                </w:tcPr>
                <w:p>
                  <w:pPr>
                    <w:pStyle w:val="23"/>
                    <w:bidi w:val="0"/>
                    <w:rPr>
                      <w:color w:val="auto"/>
                    </w:rPr>
                  </w:pPr>
                  <w:r>
                    <w:rPr>
                      <w:rFonts w:hint="eastAsia"/>
                      <w:color w:val="auto"/>
                    </w:rPr>
                    <w:t>德威华泰石家庄市栾城水务有限公司</w:t>
                  </w:r>
                </w:p>
              </w:tc>
              <w:tc>
                <w:tcPr>
                  <w:tcW w:w="459" w:type="pct"/>
                  <w:vMerge w:val="restart"/>
                  <w:tcBorders>
                    <w:tl2br w:val="nil"/>
                    <w:tr2bl w:val="nil"/>
                  </w:tcBorders>
                  <w:vAlign w:val="center"/>
                </w:tcPr>
                <w:p>
                  <w:pPr>
                    <w:pStyle w:val="23"/>
                    <w:bidi w:val="0"/>
                    <w:rPr>
                      <w:color w:val="auto"/>
                    </w:rPr>
                  </w:pPr>
                  <w:r>
                    <w:rPr>
                      <w:color w:val="auto"/>
                    </w:rPr>
                    <w:t>排放期间流量不稳定且无规律，但不属于冲击型排放。</w:t>
                  </w:r>
                </w:p>
              </w:tc>
              <w:tc>
                <w:tcPr>
                  <w:tcW w:w="239" w:type="pct"/>
                  <w:vMerge w:val="restart"/>
                  <w:tcBorders>
                    <w:tl2br w:val="nil"/>
                    <w:tr2bl w:val="nil"/>
                  </w:tcBorders>
                  <w:vAlign w:val="center"/>
                </w:tcPr>
                <w:p>
                  <w:pPr>
                    <w:pStyle w:val="23"/>
                    <w:bidi w:val="0"/>
                    <w:rPr>
                      <w:color w:val="auto"/>
                    </w:rPr>
                  </w:pPr>
                  <w:r>
                    <w:rPr>
                      <w:color w:val="auto"/>
                    </w:rPr>
                    <w:t>间接排放</w:t>
                  </w:r>
                </w:p>
              </w:tc>
              <w:tc>
                <w:tcPr>
                  <w:tcW w:w="417" w:type="pct"/>
                  <w:vMerge w:val="restart"/>
                  <w:tcBorders>
                    <w:tl2br w:val="nil"/>
                    <w:tr2bl w:val="nil"/>
                  </w:tcBorders>
                  <w:vAlign w:val="center"/>
                </w:tcPr>
                <w:p>
                  <w:pPr>
                    <w:pStyle w:val="23"/>
                    <w:bidi w:val="0"/>
                    <w:rPr>
                      <w:color w:val="auto"/>
                    </w:rPr>
                  </w:pPr>
                  <w:r>
                    <w:rPr>
                      <w:rFonts w:hint="eastAsia"/>
                      <w:color w:val="auto"/>
                    </w:rPr>
                    <w:t>德威华泰石家庄市栾城水务有限公司</w:t>
                  </w:r>
                </w:p>
              </w:tc>
              <w:tc>
                <w:tcPr>
                  <w:tcW w:w="455" w:type="pct"/>
                  <w:tcBorders>
                    <w:tl2br w:val="nil"/>
                    <w:tr2bl w:val="nil"/>
                  </w:tcBorders>
                  <w:vAlign w:val="center"/>
                </w:tcPr>
                <w:p>
                  <w:pPr>
                    <w:pStyle w:val="23"/>
                    <w:bidi w:val="0"/>
                    <w:rPr>
                      <w:color w:val="auto"/>
                    </w:rPr>
                  </w:pPr>
                  <w:r>
                    <w:rPr>
                      <w:color w:val="auto"/>
                    </w:rPr>
                    <w:t>pH</w:t>
                  </w:r>
                </w:p>
              </w:tc>
              <w:tc>
                <w:tcPr>
                  <w:tcW w:w="615" w:type="pct"/>
                  <w:tcBorders>
                    <w:tl2br w:val="nil"/>
                    <w:tr2bl w:val="nil"/>
                  </w:tcBorders>
                  <w:vAlign w:val="center"/>
                </w:tcPr>
                <w:p>
                  <w:pPr>
                    <w:pStyle w:val="23"/>
                    <w:bidi w:val="0"/>
                    <w:rPr>
                      <w:color w:val="auto"/>
                    </w:rPr>
                  </w:pPr>
                  <w:r>
                    <w:rPr>
                      <w:color w:val="auto"/>
                    </w:rPr>
                    <w:t>6~9</w:t>
                  </w:r>
                </w:p>
              </w:tc>
            </w:tr>
            <w:tr>
              <w:trPr>
                <w:trHeight w:val="340"/>
              </w:trPr>
              <w:tc>
                <w:tcPr>
                  <w:tcW w:w="496" w:type="pct"/>
                  <w:vMerge/>
                  <w:tcBorders>
                    <w:tl2br w:val="nil"/>
                    <w:tr2bl w:val="nil"/>
                  </w:tcBorders>
                  <w:vAlign w:val="center"/>
                </w:tcPr>
                <w:p/>
              </w:tc>
              <w:tc>
                <w:tcPr>
                  <w:tcW w:w="529" w:type="pct"/>
                  <w:vMerge/>
                  <w:tcBorders>
                    <w:tl2br w:val="nil"/>
                    <w:tr2bl w:val="nil"/>
                  </w:tcBorders>
                  <w:vAlign w:val="center"/>
                </w:tcPr>
                <w:p/>
              </w:tc>
              <w:tc>
                <w:tcPr>
                  <w:tcW w:w="598" w:type="pct"/>
                  <w:vMerge/>
                  <w:tcBorders>
                    <w:tl2br w:val="nil"/>
                    <w:tr2bl w:val="nil"/>
                  </w:tcBorders>
                  <w:vAlign w:val="center"/>
                </w:tcP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vMerge/>
                  <w:tcBorders>
                    <w:tl2br w:val="nil"/>
                    <w:tr2bl w:val="nil"/>
                  </w:tcBorders>
                  <w:vAlign w:val="center"/>
                </w:tcPr>
                <w:p/>
              </w:tc>
              <w:tc>
                <w:tcPr>
                  <w:tcW w:w="455" w:type="pct"/>
                  <w:tcBorders>
                    <w:tl2br w:val="nil"/>
                    <w:tr2bl w:val="nil"/>
                  </w:tcBorders>
                  <w:vAlign w:val="center"/>
                </w:tcPr>
                <w:p>
                  <w:pPr>
                    <w:pStyle w:val="23"/>
                    <w:bidi w:val="0"/>
                    <w:rPr>
                      <w:color w:val="auto"/>
                    </w:rPr>
                  </w:pPr>
                  <w:r>
                    <w:rPr>
                      <w:color w:val="auto"/>
                    </w:rPr>
                    <w:t>COD</w:t>
                  </w:r>
                </w:p>
              </w:tc>
              <w:tc>
                <w:tcPr>
                  <w:tcW w:w="615" w:type="pct"/>
                  <w:tcBorders>
                    <w:tl2br w:val="nil"/>
                    <w:tr2bl w:val="nil"/>
                  </w:tcBorders>
                  <w:vAlign w:val="center"/>
                </w:tcPr>
                <w:p>
                  <w:pPr>
                    <w:pStyle w:val="23"/>
                    <w:bidi w:val="0"/>
                    <w:rPr>
                      <w:color w:val="auto"/>
                    </w:rPr>
                  </w:pPr>
                  <w:r>
                    <w:rPr>
                      <w:rFonts w:hint="eastAsia"/>
                      <w:color w:val="auto"/>
                    </w:rPr>
                    <w:t>40</w:t>
                  </w:r>
                </w:p>
              </w:tc>
            </w:tr>
            <w:tr>
              <w:trPr>
                <w:trHeight w:val="340"/>
              </w:trPr>
              <w:tc>
                <w:tcPr>
                  <w:tcW w:w="496" w:type="pct"/>
                  <w:vMerge/>
                  <w:tcBorders>
                    <w:tl2br w:val="nil"/>
                    <w:tr2bl w:val="nil"/>
                  </w:tcBorders>
                  <w:vAlign w:val="center"/>
                </w:tcPr>
                <w:p/>
              </w:tc>
              <w:tc>
                <w:tcPr>
                  <w:tcW w:w="529" w:type="pct"/>
                  <w:vMerge/>
                  <w:tcBorders>
                    <w:tl2br w:val="nil"/>
                    <w:tr2bl w:val="nil"/>
                  </w:tcBorders>
                  <w:vAlign w:val="center"/>
                </w:tcPr>
                <w:p/>
              </w:tc>
              <w:tc>
                <w:tcPr>
                  <w:tcW w:w="598" w:type="pct"/>
                  <w:vMerge/>
                  <w:tcBorders>
                    <w:tl2br w:val="nil"/>
                    <w:tr2bl w:val="nil"/>
                  </w:tcBorders>
                  <w:vAlign w:val="center"/>
                </w:tcP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vMerge/>
                  <w:tcBorders>
                    <w:tl2br w:val="nil"/>
                    <w:tr2bl w:val="nil"/>
                  </w:tcBorders>
                  <w:vAlign w:val="center"/>
                </w:tcPr>
                <w:p/>
              </w:tc>
              <w:tc>
                <w:tcPr>
                  <w:tcW w:w="455" w:type="pct"/>
                  <w:tcBorders>
                    <w:tl2br w:val="nil"/>
                    <w:tr2bl w:val="nil"/>
                  </w:tcBorders>
                  <w:vAlign w:val="center"/>
                </w:tcPr>
                <w:p>
                  <w:pPr>
                    <w:pStyle w:val="23"/>
                    <w:bidi w:val="0"/>
                    <w:rPr>
                      <w:color w:val="auto"/>
                    </w:rPr>
                  </w:pPr>
                  <w:r>
                    <w:rPr>
                      <w:color w:val="auto"/>
                    </w:rPr>
                    <w:t>BOD</w:t>
                  </w:r>
                  <w:r>
                    <w:rPr>
                      <w:color w:val="auto"/>
                      <w:vertAlign w:val="subscript"/>
                    </w:rPr>
                    <w:t>5</w:t>
                  </w:r>
                </w:p>
              </w:tc>
              <w:tc>
                <w:tcPr>
                  <w:tcW w:w="615" w:type="pct"/>
                  <w:tcBorders>
                    <w:tl2br w:val="nil"/>
                    <w:tr2bl w:val="nil"/>
                  </w:tcBorders>
                  <w:vAlign w:val="center"/>
                </w:tcPr>
                <w:p>
                  <w:pPr>
                    <w:pStyle w:val="23"/>
                    <w:bidi w:val="0"/>
                    <w:rPr>
                      <w:color w:val="auto"/>
                    </w:rPr>
                  </w:pPr>
                  <w:r>
                    <w:rPr>
                      <w:rFonts w:hint="eastAsia"/>
                      <w:color w:val="auto"/>
                    </w:rPr>
                    <w:t>10</w:t>
                  </w:r>
                </w:p>
              </w:tc>
            </w:tr>
            <w:tr>
              <w:trPr>
                <w:trHeight w:val="340"/>
              </w:trPr>
              <w:tc>
                <w:tcPr>
                  <w:tcW w:w="496" w:type="pct"/>
                  <w:vMerge/>
                  <w:tcBorders>
                    <w:tl2br w:val="nil"/>
                    <w:tr2bl w:val="nil"/>
                  </w:tcBorders>
                  <w:vAlign w:val="center"/>
                </w:tcPr>
                <w:p/>
              </w:tc>
              <w:tc>
                <w:tcPr>
                  <w:tcW w:w="529" w:type="pct"/>
                  <w:vMerge/>
                  <w:tcBorders>
                    <w:tl2br w:val="nil"/>
                    <w:tr2bl w:val="nil"/>
                  </w:tcBorders>
                  <w:vAlign w:val="center"/>
                </w:tcPr>
                <w:p/>
              </w:tc>
              <w:tc>
                <w:tcPr>
                  <w:tcW w:w="598" w:type="pct"/>
                  <w:vMerge/>
                  <w:tcBorders>
                    <w:tl2br w:val="nil"/>
                    <w:tr2bl w:val="nil"/>
                  </w:tcBorders>
                  <w:vAlign w:val="center"/>
                </w:tcP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vMerge/>
                  <w:tcBorders>
                    <w:tl2br w:val="nil"/>
                    <w:tr2bl w:val="nil"/>
                  </w:tcBorders>
                  <w:vAlign w:val="center"/>
                </w:tcPr>
                <w:p/>
              </w:tc>
              <w:tc>
                <w:tcPr>
                  <w:tcW w:w="455" w:type="pct"/>
                  <w:tcBorders>
                    <w:tl2br w:val="nil"/>
                    <w:tr2bl w:val="nil"/>
                  </w:tcBorders>
                  <w:vAlign w:val="center"/>
                </w:tcPr>
                <w:p>
                  <w:pPr>
                    <w:pStyle w:val="23"/>
                    <w:bidi w:val="0"/>
                    <w:rPr>
                      <w:color w:val="auto"/>
                    </w:rPr>
                  </w:pPr>
                  <w:r>
                    <w:rPr>
                      <w:color w:val="auto"/>
                    </w:rPr>
                    <w:t>SS</w:t>
                  </w:r>
                </w:p>
              </w:tc>
              <w:tc>
                <w:tcPr>
                  <w:tcW w:w="615" w:type="pct"/>
                  <w:tcBorders>
                    <w:tl2br w:val="nil"/>
                    <w:tr2bl w:val="nil"/>
                  </w:tcBorders>
                  <w:vAlign w:val="center"/>
                </w:tcPr>
                <w:p>
                  <w:pPr>
                    <w:pStyle w:val="23"/>
                    <w:bidi w:val="0"/>
                    <w:rPr>
                      <w:color w:val="auto"/>
                    </w:rPr>
                  </w:pPr>
                  <w:r>
                    <w:rPr>
                      <w:rFonts w:hint="eastAsia"/>
                      <w:color w:val="auto"/>
                    </w:rPr>
                    <w:t>10</w:t>
                  </w:r>
                </w:p>
              </w:tc>
            </w:tr>
            <w:tr>
              <w:trPr>
                <w:trHeight w:val="340"/>
              </w:trPr>
              <w:tc>
                <w:tcPr>
                  <w:tcW w:w="496" w:type="pct"/>
                  <w:vMerge/>
                  <w:tcBorders>
                    <w:tl2br w:val="nil"/>
                    <w:tr2bl w:val="nil"/>
                  </w:tcBorders>
                  <w:vAlign w:val="center"/>
                </w:tcPr>
                <w:p/>
              </w:tc>
              <w:tc>
                <w:tcPr>
                  <w:tcW w:w="529" w:type="pct"/>
                  <w:vMerge/>
                  <w:tcBorders>
                    <w:tl2br w:val="nil"/>
                    <w:tr2bl w:val="nil"/>
                  </w:tcBorders>
                  <w:vAlign w:val="center"/>
                </w:tcPr>
                <w:p/>
              </w:tc>
              <w:tc>
                <w:tcPr>
                  <w:tcW w:w="598" w:type="pct"/>
                  <w:vMerge/>
                  <w:tcBorders>
                    <w:tl2br w:val="nil"/>
                    <w:tr2bl w:val="nil"/>
                  </w:tcBorders>
                  <w:vAlign w:val="center"/>
                </w:tcP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vMerge/>
                  <w:tcBorders>
                    <w:tl2br w:val="nil"/>
                    <w:tr2bl w:val="nil"/>
                  </w:tcBorders>
                  <w:vAlign w:val="center"/>
                </w:tcPr>
                <w:p/>
              </w:tc>
              <w:tc>
                <w:tcPr>
                  <w:tcW w:w="455" w:type="pct"/>
                  <w:tcBorders>
                    <w:tl2br w:val="nil"/>
                    <w:tr2bl w:val="nil"/>
                  </w:tcBorders>
                  <w:vAlign w:val="center"/>
                </w:tcPr>
                <w:p>
                  <w:pPr>
                    <w:pStyle w:val="23"/>
                    <w:bidi w:val="0"/>
                    <w:rPr>
                      <w:color w:val="auto"/>
                    </w:rPr>
                  </w:pPr>
                  <w:r>
                    <w:rPr>
                      <w:color w:val="auto"/>
                    </w:rPr>
                    <w:t>NH</w:t>
                  </w:r>
                  <w:r>
                    <w:rPr>
                      <w:color w:val="auto"/>
                      <w:vertAlign w:val="subscript"/>
                    </w:rPr>
                    <w:t>3</w:t>
                  </w:r>
                  <w:r>
                    <w:rPr>
                      <w:color w:val="auto"/>
                    </w:rPr>
                    <w:t>-N</w:t>
                  </w:r>
                </w:p>
              </w:tc>
              <w:tc>
                <w:tcPr>
                  <w:tcW w:w="615" w:type="pct"/>
                  <w:tcBorders>
                    <w:tl2br w:val="nil"/>
                    <w:tr2bl w:val="nil"/>
                  </w:tcBorders>
                  <w:vAlign w:val="center"/>
                </w:tcPr>
                <w:p>
                  <w:pPr>
                    <w:pStyle w:val="23"/>
                    <w:bidi w:val="0"/>
                    <w:rPr>
                      <w:color w:val="auto"/>
                    </w:rPr>
                  </w:pPr>
                  <w:r>
                    <w:rPr>
                      <w:rFonts w:hint="eastAsia"/>
                      <w:color w:val="auto"/>
                    </w:rPr>
                    <w:t>2</w:t>
                  </w:r>
                </w:p>
              </w:tc>
            </w:tr>
            <w:tr>
              <w:trPr>
                <w:trHeight w:val="340"/>
              </w:trPr>
              <w:tc>
                <w:tcPr>
                  <w:tcW w:w="496" w:type="pct"/>
                  <w:vMerge/>
                  <w:tcBorders>
                    <w:tl2br w:val="nil"/>
                    <w:tr2bl w:val="nil"/>
                  </w:tcBorders>
                  <w:vAlign w:val="center"/>
                </w:tcPr>
                <w:p/>
              </w:tc>
              <w:tc>
                <w:tcPr>
                  <w:tcW w:w="529" w:type="pct"/>
                  <w:vMerge/>
                  <w:tcBorders>
                    <w:tl2br w:val="nil"/>
                    <w:tr2bl w:val="nil"/>
                  </w:tcBorders>
                  <w:vAlign w:val="center"/>
                </w:tcPr>
                <w:p/>
              </w:tc>
              <w:tc>
                <w:tcPr>
                  <w:tcW w:w="598" w:type="pct"/>
                  <w:vMerge/>
                  <w:tcBorders>
                    <w:tl2br w:val="nil"/>
                    <w:tr2bl w:val="nil"/>
                  </w:tcBorders>
                  <w:vAlign w:val="center"/>
                </w:tcP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vMerge/>
                  <w:tcBorders>
                    <w:tl2br w:val="nil"/>
                    <w:tr2bl w:val="nil"/>
                  </w:tcBorders>
                  <w:vAlign w:val="center"/>
                </w:tcPr>
                <w:p/>
              </w:tc>
              <w:tc>
                <w:tcPr>
                  <w:tcW w:w="455" w:type="pc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TN</w:t>
                  </w:r>
                </w:p>
              </w:tc>
              <w:tc>
                <w:tcPr>
                  <w:tcW w:w="615"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15</w:t>
                  </w:r>
                </w:p>
              </w:tc>
            </w:tr>
            <w:tr>
              <w:trPr>
                <w:trHeight w:val="340"/>
              </w:trPr>
              <w:tc>
                <w:tcPr>
                  <w:tcW w:w="496" w:type="pct"/>
                  <w:vMerge/>
                  <w:tcBorders>
                    <w:tl2br w:val="nil"/>
                    <w:tr2bl w:val="nil"/>
                  </w:tcBorders>
                  <w:vAlign w:val="center"/>
                </w:tcPr>
                <w:p/>
              </w:tc>
              <w:tc>
                <w:tcPr>
                  <w:tcW w:w="529" w:type="pct"/>
                  <w:vMerge/>
                  <w:tcBorders>
                    <w:tl2br w:val="nil"/>
                    <w:tr2bl w:val="nil"/>
                  </w:tcBorders>
                  <w:vAlign w:val="center"/>
                </w:tcPr>
                <w:p/>
              </w:tc>
              <w:tc>
                <w:tcPr>
                  <w:tcW w:w="598" w:type="pct"/>
                  <w:vMerge/>
                  <w:tcBorders>
                    <w:tl2br w:val="nil"/>
                    <w:tr2bl w:val="nil"/>
                  </w:tcBorders>
                  <w:vAlign w:val="center"/>
                </w:tcP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vMerge/>
                  <w:tcBorders>
                    <w:tl2br w:val="nil"/>
                    <w:tr2bl w:val="nil"/>
                  </w:tcBorders>
                  <w:vAlign w:val="center"/>
                </w:tcPr>
                <w:p/>
              </w:tc>
              <w:tc>
                <w:tcPr>
                  <w:tcW w:w="455" w:type="pc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TP</w:t>
                  </w:r>
                </w:p>
              </w:tc>
              <w:tc>
                <w:tcPr>
                  <w:tcW w:w="615"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0.4</w:t>
                  </w:r>
                </w:p>
              </w:tc>
            </w:tr>
            <w:tr>
              <w:trPr>
                <w:trHeight w:val="340"/>
              </w:trPr>
              <w:tc>
                <w:tcPr>
                  <w:tcW w:w="496" w:type="pct"/>
                  <w:vMerge/>
                  <w:tcBorders>
                    <w:tl2br w:val="nil"/>
                    <w:tr2bl w:val="nil"/>
                  </w:tcBorders>
                  <w:vAlign w:val="center"/>
                </w:tcPr>
                <w:p/>
              </w:tc>
              <w:tc>
                <w:tcPr>
                  <w:tcW w:w="529" w:type="pct"/>
                  <w:vMerge/>
                  <w:tcBorders>
                    <w:tl2br w:val="nil"/>
                    <w:tr2bl w:val="nil"/>
                  </w:tcBorders>
                  <w:vAlign w:val="center"/>
                </w:tcPr>
                <w:p/>
              </w:tc>
              <w:tc>
                <w:tcPr>
                  <w:tcW w:w="598" w:type="pct"/>
                  <w:vMerge/>
                  <w:tcBorders>
                    <w:tl2br w:val="nil"/>
                    <w:tr2bl w:val="nil"/>
                  </w:tcBorders>
                  <w:vAlign w:val="center"/>
                </w:tcP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vMerge/>
                  <w:tcBorders>
                    <w:tl2br w:val="nil"/>
                    <w:tr2bl w:val="nil"/>
                  </w:tcBorders>
                  <w:vAlign w:val="center"/>
                </w:tcPr>
                <w:p/>
              </w:tc>
              <w:tc>
                <w:tcPr>
                  <w:tcW w:w="45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动植</w:t>
                  </w:r>
                </w:p>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物油</w:t>
                  </w:r>
                </w:p>
              </w:tc>
              <w:tc>
                <w:tcPr>
                  <w:tcW w:w="615"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1</w:t>
                  </w:r>
                </w:p>
              </w:tc>
            </w:tr>
            <w:tr>
              <w:trPr>
                <w:trHeight w:val="340"/>
              </w:trPr>
              <w:tc>
                <w:tcPr>
                  <w:tcW w:w="496" w:type="pct"/>
                  <w:vMerge/>
                  <w:tcBorders>
                    <w:tl2br w:val="nil"/>
                    <w:tr2bl w:val="nil"/>
                  </w:tcBorders>
                  <w:vAlign w:val="center"/>
                </w:tcPr>
                <w:p/>
              </w:tc>
              <w:tc>
                <w:tcPr>
                  <w:tcW w:w="529" w:type="pct"/>
                  <w:vMerge/>
                  <w:tcBorders>
                    <w:tl2br w:val="nil"/>
                    <w:tr2bl w:val="nil"/>
                  </w:tcBorders>
                  <w:vAlign w:val="center"/>
                </w:tcPr>
                <w:p/>
              </w:tc>
              <w:tc>
                <w:tcPr>
                  <w:tcW w:w="598" w:type="pct"/>
                  <w:vMerge/>
                  <w:tcBorders>
                    <w:tl2br w:val="nil"/>
                    <w:tr2bl w:val="nil"/>
                  </w:tcBorders>
                  <w:vAlign w:val="center"/>
                </w:tcPr>
                <w:p/>
              </w:tc>
              <w:tc>
                <w:tcPr>
                  <w:tcW w:w="607" w:type="pct"/>
                  <w:vMerge/>
                  <w:tcBorders>
                    <w:tl2br w:val="nil"/>
                    <w:tr2bl w:val="nil"/>
                  </w:tcBorders>
                  <w:vAlign w:val="center"/>
                </w:tcPr>
                <w:p/>
              </w:tc>
              <w:tc>
                <w:tcPr>
                  <w:tcW w:w="580" w:type="pct"/>
                  <w:vMerge/>
                  <w:tcBorders>
                    <w:tl2br w:val="nil"/>
                    <w:tr2bl w:val="nil"/>
                  </w:tcBorders>
                  <w:vAlign w:val="center"/>
                </w:tcPr>
                <w:p/>
              </w:tc>
              <w:tc>
                <w:tcPr>
                  <w:tcW w:w="459" w:type="pct"/>
                  <w:vMerge/>
                  <w:tcBorders>
                    <w:tl2br w:val="nil"/>
                    <w:tr2bl w:val="nil"/>
                  </w:tcBorders>
                  <w:vAlign w:val="center"/>
                </w:tcPr>
                <w:p/>
              </w:tc>
              <w:tc>
                <w:tcPr>
                  <w:tcW w:w="239" w:type="pct"/>
                  <w:vMerge/>
                  <w:tcBorders>
                    <w:tl2br w:val="nil"/>
                    <w:tr2bl w:val="nil"/>
                  </w:tcBorders>
                  <w:vAlign w:val="center"/>
                </w:tcPr>
                <w:p/>
              </w:tc>
              <w:tc>
                <w:tcPr>
                  <w:tcW w:w="417" w:type="pct"/>
                  <w:vMerge/>
                  <w:tcBorders>
                    <w:tl2br w:val="nil"/>
                    <w:tr2bl w:val="nil"/>
                  </w:tcBorders>
                  <w:vAlign w:val="center"/>
                </w:tcPr>
                <w:p/>
              </w:tc>
              <w:tc>
                <w:tcPr>
                  <w:tcW w:w="455" w:type="pc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色度</w:t>
                  </w:r>
                </w:p>
              </w:tc>
              <w:tc>
                <w:tcPr>
                  <w:tcW w:w="615"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30</w:t>
                  </w:r>
                </w:p>
              </w:tc>
            </w:tr>
          </w:tbl>
          <w:p>
            <w:pPr>
              <w:spacing w:line="360" w:lineRule="auto"/>
              <w:rPr>
                <w:color w:val="auto"/>
                <w:sz w:val="24"/>
                <w:szCs w:val="24"/>
              </w:rPr>
            </w:pPr>
            <w:r>
              <w:rPr>
                <w:rFonts w:hint="eastAsia"/>
                <w:b/>
                <w:bCs/>
                <w:color w:val="auto"/>
                <w:sz w:val="24"/>
                <w:szCs w:val="24"/>
              </w:rPr>
              <w:t>（2）污水处理工艺</w:t>
            </w:r>
          </w:p>
          <w:p>
            <w:pPr>
              <w:spacing w:line="360" w:lineRule="auto"/>
              <w:rPr>
                <w:color w:val="auto"/>
                <w:sz w:val="24"/>
                <w:szCs w:val="24"/>
                <w:highlight w:val="none"/>
              </w:rPr>
            </w:pPr>
            <w:r>
              <w:rPr>
                <w:color w:val="auto"/>
                <w:sz w:val="24"/>
                <w:szCs w:val="24"/>
                <w:highlight w:val="none"/>
              </w:rPr>
              <w:t>项目污水处理系统，设计处理规模</w:t>
            </w:r>
            <w:r>
              <w:rPr>
                <w:rFonts w:hint="eastAsia"/>
                <w:color w:val="auto"/>
                <w:sz w:val="24"/>
                <w:szCs w:val="24"/>
                <w:lang w:val="en-US" w:eastAsia="zh-CN"/>
                <w:highlight w:val="none"/>
              </w:rPr>
              <w:t>10</w:t>
            </w:r>
            <w:r>
              <w:rPr>
                <w:color w:val="auto"/>
                <w:sz w:val="24"/>
                <w:szCs w:val="24"/>
                <w:highlight w:val="none"/>
              </w:rPr>
              <w:t>0</w:t>
            </w:r>
            <w:r>
              <w:rPr>
                <w:rFonts w:hint="eastAsia"/>
                <w:color w:val="auto"/>
                <w:sz w:val="24"/>
                <w:szCs w:val="24"/>
                <w:lang w:eastAsia="zh-CN"/>
                <w:highlight w:val="none"/>
              </w:rPr>
              <w:t>m³</w:t>
            </w:r>
            <w:r>
              <w:rPr>
                <w:color w:val="auto"/>
                <w:sz w:val="24"/>
                <w:szCs w:val="24"/>
                <w:highlight w:val="none"/>
              </w:rPr>
              <w:t>/d，采用</w:t>
            </w:r>
            <w:r>
              <w:rPr>
                <w:rFonts w:ascii="宋体" w:cs="宋体" w:hAnsi="宋体" w:hint="eastAsia"/>
                <w:color w:val="auto"/>
                <w:sz w:val="24"/>
                <w:szCs w:val="24"/>
                <w:highlight w:val="none"/>
              </w:rPr>
              <w:t>“</w:t>
            </w:r>
            <w:r>
              <w:rPr>
                <w:rFonts w:hint="eastAsia"/>
                <w:color w:val="auto"/>
                <w:sz w:val="24"/>
                <w:szCs w:val="24"/>
                <w:lang w:val="en-US" w:eastAsia="zh-CN"/>
                <w:highlight w:val="none"/>
              </w:rPr>
              <w:t>隔油-调节池-气浮-水解池-厌氧池-好氧池-沉淀池-好氧池-二级沉淀-斜管沉淀池</w:t>
            </w:r>
            <w:r>
              <w:rPr>
                <w:rFonts w:ascii="宋体" w:cs="宋体" w:hAnsi="宋体" w:hint="eastAsia"/>
                <w:color w:val="auto"/>
                <w:sz w:val="24"/>
                <w:szCs w:val="24"/>
                <w:highlight w:val="none"/>
              </w:rPr>
              <w:t>”</w:t>
            </w:r>
            <w:r>
              <w:rPr>
                <w:color w:val="auto"/>
                <w:sz w:val="24"/>
                <w:szCs w:val="24"/>
                <w:highlight w:val="none"/>
              </w:rPr>
              <w:t>的处理工艺，污水处理工艺流程见图</w:t>
            </w:r>
            <w:r>
              <w:rPr>
                <w:rFonts w:hint="eastAsia"/>
                <w:color w:val="auto"/>
                <w:sz w:val="24"/>
                <w:szCs w:val="24"/>
                <w:highlight w:val="none"/>
              </w:rPr>
              <w:t>4-</w:t>
            </w:r>
            <w:r>
              <w:rPr>
                <w:rFonts w:hint="eastAsia"/>
                <w:color w:val="auto"/>
                <w:sz w:val="24"/>
                <w:szCs w:val="24"/>
                <w:lang w:val="en-US" w:eastAsia="zh-CN"/>
                <w:highlight w:val="none"/>
              </w:rPr>
              <w:t>1</w:t>
            </w:r>
            <w:r>
              <w:rPr>
                <w:color w:val="auto"/>
                <w:sz w:val="24"/>
                <w:szCs w:val="24"/>
                <w:highlight w:val="none"/>
              </w:rPr>
              <w:t>。</w:t>
            </w:r>
          </w:p>
          <w:p>
            <w:pPr>
              <w:spacing w:line="240" w:lineRule="auto"/>
              <w:ind w:left="0" w:right="0" w:firstLineChars="0" w:firstLine="0"/>
              <w:jc w:val="center"/>
              <w:rPr>
                <w:color w:val="auto"/>
                <w:sz w:val="24"/>
                <w:szCs w:val="24"/>
                <w:highlight w:val="none"/>
              </w:rPr>
            </w:pPr>
            <w:r>
              <w:rPr>
                <w:color w:val="auto"/>
                <w:sz w:val="24"/>
                <w:szCs w:val="24"/>
                <w:highlight w:val="none"/>
              </w:rPr>
              <w:drawing>
                <wp:inline distT="0" distB="0" distL="114300" distR="114300">
                  <wp:extent cx="5460365" cy="1156335"/>
                  <wp:effectExtent l="0" t="0" r="0" b="0"/>
                  <wp:docPr id="1040" name="图片 6"/>
                  <wp:cNvGraphicFramePr>
                    <a:graphicFrameLocks noChangeAspect="1"/>
                  </wp:cNvGraphicFramePr>
                  <a:graphic>
                    <a:graphicData uri="http://schemas.openxmlformats.org/drawingml/2006/picture">
                      <pic:pic>
                        <pic:nvPicPr>
                          <pic:cNvPr id="58" name="图片 6 58"/>
                          <pic:cNvPicPr/>
                        </pic:nvPicPr>
                        <pic:blipFill>
                          <a:blip r:embed="rId18"/>
                          <a:stretch>
                            <a:fillRect/>
                          </a:stretch>
                        </pic:blipFill>
                        <pic:spPr>
                          <a:xfrm rot="0">
                            <a:off x="0" y="0"/>
                            <a:ext cx="5460365" cy="1156335"/>
                          </a:xfrm>
                          <a:prstGeom prst="rect"/>
                          <a:noFill/>
                          <a:ln cmpd="sng" cap="flat">
                            <a:noFill/>
                            <a:prstDash val="solid"/>
                            <a:round/>
                          </a:ln>
                        </pic:spPr>
                      </pic:pic>
                    </a:graphicData>
                  </a:graphic>
                </wp:inline>
              </w:drawing>
            </w:r>
          </w:p>
          <w:p>
            <w:pPr>
              <w:spacing w:line="360" w:lineRule="auto"/>
              <w:jc w:val="center"/>
              <w:rPr>
                <w:color w:val="auto"/>
                <w:sz w:val="24"/>
                <w:szCs w:val="24"/>
                <w:highlight w:val="none"/>
              </w:rPr>
            </w:pPr>
            <w:r>
              <w:rPr>
                <w:b/>
                <w:bCs/>
                <w:color w:val="auto"/>
                <w:sz w:val="24"/>
                <w:szCs w:val="24"/>
                <w:highlight w:val="none"/>
              </w:rPr>
              <w:t>图</w:t>
            </w:r>
            <w:r>
              <w:rPr>
                <w:rFonts w:hint="eastAsia"/>
                <w:b/>
                <w:bCs/>
                <w:color w:val="auto"/>
                <w:sz w:val="24"/>
                <w:szCs w:val="24"/>
                <w:highlight w:val="none"/>
              </w:rPr>
              <w:t>4-</w:t>
            </w:r>
            <w:r>
              <w:rPr>
                <w:rFonts w:hint="eastAsia"/>
                <w:b/>
                <w:bCs/>
                <w:color w:val="auto"/>
                <w:sz w:val="24"/>
                <w:szCs w:val="24"/>
                <w:lang w:val="en-US" w:eastAsia="zh-CN"/>
                <w:highlight w:val="none"/>
              </w:rPr>
              <w:t>1</w:t>
            </w:r>
            <w:r>
              <w:rPr>
                <w:b/>
                <w:bCs/>
                <w:color w:val="auto"/>
                <w:sz w:val="24"/>
                <w:szCs w:val="24"/>
                <w:highlight w:val="none"/>
              </w:rPr>
              <w:t xml:space="preserve">  厂内污水处理站处理工艺流程图</w:t>
            </w:r>
          </w:p>
          <w:p>
            <w:pPr>
              <w:spacing w:line="360" w:lineRule="auto"/>
              <w:rPr>
                <w:color w:val="auto"/>
                <w:sz w:val="24"/>
                <w:szCs w:val="24"/>
              </w:rPr>
            </w:pPr>
            <w:r>
              <w:rPr>
                <w:rFonts w:hint="eastAsia"/>
                <w:b/>
                <w:bCs/>
                <w:color w:val="auto"/>
                <w:sz w:val="24"/>
                <w:szCs w:val="24"/>
              </w:rPr>
              <w:t>（3）污水处理站</w:t>
            </w:r>
            <w:r>
              <w:rPr>
                <w:rFonts w:hint="eastAsia"/>
                <w:b/>
                <w:bCs/>
                <w:color w:val="auto"/>
                <w:sz w:val="24"/>
                <w:szCs w:val="24"/>
                <w:lang w:val="en-US" w:eastAsia="zh-CN"/>
              </w:rPr>
              <w:t>建设</w:t>
            </w:r>
            <w:r>
              <w:rPr>
                <w:rFonts w:hint="eastAsia"/>
                <w:b/>
                <w:bCs/>
                <w:color w:val="auto"/>
                <w:sz w:val="24"/>
                <w:szCs w:val="24"/>
              </w:rPr>
              <w:t>可行性分析：</w:t>
            </w:r>
          </w:p>
          <w:p>
            <w:pPr>
              <w:spacing w:line="360" w:lineRule="auto"/>
              <w:rPr>
                <w:color w:val="auto"/>
                <w:sz w:val="24"/>
                <w:szCs w:val="24"/>
              </w:rPr>
            </w:pPr>
            <w:r>
              <w:rPr>
                <w:color w:val="auto"/>
                <w:sz w:val="24"/>
                <w:szCs w:val="24"/>
                <w:highlight w:val="none"/>
              </w:rPr>
              <w:t>厂区设置1</w:t>
            </w:r>
            <w:r>
              <w:rPr>
                <w:rFonts w:hint="eastAsia"/>
                <w:color w:val="auto"/>
                <w:sz w:val="24"/>
                <w:szCs w:val="24"/>
                <w:highlight w:val="none"/>
              </w:rPr>
              <w:t>座</w:t>
            </w:r>
            <w:r>
              <w:rPr>
                <w:color w:val="auto"/>
                <w:sz w:val="24"/>
                <w:szCs w:val="24"/>
                <w:highlight w:val="none"/>
              </w:rPr>
              <w:t>污水处理</w:t>
            </w:r>
            <w:r>
              <w:rPr>
                <w:rFonts w:hint="eastAsia"/>
                <w:color w:val="auto"/>
                <w:sz w:val="24"/>
                <w:szCs w:val="24"/>
                <w:highlight w:val="none"/>
              </w:rPr>
              <w:t>站</w:t>
            </w:r>
            <w:r>
              <w:rPr>
                <w:color w:val="auto"/>
                <w:sz w:val="24"/>
                <w:szCs w:val="24"/>
                <w:highlight w:val="none"/>
              </w:rPr>
              <w:t>，设计处理规模</w:t>
            </w:r>
            <w:r>
              <w:rPr>
                <w:rFonts w:hint="eastAsia"/>
                <w:color w:val="auto"/>
                <w:sz w:val="24"/>
                <w:szCs w:val="24"/>
                <w:lang w:val="en-US" w:eastAsia="zh-CN"/>
                <w:highlight w:val="none"/>
              </w:rPr>
              <w:t>100</w:t>
            </w:r>
            <w:r>
              <w:rPr>
                <w:color w:val="auto"/>
                <w:sz w:val="24"/>
                <w:szCs w:val="24"/>
                <w:highlight w:val="none"/>
              </w:rPr>
              <w:t>m³/d</w:t>
            </w:r>
            <w:r>
              <w:rPr>
                <w:rFonts w:hint="eastAsia"/>
                <w:color w:val="auto"/>
                <w:sz w:val="24"/>
                <w:szCs w:val="24"/>
                <w:highlight w:val="none"/>
              </w:rPr>
              <w:t>，</w:t>
            </w:r>
            <w:r>
              <w:rPr>
                <w:rFonts w:hint="eastAsia"/>
                <w:color w:val="auto"/>
                <w:sz w:val="24"/>
                <w:szCs w:val="32"/>
                <w:highlight w:val="none"/>
              </w:rPr>
              <w:t>本项目</w:t>
            </w:r>
            <w:r>
              <w:rPr>
                <w:rFonts w:hint="eastAsia"/>
                <w:color w:val="auto"/>
                <w:sz w:val="24"/>
                <w:szCs w:val="32"/>
                <w:lang w:eastAsia="zh-CN"/>
                <w:highlight w:val="none"/>
              </w:rPr>
              <w:t>废水</w:t>
            </w:r>
            <w:r>
              <w:rPr>
                <w:rFonts w:hint="eastAsia"/>
                <w:color w:val="auto"/>
                <w:sz w:val="24"/>
                <w:szCs w:val="24"/>
                <w:lang w:val="en-US" w:eastAsia="zh-CN"/>
                <w:highlight w:val="none"/>
              </w:rPr>
              <w:t>日产生量</w:t>
            </w:r>
            <w:r>
              <w:rPr>
                <w:rFonts w:hint="eastAsia"/>
                <w:color w:val="auto"/>
                <w:sz w:val="24"/>
                <w:szCs w:val="24"/>
                <w:highlight w:val="none"/>
              </w:rPr>
              <w:t>为</w:t>
            </w:r>
            <w:r>
              <w:rPr>
                <w:rFonts w:hint="eastAsia"/>
                <w:color w:val="auto"/>
                <w:sz w:val="24"/>
                <w:szCs w:val="24"/>
                <w:lang w:val="en-US" w:eastAsia="zh-CN"/>
                <w:highlight w:val="none"/>
              </w:rPr>
              <w:t>70.7356m³</w:t>
            </w:r>
            <w:r>
              <w:rPr>
                <w:color w:val="auto"/>
                <w:sz w:val="24"/>
                <w:szCs w:val="24"/>
                <w:highlight w:val="none"/>
              </w:rPr>
              <w:t>/d</w:t>
            </w:r>
            <w:r>
              <w:rPr>
                <w:rFonts w:hint="eastAsia"/>
                <w:color w:val="auto"/>
                <w:sz w:val="24"/>
                <w:szCs w:val="24"/>
                <w:highlight w:val="none"/>
              </w:rPr>
              <w:t>，小于</w:t>
            </w:r>
            <w:r>
              <w:rPr>
                <w:color w:val="auto"/>
                <w:sz w:val="24"/>
                <w:szCs w:val="24"/>
                <w:highlight w:val="none"/>
              </w:rPr>
              <w:t>设计处理规模</w:t>
            </w:r>
            <w:r>
              <w:rPr>
                <w:rFonts w:hint="eastAsia"/>
                <w:color w:val="auto"/>
                <w:sz w:val="24"/>
                <w:szCs w:val="24"/>
                <w:lang w:val="en-US" w:eastAsia="zh-CN"/>
                <w:highlight w:val="none"/>
              </w:rPr>
              <w:t>100</w:t>
            </w:r>
            <w:r>
              <w:rPr>
                <w:rFonts w:hint="eastAsia"/>
                <w:color w:val="auto"/>
                <w:sz w:val="24"/>
                <w:szCs w:val="24"/>
                <w:highlight w:val="none"/>
              </w:rPr>
              <w:t>m³/d</w:t>
            </w:r>
            <w:r>
              <w:rPr>
                <w:color w:val="auto"/>
                <w:sz w:val="24"/>
                <w:szCs w:val="24"/>
                <w:highlight w:val="none"/>
              </w:rPr>
              <w:t>，</w:t>
            </w:r>
            <w:r>
              <w:rPr>
                <w:rFonts w:hint="eastAsia"/>
                <w:color w:val="auto"/>
                <w:sz w:val="24"/>
                <w:szCs w:val="32"/>
                <w:highlight w:val="none"/>
              </w:rPr>
              <w:t>本项目</w:t>
            </w:r>
            <w:r>
              <w:rPr>
                <w:rFonts w:hint="eastAsia"/>
                <w:color w:val="auto"/>
                <w:sz w:val="24"/>
                <w:szCs w:val="24"/>
                <w:highlight w:val="none"/>
              </w:rPr>
              <w:t>污</w:t>
            </w:r>
            <w:r>
              <w:rPr>
                <w:rFonts w:hint="eastAsia"/>
                <w:color w:val="auto"/>
                <w:sz w:val="24"/>
                <w:szCs w:val="24"/>
              </w:rPr>
              <w:t>水处理站</w:t>
            </w:r>
            <w:r>
              <w:rPr>
                <w:rFonts w:hint="eastAsia"/>
                <w:color w:val="auto"/>
                <w:sz w:val="24"/>
                <w:szCs w:val="24"/>
                <w:lang w:val="en-US" w:eastAsia="zh-CN"/>
              </w:rPr>
              <w:t>设计</w:t>
            </w:r>
            <w:r>
              <w:rPr>
                <w:rFonts w:hint="eastAsia"/>
                <w:color w:val="auto"/>
                <w:sz w:val="24"/>
                <w:szCs w:val="24"/>
              </w:rPr>
              <w:t>可行。</w:t>
            </w:r>
          </w:p>
          <w:p>
            <w:pPr>
              <w:spacing w:line="360" w:lineRule="auto"/>
              <w:rPr>
                <w:b/>
                <w:bCs/>
                <w:color w:val="auto"/>
                <w:sz w:val="24"/>
                <w:szCs w:val="24"/>
              </w:rPr>
            </w:pPr>
            <w:r>
              <w:rPr>
                <w:rFonts w:hint="eastAsia"/>
                <w:b/>
                <w:bCs/>
                <w:color w:val="auto"/>
                <w:sz w:val="24"/>
                <w:szCs w:val="24"/>
              </w:rPr>
              <w:t>（4）环保措施可行性分析</w:t>
            </w:r>
          </w:p>
          <w:p>
            <w:pPr>
              <w:spacing w:line="360" w:lineRule="auto"/>
              <w:rPr>
                <w:rFonts w:hint="eastAsia"/>
                <w:color w:val="auto"/>
                <w:sz w:val="24"/>
                <w:szCs w:val="24"/>
              </w:rPr>
            </w:pPr>
            <w:r>
              <w:rPr>
                <w:rFonts w:hint="eastAsia"/>
                <w:color w:val="auto"/>
                <w:sz w:val="24"/>
                <w:szCs w:val="24"/>
              </w:rPr>
              <w:t>参考《排污许可证申请与核发技术规范 酒、饮料制造工业》（HJ 1028—2019）</w:t>
            </w:r>
            <w:r>
              <w:rPr>
                <w:rFonts w:hint="eastAsia"/>
                <w:color w:val="auto"/>
                <w:sz w:val="24"/>
                <w:szCs w:val="24"/>
                <w:lang w:eastAsia="zh-CN"/>
              </w:rPr>
              <w:t>、《排污许可证申请与核发技术规范 食品制造工业—方便食品、食品及饲料添加剂制造工业》（HJ 1030.3—2019）</w:t>
            </w:r>
            <w:r>
              <w:rPr>
                <w:rFonts w:hint="eastAsia"/>
                <w:color w:val="auto"/>
                <w:sz w:val="24"/>
                <w:szCs w:val="24"/>
              </w:rPr>
              <w:t>可知废水治理</w:t>
            </w:r>
            <w:r>
              <w:rPr>
                <w:color w:val="auto"/>
                <w:sz w:val="24"/>
                <w:szCs w:val="24"/>
              </w:rPr>
              <w:t>可行技术参考表分析拟采取的废</w:t>
            </w:r>
            <w:r>
              <w:rPr>
                <w:rFonts w:hint="eastAsia"/>
                <w:color w:val="auto"/>
                <w:sz w:val="24"/>
                <w:szCs w:val="24"/>
              </w:rPr>
              <w:t>水治理</w:t>
            </w:r>
            <w:r>
              <w:rPr>
                <w:color w:val="auto"/>
                <w:sz w:val="24"/>
                <w:szCs w:val="24"/>
              </w:rPr>
              <w:t>设施</w:t>
            </w:r>
            <w:r>
              <w:rPr>
                <w:rFonts w:hint="eastAsia"/>
                <w:color w:val="auto"/>
                <w:sz w:val="24"/>
                <w:szCs w:val="24"/>
              </w:rPr>
              <w:t>的</w:t>
            </w:r>
            <w:r>
              <w:rPr>
                <w:color w:val="auto"/>
                <w:sz w:val="24"/>
                <w:szCs w:val="24"/>
              </w:rPr>
              <w:t>可行性，</w:t>
            </w:r>
            <w:r>
              <w:rPr>
                <w:rFonts w:hint="eastAsia"/>
                <w:color w:val="auto"/>
                <w:sz w:val="24"/>
                <w:szCs w:val="24"/>
              </w:rPr>
              <w:t>具体见下表。</w:t>
            </w:r>
          </w:p>
          <w:p>
            <w:pPr>
              <w:pStyle w:val="24"/>
              <w:bidi w:val="0"/>
              <w:rPr>
                <w:color w:val="auto"/>
              </w:rPr>
            </w:pPr>
            <w:r>
              <w:rPr>
                <w:rFonts w:hint="eastAsia"/>
                <w:color w:val="auto"/>
              </w:rPr>
              <w:t>表4-1</w:t>
            </w:r>
            <w:r>
              <w:rPr>
                <w:rFonts w:hint="eastAsia"/>
                <w:color w:val="auto"/>
                <w:lang w:val="en-US" w:eastAsia="zh-CN"/>
              </w:rPr>
              <w:t>3</w:t>
            </w:r>
            <w:r>
              <w:rPr>
                <w:rFonts w:hint="eastAsia"/>
                <w:color w:val="auto"/>
              </w:rPr>
              <w:t xml:space="preserve">  废</w:t>
            </w:r>
            <w:r>
              <w:rPr>
                <w:rFonts w:hint="eastAsia"/>
                <w:color w:val="auto"/>
                <w:lang w:val="en-US" w:eastAsia="zh-CN"/>
              </w:rPr>
              <w:t>水</w:t>
            </w:r>
            <w:r>
              <w:rPr>
                <w:rFonts w:hint="eastAsia"/>
                <w:color w:val="auto"/>
              </w:rPr>
              <w:t>防治技术可行性分析</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409"/>
              <w:gridCol w:w="1849"/>
              <w:gridCol w:w="1939"/>
              <w:gridCol w:w="2067"/>
              <w:gridCol w:w="1168"/>
            </w:tblGrid>
            <w:tr>
              <w:tc>
                <w:tcPr>
                  <w:tcW w:w="835" w:type="pct"/>
                  <w:vAlign w:val="center"/>
                </w:tcPr>
                <w:p>
                  <w:pPr>
                    <w:pStyle w:val="23"/>
                    <w:bidi w:val="0"/>
                    <w:rPr>
                      <w:color w:val="auto"/>
                    </w:rPr>
                  </w:pPr>
                  <w:r>
                    <w:rPr>
                      <w:rFonts w:hint="eastAsia"/>
                      <w:color w:val="auto"/>
                    </w:rPr>
                    <w:t>废水类别</w:t>
                  </w:r>
                </w:p>
              </w:tc>
              <w:tc>
                <w:tcPr>
                  <w:tcW w:w="1096" w:type="pct"/>
                  <w:vAlign w:val="center"/>
                </w:tcPr>
                <w:p>
                  <w:pPr>
                    <w:pStyle w:val="23"/>
                    <w:bidi w:val="0"/>
                    <w:rPr>
                      <w:color w:val="auto"/>
                    </w:rPr>
                  </w:pPr>
                  <w:r>
                    <w:rPr>
                      <w:rFonts w:hint="eastAsia"/>
                      <w:color w:val="auto"/>
                    </w:rPr>
                    <w:t>污染物种类</w:t>
                  </w:r>
                </w:p>
              </w:tc>
              <w:tc>
                <w:tcPr>
                  <w:tcW w:w="1149" w:type="pct"/>
                  <w:vAlign w:val="center"/>
                </w:tcPr>
                <w:p>
                  <w:pPr>
                    <w:pStyle w:val="23"/>
                    <w:bidi w:val="0"/>
                    <w:rPr>
                      <w:color w:val="auto"/>
                    </w:rPr>
                  </w:pPr>
                  <w:r>
                    <w:rPr>
                      <w:rFonts w:hint="eastAsia"/>
                      <w:color w:val="auto"/>
                    </w:rPr>
                    <w:t>核发技术规范中的可行技术</w:t>
                  </w:r>
                </w:p>
              </w:tc>
              <w:tc>
                <w:tcPr>
                  <w:tcW w:w="1225" w:type="pct"/>
                  <w:vAlign w:val="center"/>
                </w:tcPr>
                <w:p>
                  <w:pPr>
                    <w:pStyle w:val="23"/>
                    <w:bidi w:val="0"/>
                    <w:rPr>
                      <w:color w:val="auto"/>
                    </w:rPr>
                  </w:pPr>
                  <w:r>
                    <w:rPr>
                      <w:rFonts w:hint="eastAsia"/>
                      <w:color w:val="auto"/>
                    </w:rPr>
                    <w:t>本项目采取的措施</w:t>
                  </w:r>
                </w:p>
              </w:tc>
              <w:tc>
                <w:tcPr>
                  <w:tcW w:w="692" w:type="pct"/>
                  <w:vAlign w:val="center"/>
                </w:tcPr>
                <w:p>
                  <w:pPr>
                    <w:pStyle w:val="23"/>
                    <w:bidi w:val="0"/>
                    <w:rPr>
                      <w:color w:val="auto"/>
                    </w:rPr>
                  </w:pPr>
                  <w:r>
                    <w:rPr>
                      <w:rFonts w:hint="eastAsia"/>
                      <w:color w:val="auto"/>
                    </w:rPr>
                    <w:t>是否可行</w:t>
                  </w:r>
                </w:p>
              </w:tc>
            </w:tr>
            <w:tr>
              <w:tc>
                <w:tcPr>
                  <w:tcW w:w="835" w:type="pct"/>
                  <w:vAlign w:val="center"/>
                </w:tcPr>
                <w:p>
                  <w:pPr>
                    <w:pStyle w:val="23"/>
                    <w:bidi w:val="0"/>
                    <w:rPr>
                      <w:color w:val="auto"/>
                    </w:rPr>
                  </w:pPr>
                  <w:r>
                    <w:rPr>
                      <w:rFonts w:hint="eastAsia"/>
                      <w:color w:val="auto"/>
                    </w:rPr>
                    <w:t>综合废水（生产废水、生活污水）</w:t>
                  </w:r>
                </w:p>
              </w:tc>
              <w:tc>
                <w:tcPr>
                  <w:tcW w:w="1096" w:type="pct"/>
                  <w:tcBorders>
                    <w:left w:val="single" w:sz="4" w:space="0" w:color="auto"/>
                  </w:tcBorders>
                  <w:vAlign w:val="center"/>
                </w:tcPr>
                <w:p>
                  <w:pPr>
                    <w:pStyle w:val="23"/>
                    <w:bidi w:val="0"/>
                    <w:rPr>
                      <w:color w:val="auto"/>
                      <w:lang w:val="en-US"/>
                    </w:rPr>
                  </w:pPr>
                  <w:r>
                    <w:rPr>
                      <w:color w:val="auto"/>
                    </w:rPr>
                    <w:t>pH、COD、SS、NH</w:t>
                  </w:r>
                  <w:r>
                    <w:rPr>
                      <w:color w:val="auto"/>
                      <w:vertAlign w:val="subscript"/>
                    </w:rPr>
                    <w:t>3</w:t>
                  </w:r>
                  <w:r>
                    <w:rPr>
                      <w:color w:val="auto"/>
                    </w:rPr>
                    <w:t>-N</w:t>
                  </w:r>
                  <w:r>
                    <w:rPr>
                      <w:rFonts w:hint="eastAsia"/>
                      <w:color w:val="auto"/>
                    </w:rPr>
                    <w:t>、</w:t>
                  </w:r>
                  <w:r>
                    <w:rPr>
                      <w:color w:val="auto"/>
                    </w:rPr>
                    <w:t>BOD</w:t>
                  </w:r>
                  <w:r>
                    <w:rPr>
                      <w:color w:val="auto"/>
                      <w:vertAlign w:val="subscript"/>
                    </w:rPr>
                    <w:t>5</w:t>
                  </w:r>
                  <w:r>
                    <w:rPr>
                      <w:rFonts w:hint="eastAsia"/>
                      <w:color w:val="auto"/>
                      <w:vertAlign w:val="baseline"/>
                      <w:lang w:eastAsia="zh-CN"/>
                    </w:rPr>
                    <w:t>、</w:t>
                  </w:r>
                  <w:r>
                    <w:rPr>
                      <w:rFonts w:hint="eastAsia"/>
                      <w:color w:val="auto"/>
                      <w:vertAlign w:val="baseline"/>
                      <w:lang w:val="en-US" w:eastAsia="zh-CN"/>
                    </w:rPr>
                    <w:t>TN</w:t>
                  </w:r>
                  <w:r>
                    <w:rPr>
                      <w:rFonts w:hint="eastAsia"/>
                      <w:color w:val="auto"/>
                      <w:vertAlign w:val="baseline"/>
                      <w:lang w:eastAsia="zh-CN"/>
                    </w:rPr>
                    <w:t>、</w:t>
                  </w:r>
                  <w:r>
                    <w:rPr>
                      <w:rFonts w:hint="eastAsia"/>
                      <w:color w:val="auto"/>
                      <w:vertAlign w:val="baseline"/>
                      <w:lang w:val="en-US" w:eastAsia="zh-CN"/>
                    </w:rPr>
                    <w:t>TP</w:t>
                  </w:r>
                  <w:r>
                    <w:rPr>
                      <w:rFonts w:hint="eastAsia"/>
                      <w:color w:val="auto"/>
                      <w:vertAlign w:val="baseline"/>
                      <w:lang w:eastAsia="zh-CN"/>
                    </w:rPr>
                    <w:t>、</w:t>
                  </w:r>
                  <w:r>
                    <w:rPr>
                      <w:rFonts w:hint="eastAsia"/>
                      <w:color w:val="auto"/>
                      <w:vertAlign w:val="baseline"/>
                      <w:lang w:val="en-US" w:eastAsia="zh-CN"/>
                    </w:rPr>
                    <w:t>动植物油、色度</w:t>
                  </w:r>
                </w:p>
              </w:tc>
              <w:tc>
                <w:tcPr>
                  <w:tcW w:w="1149" w:type="pct"/>
                  <w:tcBorders>
                    <w:left w:val="single" w:sz="4" w:space="0" w:color="auto"/>
                  </w:tcBorders>
                  <w:vAlign w:val="center"/>
                </w:tcPr>
                <w:p>
                  <w:pPr>
                    <w:pStyle w:val="23"/>
                    <w:bidi w:val="0"/>
                    <w:rPr>
                      <w:color w:val="auto"/>
                    </w:rPr>
                  </w:pPr>
                  <w:r>
                    <w:rPr>
                      <w:color w:val="auto"/>
                    </w:rPr>
                    <w:t>预处理：除油、沉淀、过滤 二级处理：好氧、水解酸化好氧、厌氧-好氧、兼性-好氧、 氧化沟、生物转盘</w:t>
                  </w:r>
                </w:p>
              </w:tc>
              <w:tc>
                <w:tcPr>
                  <w:tcW w:w="1225"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隔油-调节池-气浮-水解池-厌氧池-好氧池-沉淀池-好氧池-二级沉淀-斜管沉淀池</w:t>
                  </w:r>
                </w:p>
              </w:tc>
              <w:tc>
                <w:tcPr>
                  <w:tcW w:w="692" w:type="pct"/>
                  <w:tcBorders>
                    <w:left w:val="single" w:sz="4" w:space="0" w:color="auto"/>
                  </w:tcBorders>
                  <w:vAlign w:val="center"/>
                </w:tcPr>
                <w:p>
                  <w:pPr>
                    <w:pStyle w:val="23"/>
                    <w:bidi w:val="0"/>
                    <w:rPr>
                      <w:color w:val="auto"/>
                    </w:rPr>
                  </w:pPr>
                  <w:r>
                    <w:rPr>
                      <w:rFonts w:hint="eastAsia"/>
                      <w:color w:val="auto"/>
                    </w:rPr>
                    <w:t>是</w:t>
                  </w:r>
                </w:p>
              </w:tc>
            </w:tr>
          </w:tbl>
          <w:p>
            <w:pPr>
              <w:autoSpaceDE w:val="0"/>
              <w:autoSpaceDN w:val="0"/>
              <w:spacing w:line="360" w:lineRule="auto"/>
              <w:rPr>
                <w:color w:val="auto"/>
                <w:sz w:val="24"/>
              </w:rPr>
            </w:pPr>
            <w:r>
              <w:rPr>
                <w:color w:val="auto"/>
                <w:sz w:val="24"/>
              </w:rPr>
              <w:t>本项目综合污水治理措施为可行技术。</w:t>
            </w:r>
          </w:p>
          <w:p>
            <w:pPr>
              <w:widowControl/>
              <w:spacing w:line="360" w:lineRule="auto"/>
              <w:ind w:firstLineChars="200" w:firstLine="480"/>
              <w:rPr>
                <w:rFonts w:hint="eastAsia"/>
                <w:b/>
                <w:bCs/>
                <w:color w:val="auto"/>
                <w:sz w:val="24"/>
              </w:rPr>
            </w:pPr>
            <w:r>
              <w:rPr>
                <w:rFonts w:hint="eastAsia"/>
                <w:b/>
                <w:bCs/>
                <w:color w:val="auto"/>
                <w:sz w:val="24"/>
              </w:rPr>
              <w:t>（5）废水监测计划</w:t>
            </w:r>
          </w:p>
          <w:p>
            <w:pPr>
              <w:widowControl/>
              <w:spacing w:line="360" w:lineRule="auto"/>
              <w:ind w:firstLineChars="200" w:firstLine="480"/>
              <w:rPr>
                <w:color w:val="auto"/>
                <w:sz w:val="24"/>
              </w:rPr>
            </w:pPr>
            <w:r>
              <w:rPr>
                <w:rFonts w:hint="eastAsia"/>
                <w:color w:val="auto"/>
                <w:sz w:val="24"/>
              </w:rPr>
              <w:t>参照</w:t>
            </w:r>
            <w:r>
              <w:rPr>
                <w:color w:val="auto"/>
                <w:sz w:val="24"/>
              </w:rPr>
              <w:t>《</w:t>
            </w:r>
            <w:r>
              <w:rPr>
                <w:rFonts w:hint="eastAsia"/>
                <w:color w:val="auto"/>
                <w:sz w:val="24"/>
              </w:rPr>
              <w:t>排污单位自行监测技术指南 酒、饮料制造</w:t>
            </w:r>
            <w:r>
              <w:rPr>
                <w:color w:val="auto"/>
                <w:sz w:val="24"/>
              </w:rPr>
              <w:t>》（</w:t>
            </w:r>
            <w:r>
              <w:rPr>
                <w:rFonts w:hint="eastAsia"/>
                <w:color w:val="auto"/>
                <w:sz w:val="24"/>
              </w:rPr>
              <w:t>HJ 1085—2020</w:t>
            </w:r>
            <w:r>
              <w:rPr>
                <w:color w:val="auto"/>
                <w:sz w:val="24"/>
              </w:rPr>
              <w:t>）项目废水污染源监测计划见表4-1</w:t>
            </w:r>
            <w:r>
              <w:rPr>
                <w:rFonts w:hint="eastAsia"/>
                <w:color w:val="auto"/>
                <w:sz w:val="24"/>
                <w:lang w:val="en-US" w:eastAsia="zh-CN"/>
              </w:rPr>
              <w:t>4</w:t>
            </w:r>
            <w:r>
              <w:rPr>
                <w:color w:val="auto"/>
                <w:sz w:val="24"/>
              </w:rPr>
              <w:t>。</w:t>
            </w:r>
          </w:p>
          <w:p>
            <w:pPr>
              <w:pStyle w:val="24"/>
              <w:bidi w:val="0"/>
              <w:rPr>
                <w:color w:val="auto"/>
              </w:rPr>
            </w:pPr>
            <w:r>
              <w:rPr>
                <w:color w:val="auto"/>
              </w:rPr>
              <w:t>表4-1</w:t>
            </w:r>
            <w:r>
              <w:rPr>
                <w:rFonts w:hint="eastAsia"/>
                <w:color w:val="auto"/>
                <w:lang w:val="en-US" w:eastAsia="zh-CN"/>
              </w:rPr>
              <w:t>4</w:t>
            </w:r>
            <w:r>
              <w:rPr>
                <w:color w:val="auto"/>
              </w:rPr>
              <w:t xml:space="preserve">  废水污染源监测计划表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34" w:type="dxa"/>
                <w:bottom w:w="0" w:type="dxa"/>
                <w:right w:w="34" w:type="dxa"/>
              </w:tblCellMar>
              <w:tblLook w:val="0600" w:firstRow="0" w:lastRow="0" w:firstColumn="0" w:lastColumn="0" w:noHBand="1" w:noVBand="1"/>
            </w:tblPr>
            <w:tblGrid>
              <w:gridCol w:w="877"/>
              <w:gridCol w:w="1276"/>
              <w:gridCol w:w="1610"/>
              <w:gridCol w:w="1019"/>
              <w:gridCol w:w="3650"/>
            </w:tblGrid>
            <w:tr>
              <w:trPr>
                <w:trHeight w:val="434"/>
              </w:trPr>
              <w:tc>
                <w:tcPr>
                  <w:tcW w:w="520" w:type="pct"/>
                  <w:tcBorders>
                    <w:tl2br w:val="nil"/>
                    <w:tr2bl w:val="nil"/>
                  </w:tcBorders>
                  <w:vAlign w:val="center"/>
                </w:tcPr>
                <w:p>
                  <w:pPr>
                    <w:pStyle w:val="23"/>
                    <w:bidi w:val="0"/>
                    <w:rPr>
                      <w:color w:val="auto"/>
                    </w:rPr>
                  </w:pPr>
                  <w:r>
                    <w:rPr>
                      <w:color w:val="auto"/>
                    </w:rPr>
                    <w:t>类别</w:t>
                  </w:r>
                </w:p>
              </w:tc>
              <w:tc>
                <w:tcPr>
                  <w:tcW w:w="756" w:type="pct"/>
                  <w:tcBorders>
                    <w:tl2br w:val="nil"/>
                    <w:tr2bl w:val="nil"/>
                  </w:tcBorders>
                  <w:vAlign w:val="center"/>
                </w:tcPr>
                <w:p>
                  <w:pPr>
                    <w:pStyle w:val="23"/>
                    <w:bidi w:val="0"/>
                    <w:rPr>
                      <w:color w:val="auto"/>
                    </w:rPr>
                  </w:pPr>
                  <w:r>
                    <w:rPr>
                      <w:color w:val="auto"/>
                    </w:rPr>
                    <w:t>监测点位</w:t>
                  </w:r>
                </w:p>
              </w:tc>
              <w:tc>
                <w:tcPr>
                  <w:tcW w:w="954" w:type="pct"/>
                  <w:tcBorders>
                    <w:tl2br w:val="nil"/>
                    <w:tr2bl w:val="nil"/>
                  </w:tcBorders>
                  <w:vAlign w:val="center"/>
                </w:tcPr>
                <w:p>
                  <w:pPr>
                    <w:pStyle w:val="23"/>
                    <w:bidi w:val="0"/>
                    <w:rPr>
                      <w:color w:val="auto"/>
                    </w:rPr>
                  </w:pPr>
                  <w:r>
                    <w:rPr>
                      <w:color w:val="auto"/>
                    </w:rPr>
                    <w:t>监测指标</w:t>
                  </w:r>
                </w:p>
              </w:tc>
              <w:tc>
                <w:tcPr>
                  <w:tcW w:w="604" w:type="pct"/>
                  <w:tcBorders>
                    <w:tl2br w:val="nil"/>
                    <w:tr2bl w:val="nil"/>
                  </w:tcBorders>
                  <w:vAlign w:val="center"/>
                </w:tcPr>
                <w:p>
                  <w:pPr>
                    <w:pStyle w:val="23"/>
                    <w:bidi w:val="0"/>
                    <w:rPr>
                      <w:color w:val="auto"/>
                    </w:rPr>
                  </w:pPr>
                  <w:r>
                    <w:rPr>
                      <w:color w:val="auto"/>
                    </w:rPr>
                    <w:t>监测频次</w:t>
                  </w:r>
                </w:p>
              </w:tc>
              <w:tc>
                <w:tcPr>
                  <w:tcW w:w="2163" w:type="pct"/>
                  <w:tcBorders>
                    <w:tl2br w:val="nil"/>
                    <w:tr2bl w:val="nil"/>
                  </w:tcBorders>
                  <w:vAlign w:val="center"/>
                </w:tcPr>
                <w:p>
                  <w:pPr>
                    <w:pStyle w:val="23"/>
                    <w:bidi w:val="0"/>
                    <w:rPr>
                      <w:color w:val="auto"/>
                    </w:rPr>
                  </w:pPr>
                  <w:r>
                    <w:rPr>
                      <w:color w:val="auto"/>
                    </w:rPr>
                    <w:t>执行排放标准</w:t>
                  </w:r>
                </w:p>
              </w:tc>
            </w:tr>
            <w:tr>
              <w:trPr>
                <w:trHeight w:val="624"/>
              </w:trPr>
              <w:tc>
                <w:tcPr>
                  <w:tcW w:w="520" w:type="pct"/>
                  <w:tcBorders>
                    <w:tl2br w:val="nil"/>
                    <w:tr2bl w:val="nil"/>
                  </w:tcBorders>
                  <w:vAlign w:val="center"/>
                </w:tcPr>
                <w:p>
                  <w:pPr>
                    <w:pStyle w:val="23"/>
                    <w:bidi w:val="0"/>
                    <w:rPr>
                      <w:color w:val="auto"/>
                    </w:rPr>
                  </w:pPr>
                  <w:r>
                    <w:rPr>
                      <w:color w:val="auto"/>
                    </w:rPr>
                    <w:t>废水</w:t>
                  </w:r>
                </w:p>
              </w:tc>
              <w:tc>
                <w:tcPr>
                  <w:tcW w:w="756" w:type="pct"/>
                  <w:tcBorders>
                    <w:tl2br w:val="nil"/>
                    <w:tr2bl w:val="nil"/>
                  </w:tcBorders>
                  <w:vAlign w:val="center"/>
                </w:tcPr>
                <w:p>
                  <w:pPr>
                    <w:pStyle w:val="23"/>
                    <w:bidi w:val="0"/>
                    <w:rPr>
                      <w:color w:val="auto"/>
                    </w:rPr>
                  </w:pPr>
                  <w:r>
                    <w:rPr>
                      <w:color w:val="auto"/>
                    </w:rPr>
                    <w:t>废水总排口</w:t>
                  </w:r>
                </w:p>
              </w:tc>
              <w:tc>
                <w:tcPr>
                  <w:tcW w:w="954" w:type="pct"/>
                  <w:tcBorders>
                    <w:tl2br w:val="nil"/>
                    <w:tr2bl w:val="nil"/>
                  </w:tcBorders>
                  <w:vAlign w:val="center"/>
                </w:tcPr>
                <w:p>
                  <w:pPr>
                    <w:pStyle w:val="23"/>
                    <w:bidi w:val="0"/>
                    <w:rPr>
                      <w:rFonts w:eastAsia="宋体"/>
                      <w:color w:val="auto"/>
                      <w:vertAlign w:val="baseline"/>
                      <w:lang w:val="en-US" w:eastAsia="zh-CN"/>
                    </w:rPr>
                  </w:pPr>
                  <w:r>
                    <w:rPr>
                      <w:color w:val="auto"/>
                    </w:rPr>
                    <w:t>pH、COD、SS、NH</w:t>
                  </w:r>
                  <w:r>
                    <w:rPr>
                      <w:color w:val="auto"/>
                      <w:vertAlign w:val="subscript"/>
                    </w:rPr>
                    <w:t>3</w:t>
                  </w:r>
                  <w:r>
                    <w:rPr>
                      <w:color w:val="auto"/>
                    </w:rPr>
                    <w:t>-N</w:t>
                  </w:r>
                  <w:r>
                    <w:rPr>
                      <w:rFonts w:hint="eastAsia"/>
                      <w:color w:val="auto"/>
                    </w:rPr>
                    <w:t>、</w:t>
                  </w:r>
                  <w:r>
                    <w:rPr>
                      <w:color w:val="auto"/>
                    </w:rPr>
                    <w:t>BOD</w:t>
                  </w:r>
                  <w:r>
                    <w:rPr>
                      <w:color w:val="auto"/>
                      <w:vertAlign w:val="subscript"/>
                    </w:rPr>
                    <w:t>5</w:t>
                  </w:r>
                  <w:r>
                    <w:rPr>
                      <w:rFonts w:hint="eastAsia"/>
                      <w:color w:val="auto"/>
                      <w:lang w:eastAsia="zh-CN"/>
                    </w:rPr>
                    <w:t>、</w:t>
                  </w:r>
                  <w:r>
                    <w:rPr>
                      <w:rFonts w:hint="eastAsia"/>
                      <w:color w:val="auto"/>
                      <w:lang w:val="en-US" w:eastAsia="zh-CN"/>
                    </w:rPr>
                    <w:t>TN</w:t>
                  </w:r>
                  <w:r>
                    <w:rPr>
                      <w:rFonts w:hint="eastAsia"/>
                      <w:color w:val="auto"/>
                      <w:lang w:eastAsia="zh-CN"/>
                    </w:rPr>
                    <w:t>、</w:t>
                  </w:r>
                  <w:r>
                    <w:rPr>
                      <w:rFonts w:hint="eastAsia"/>
                      <w:color w:val="auto"/>
                      <w:lang w:val="en-US" w:eastAsia="zh-CN"/>
                    </w:rPr>
                    <w:t>TP</w:t>
                  </w:r>
                  <w:r>
                    <w:rPr>
                      <w:rFonts w:hint="eastAsia"/>
                      <w:color w:val="auto"/>
                      <w:lang w:eastAsia="zh-CN"/>
                    </w:rPr>
                    <w:t>、</w:t>
                  </w:r>
                  <w:r>
                    <w:rPr>
                      <w:rFonts w:hint="eastAsia"/>
                      <w:color w:val="auto"/>
                      <w:lang w:val="en-US" w:eastAsia="zh-CN"/>
                    </w:rPr>
                    <w:t>动植物油、色度</w:t>
                  </w:r>
                </w:p>
              </w:tc>
              <w:tc>
                <w:tcPr>
                  <w:tcW w:w="604" w:type="pct"/>
                  <w:tcBorders>
                    <w:tl2br w:val="nil"/>
                    <w:tr2bl w:val="nil"/>
                  </w:tcBorders>
                  <w:vAlign w:val="center"/>
                </w:tcPr>
                <w:p>
                  <w:pPr>
                    <w:pStyle w:val="23"/>
                    <w:bidi w:val="0"/>
                    <w:rPr>
                      <w:color w:val="auto"/>
                    </w:rPr>
                  </w:pPr>
                  <w:r>
                    <w:rPr>
                      <w:color w:val="auto"/>
                    </w:rPr>
                    <w:t>1次/</w:t>
                  </w:r>
                  <w:r>
                    <w:rPr>
                      <w:rFonts w:hint="eastAsia"/>
                      <w:color w:val="auto"/>
                    </w:rPr>
                    <w:t>半</w:t>
                  </w:r>
                  <w:r>
                    <w:rPr>
                      <w:color w:val="auto"/>
                    </w:rPr>
                    <w:t>年</w:t>
                  </w:r>
                </w:p>
              </w:tc>
              <w:tc>
                <w:tcPr>
                  <w:tcW w:w="2163" w:type="pct"/>
                  <w:tcBorders>
                    <w:tl2br w:val="nil"/>
                    <w:tr2bl w:val="nil"/>
                  </w:tcBorders>
                  <w:vAlign w:val="center"/>
                </w:tcPr>
                <w:p>
                  <w:pPr>
                    <w:pStyle w:val="23"/>
                    <w:bidi w:val="0"/>
                    <w:rPr>
                      <w:color w:val="auto"/>
                    </w:rPr>
                  </w:pPr>
                  <w:r>
                    <w:rPr>
                      <w:color w:val="auto"/>
                    </w:rPr>
                    <w:t>《污水综合排放标准》（GB8978-1996）中表4三级标准要求</w:t>
                  </w:r>
                  <w:r>
                    <w:rPr>
                      <w:rFonts w:hint="eastAsia"/>
                      <w:color w:val="auto"/>
                    </w:rPr>
                    <w:t>，</w:t>
                  </w:r>
                  <w:r>
                    <w:rPr>
                      <w:color w:val="auto"/>
                    </w:rPr>
                    <w:t>同时满足与德威华泰石家庄市栾城水务有限公司协议进水水质标准</w:t>
                  </w:r>
                </w:p>
              </w:tc>
            </w:tr>
          </w:tbl>
          <w:p>
            <w:pPr>
              <w:autoSpaceDE w:val="0"/>
              <w:autoSpaceDN w:val="0"/>
              <w:spacing w:line="360" w:lineRule="auto"/>
              <w:rPr>
                <w:color w:val="auto"/>
                <w:sz w:val="24"/>
                <w:szCs w:val="22"/>
              </w:rPr>
            </w:pPr>
            <w:r>
              <w:rPr>
                <w:rFonts w:hint="eastAsia"/>
                <w:b/>
                <w:bCs/>
                <w:color w:val="auto"/>
                <w:sz w:val="24"/>
              </w:rPr>
              <w:t>（6）排入德威华泰石家庄市栾城水务有限公司可行性分析</w:t>
            </w:r>
          </w:p>
          <w:p>
            <w:pPr>
              <w:autoSpaceDE w:val="0"/>
              <w:autoSpaceDN w:val="0"/>
              <w:spacing w:line="360" w:lineRule="auto"/>
              <w:rPr>
                <w:color w:val="auto"/>
                <w:sz w:val="24"/>
                <w:szCs w:val="22"/>
              </w:rPr>
            </w:pPr>
            <w:r>
              <w:rPr>
                <w:rFonts w:hint="eastAsia"/>
                <w:color w:val="auto"/>
                <w:sz w:val="24"/>
                <w:szCs w:val="22"/>
              </w:rPr>
              <w:t>德威华泰石家庄市栾城水务有限公司</w:t>
            </w:r>
            <w:r>
              <w:rPr>
                <w:color w:val="auto"/>
                <w:sz w:val="24"/>
                <w:szCs w:val="22"/>
              </w:rPr>
              <w:t>原为栾城区污水处理厂，位于前彪塚村南1.2km处，占地面积7万m</w:t>
            </w:r>
            <w:r>
              <w:rPr>
                <w:color w:val="auto"/>
                <w:sz w:val="24"/>
                <w:szCs w:val="22"/>
                <w:vertAlign w:val="superscript"/>
              </w:rPr>
              <w:t>2</w:t>
            </w:r>
            <w:r>
              <w:rPr>
                <w:color w:val="auto"/>
                <w:sz w:val="24"/>
                <w:szCs w:val="22"/>
              </w:rPr>
              <w:t>，设计规模为4万</w:t>
            </w:r>
            <w:r>
              <w:rPr>
                <w:rFonts w:hint="eastAsia"/>
                <w:color w:val="auto"/>
                <w:sz w:val="24"/>
                <w:szCs w:val="22"/>
                <w:lang w:eastAsia="zh-CN"/>
              </w:rPr>
              <w:t>m³</w:t>
            </w:r>
            <w:r>
              <w:rPr>
                <w:color w:val="auto"/>
                <w:sz w:val="24"/>
                <w:szCs w:val="22"/>
              </w:rPr>
              <w:t>/d，采用双沟式氧化沟工艺进行处理，该污水处理厂已通过环保验收，目前运行正常。收水范围主要是栾城</w:t>
            </w:r>
            <w:r>
              <w:rPr>
                <w:rFonts w:hint="eastAsia"/>
                <w:color w:val="auto"/>
                <w:sz w:val="24"/>
                <w:szCs w:val="22"/>
                <w:lang w:eastAsia="zh-CN"/>
              </w:rPr>
              <w:t>区域</w:t>
            </w:r>
            <w:r>
              <w:rPr>
                <w:color w:val="auto"/>
                <w:sz w:val="24"/>
                <w:szCs w:val="22"/>
              </w:rPr>
              <w:t>排放的生活污水以及工业聚集区产生的废水，实际污水处理能力约为3.4万</w:t>
            </w:r>
            <w:r>
              <w:rPr>
                <w:rFonts w:hint="eastAsia"/>
                <w:color w:val="auto"/>
                <w:sz w:val="24"/>
                <w:szCs w:val="22"/>
                <w:lang w:eastAsia="zh-CN"/>
              </w:rPr>
              <w:t>m³</w:t>
            </w:r>
            <w:r>
              <w:rPr>
                <w:color w:val="auto"/>
                <w:sz w:val="24"/>
                <w:szCs w:val="22"/>
              </w:rPr>
              <w:t>/d。污水处理厂扩建工程已于2011年底完成，规模为2万</w:t>
            </w:r>
            <w:r>
              <w:rPr>
                <w:rFonts w:hint="eastAsia"/>
                <w:color w:val="auto"/>
                <w:sz w:val="24"/>
                <w:szCs w:val="22"/>
                <w:lang w:eastAsia="zh-CN"/>
              </w:rPr>
              <w:t>m³</w:t>
            </w:r>
            <w:r>
              <w:rPr>
                <w:color w:val="auto"/>
                <w:sz w:val="24"/>
                <w:szCs w:val="22"/>
              </w:rPr>
              <w:t>/d，扩建完成后全厂污水处理总能力为6万</w:t>
            </w:r>
            <w:r>
              <w:rPr>
                <w:rFonts w:hint="eastAsia"/>
                <w:color w:val="auto"/>
                <w:sz w:val="24"/>
                <w:szCs w:val="22"/>
                <w:lang w:eastAsia="zh-CN"/>
              </w:rPr>
              <w:t>m³</w:t>
            </w:r>
            <w:r>
              <w:rPr>
                <w:color w:val="auto"/>
                <w:sz w:val="24"/>
                <w:szCs w:val="22"/>
              </w:rPr>
              <w:t>/d。</w:t>
            </w:r>
            <w:r>
              <w:rPr>
                <w:rFonts w:hint="eastAsia"/>
                <w:color w:val="auto"/>
                <w:sz w:val="24"/>
                <w:szCs w:val="22"/>
              </w:rPr>
              <w:t>德威华泰石家庄市栾城水务有限公司</w:t>
            </w:r>
            <w:r>
              <w:rPr>
                <w:color w:val="auto"/>
                <w:sz w:val="24"/>
                <w:szCs w:val="22"/>
              </w:rPr>
              <w:t>出水水质达到《子牙河流域水污染物排放标准及修改单》（DB13/2796-2018），即：COD&lt;40mg/L、</w:t>
            </w:r>
            <w:r>
              <w:rPr>
                <w:color w:val="auto"/>
                <w:sz w:val="24"/>
              </w:rPr>
              <w:t>BOD</w:t>
            </w:r>
            <w:r>
              <w:rPr>
                <w:color w:val="auto"/>
                <w:sz w:val="24"/>
                <w:vertAlign w:val="subscript"/>
              </w:rPr>
              <w:t>5</w:t>
            </w:r>
            <w:r>
              <w:rPr>
                <w:color w:val="auto"/>
                <w:sz w:val="24"/>
                <w:szCs w:val="22"/>
              </w:rPr>
              <w:t>&lt;10mg/L、SS&lt;10mg/L、NH</w:t>
            </w:r>
            <w:r>
              <w:rPr>
                <w:color w:val="auto"/>
                <w:sz w:val="24"/>
                <w:szCs w:val="22"/>
                <w:vertAlign w:val="subscript"/>
              </w:rPr>
              <w:t>3</w:t>
            </w:r>
            <w:r>
              <w:rPr>
                <w:color w:val="auto"/>
                <w:sz w:val="24"/>
                <w:szCs w:val="22"/>
              </w:rPr>
              <w:t>-N&lt;2（3.5）mg/L、TN&lt;</w:t>
            </w:r>
            <w:r>
              <w:rPr>
                <w:rFonts w:hint="eastAsia"/>
                <w:color w:val="auto"/>
                <w:sz w:val="24"/>
                <w:szCs w:val="22"/>
                <w:lang w:eastAsia="zh-CN"/>
              </w:rPr>
              <w:t>25m</w:t>
            </w:r>
            <w:r>
              <w:rPr>
                <w:color w:val="auto"/>
                <w:sz w:val="24"/>
                <w:szCs w:val="22"/>
              </w:rPr>
              <w:t>g/L、TP&lt;0.4mg/L</w:t>
            </w:r>
            <w:r>
              <w:rPr>
                <w:rFonts w:hint="eastAsia"/>
                <w:color w:val="auto"/>
                <w:sz w:val="24"/>
                <w:szCs w:val="22"/>
              </w:rPr>
              <w:t>、色度</w:t>
            </w:r>
            <w:r>
              <w:rPr>
                <w:rFonts w:ascii="Times New Roman" w:cs="Times New Roman" w:hAnsi="Times New Roman"/>
                <w:color w:val="auto"/>
                <w:sz w:val="24"/>
                <w:szCs w:val="22"/>
              </w:rPr>
              <w:t>&lt;30</w:t>
            </w:r>
            <w:r>
              <w:rPr>
                <w:rFonts w:ascii="Times New Roman" w:cs="Times New Roman" w:hAnsi="Times New Roman"/>
                <w:color w:val="auto"/>
                <w:sz w:val="24"/>
                <w:szCs w:val="22"/>
                <w:lang w:eastAsia="zh-CN"/>
              </w:rPr>
              <w:t>、</w:t>
            </w:r>
            <w:r>
              <w:rPr>
                <w:rFonts w:ascii="Times New Roman" w:cs="Times New Roman" w:hAnsi="Times New Roman"/>
                <w:color w:val="auto"/>
                <w:sz w:val="24"/>
                <w:szCs w:val="22"/>
                <w:lang w:val="en-US" w:eastAsia="zh-CN"/>
              </w:rPr>
              <w:t>动植物油&lt;1mg/L</w:t>
            </w:r>
            <w:r>
              <w:rPr>
                <w:rFonts w:ascii="Times New Roman" w:cs="Times New Roman" w:hAnsi="Times New Roman"/>
                <w:color w:val="auto"/>
                <w:sz w:val="24"/>
                <w:szCs w:val="22"/>
              </w:rPr>
              <w:t>，</w:t>
            </w:r>
            <w:r>
              <w:rPr>
                <w:color w:val="auto"/>
                <w:sz w:val="24"/>
                <w:szCs w:val="22"/>
              </w:rPr>
              <w:t>最终排入洨河。</w:t>
            </w:r>
          </w:p>
          <w:p>
            <w:pPr>
              <w:spacing w:line="360" w:lineRule="auto"/>
              <w:rPr>
                <w:color w:val="auto"/>
                <w:sz w:val="24"/>
                <w:szCs w:val="24"/>
              </w:rPr>
            </w:pPr>
            <w:r>
              <w:rPr>
                <w:rFonts w:hint="eastAsia"/>
                <w:color w:val="auto"/>
                <w:sz w:val="24"/>
                <w:szCs w:val="24"/>
              </w:rPr>
              <w:t>德威华泰石家庄市栾城水务有限公司</w:t>
            </w:r>
            <w:r>
              <w:rPr>
                <w:color w:val="auto"/>
                <w:sz w:val="24"/>
                <w:szCs w:val="24"/>
              </w:rPr>
              <w:t>实际污水处理能力约为4.5万</w:t>
            </w:r>
            <w:r>
              <w:rPr>
                <w:rFonts w:hint="eastAsia"/>
                <w:color w:val="auto"/>
                <w:sz w:val="24"/>
                <w:szCs w:val="24"/>
                <w:lang w:eastAsia="zh-CN"/>
              </w:rPr>
              <w:t>m³</w:t>
            </w:r>
            <w:r>
              <w:rPr>
                <w:color w:val="auto"/>
                <w:sz w:val="24"/>
                <w:szCs w:val="24"/>
              </w:rPr>
              <w:t>/d，污水处理总能力6万</w:t>
            </w:r>
            <w:r>
              <w:rPr>
                <w:rFonts w:hint="eastAsia"/>
                <w:color w:val="auto"/>
                <w:sz w:val="24"/>
                <w:szCs w:val="24"/>
                <w:lang w:eastAsia="zh-CN"/>
              </w:rPr>
              <w:t>m³</w:t>
            </w:r>
            <w:r>
              <w:rPr>
                <w:color w:val="auto"/>
                <w:sz w:val="24"/>
                <w:szCs w:val="24"/>
              </w:rPr>
              <w:t>/d，</w:t>
            </w:r>
            <w:r>
              <w:rPr>
                <w:rFonts w:hint="eastAsia"/>
                <w:color w:val="auto"/>
                <w:sz w:val="24"/>
                <w:szCs w:val="24"/>
                <w:lang w:val="en-US" w:eastAsia="zh-CN"/>
              </w:rPr>
              <w:t>满足</w:t>
            </w:r>
            <w:r>
              <w:rPr>
                <w:color w:val="auto"/>
                <w:sz w:val="24"/>
                <w:szCs w:val="24"/>
              </w:rPr>
              <w:t>本项目</w:t>
            </w:r>
            <w:r>
              <w:rPr>
                <w:rFonts w:hint="eastAsia"/>
                <w:color w:val="auto"/>
                <w:sz w:val="24"/>
                <w:szCs w:val="24"/>
                <w:lang w:val="en-US" w:eastAsia="zh-CN"/>
              </w:rPr>
              <w:t>排水需求</w:t>
            </w:r>
            <w:r>
              <w:rPr>
                <w:color w:val="auto"/>
                <w:sz w:val="24"/>
                <w:szCs w:val="24"/>
              </w:rPr>
              <w:t>，且污水管网目前已铺设至本项目所在地，因此</w:t>
            </w:r>
            <w:r>
              <w:rPr>
                <w:rFonts w:hint="eastAsia"/>
                <w:color w:val="auto"/>
                <w:sz w:val="24"/>
                <w:szCs w:val="24"/>
              </w:rPr>
              <w:t>，</w:t>
            </w:r>
            <w:r>
              <w:rPr>
                <w:color w:val="auto"/>
                <w:sz w:val="24"/>
                <w:szCs w:val="24"/>
              </w:rPr>
              <w:t>项目废水可排入</w:t>
            </w:r>
            <w:r>
              <w:rPr>
                <w:rFonts w:hint="eastAsia"/>
                <w:color w:val="auto"/>
                <w:sz w:val="24"/>
                <w:szCs w:val="24"/>
              </w:rPr>
              <w:t>德威华泰石家庄市栾城水务有限公司</w:t>
            </w:r>
            <w:r>
              <w:rPr>
                <w:color w:val="auto"/>
                <w:sz w:val="24"/>
                <w:szCs w:val="24"/>
              </w:rPr>
              <w:t>进一步处理。</w:t>
            </w:r>
          </w:p>
          <w:p>
            <w:pPr>
              <w:spacing w:line="360" w:lineRule="auto"/>
              <w:rPr>
                <w:color w:val="auto"/>
                <w:sz w:val="24"/>
                <w:szCs w:val="24"/>
              </w:rPr>
            </w:pPr>
            <w:r>
              <w:rPr>
                <w:color w:val="auto"/>
                <w:sz w:val="24"/>
                <w:szCs w:val="24"/>
                <w:highlight w:val="none"/>
              </w:rPr>
              <w:t>根据工程分析，项目废水经处理后，废水</w:t>
            </w:r>
            <w:r>
              <w:rPr>
                <w:rFonts w:hint="eastAsia"/>
                <w:color w:val="auto"/>
                <w:sz w:val="24"/>
                <w:szCs w:val="24"/>
                <w:lang w:val="en-US" w:eastAsia="zh-CN"/>
                <w:highlight w:val="none"/>
              </w:rPr>
              <w:t>排放</w:t>
            </w:r>
            <w:r>
              <w:rPr>
                <w:color w:val="auto"/>
                <w:sz w:val="24"/>
                <w:szCs w:val="24"/>
                <w:highlight w:val="none"/>
              </w:rPr>
              <w:t>量为</w:t>
            </w:r>
            <w:r>
              <w:rPr>
                <w:rFonts w:hint="eastAsia"/>
                <w:color w:val="auto"/>
                <w:sz w:val="24"/>
                <w:szCs w:val="24"/>
                <w:lang w:val="en-US" w:eastAsia="zh-CN"/>
                <w:highlight w:val="none"/>
              </w:rPr>
              <w:t>70.7356m³</w:t>
            </w:r>
            <w:r>
              <w:rPr>
                <w:rFonts w:hint="eastAsia"/>
                <w:color w:val="auto"/>
                <w:sz w:val="24"/>
                <w:szCs w:val="24"/>
                <w:highlight w:val="none"/>
              </w:rPr>
              <w:t>/d</w:t>
            </w:r>
            <w:r>
              <w:rPr>
                <w:color w:val="auto"/>
                <w:sz w:val="24"/>
                <w:szCs w:val="24"/>
                <w:highlight w:val="none"/>
              </w:rPr>
              <w:t>，外排废水中废水污染物排放浓度为pH</w:t>
            </w:r>
            <w:r>
              <w:rPr>
                <w:rFonts w:hint="eastAsia"/>
                <w:color w:val="auto"/>
                <w:sz w:val="24"/>
                <w:szCs w:val="24"/>
                <w:highlight w:val="none"/>
              </w:rPr>
              <w:t xml:space="preserve"> </w:t>
            </w:r>
            <w:r>
              <w:rPr>
                <w:color w:val="auto"/>
                <w:sz w:val="24"/>
                <w:szCs w:val="24"/>
                <w:highlight w:val="none"/>
              </w:rPr>
              <w:t>6~9、COD</w:t>
            </w:r>
            <w:r>
              <w:rPr>
                <w:rFonts w:hint="eastAsia"/>
                <w:color w:val="auto"/>
                <w:sz w:val="24"/>
                <w:szCs w:val="24"/>
                <w:highlight w:val="none"/>
              </w:rPr>
              <w:t xml:space="preserve"> </w:t>
            </w:r>
            <w:r>
              <w:rPr>
                <w:rFonts w:hint="eastAsia"/>
                <w:color w:val="auto"/>
                <w:sz w:val="24"/>
                <w:szCs w:val="24"/>
                <w:lang w:val="en-US" w:eastAsia="zh-CN"/>
                <w:highlight w:val="none"/>
              </w:rPr>
              <w:t>122.49</w:t>
            </w:r>
            <w:r>
              <w:rPr>
                <w:color w:val="auto"/>
                <w:sz w:val="24"/>
                <w:szCs w:val="24"/>
                <w:highlight w:val="none"/>
              </w:rPr>
              <w:t>mg/L，BOD</w:t>
            </w:r>
            <w:r>
              <w:rPr>
                <w:color w:val="auto"/>
                <w:sz w:val="24"/>
                <w:szCs w:val="24"/>
                <w:vertAlign w:val="subscript"/>
                <w:highlight w:val="none"/>
              </w:rPr>
              <w:t>5</w:t>
            </w:r>
            <w:r>
              <w:rPr>
                <w:rFonts w:hint="eastAsia"/>
                <w:color w:val="auto"/>
                <w:sz w:val="24"/>
                <w:szCs w:val="24"/>
                <w:vertAlign w:val="subscript"/>
                <w:highlight w:val="none"/>
              </w:rPr>
              <w:t xml:space="preserve"> </w:t>
            </w:r>
            <w:r>
              <w:rPr>
                <w:rFonts w:hint="eastAsia"/>
                <w:color w:val="auto"/>
                <w:sz w:val="24"/>
                <w:szCs w:val="24"/>
                <w:lang w:val="en-US" w:eastAsia="zh-CN"/>
                <w:highlight w:val="none"/>
              </w:rPr>
              <w:t>230.5</w:t>
            </w:r>
            <w:r>
              <w:rPr>
                <w:color w:val="auto"/>
                <w:sz w:val="24"/>
                <w:szCs w:val="24"/>
                <w:highlight w:val="none"/>
              </w:rPr>
              <w:t>mg/L，SS</w:t>
            </w:r>
            <w:r>
              <w:rPr>
                <w:rFonts w:hint="eastAsia"/>
                <w:color w:val="auto"/>
                <w:sz w:val="24"/>
                <w:szCs w:val="24"/>
                <w:highlight w:val="none"/>
              </w:rPr>
              <w:t xml:space="preserve"> </w:t>
            </w:r>
            <w:r>
              <w:rPr>
                <w:rFonts w:hint="eastAsia"/>
                <w:color w:val="auto"/>
                <w:sz w:val="24"/>
                <w:szCs w:val="24"/>
                <w:lang w:val="en-US" w:eastAsia="zh-CN"/>
                <w:highlight w:val="none"/>
              </w:rPr>
              <w:t>49.15</w:t>
            </w:r>
            <w:r>
              <w:rPr>
                <w:color w:val="auto"/>
                <w:sz w:val="24"/>
                <w:szCs w:val="24"/>
                <w:highlight w:val="none"/>
              </w:rPr>
              <w:t>mg/L，氨氮</w:t>
            </w:r>
            <w:r>
              <w:rPr>
                <w:rFonts w:hint="eastAsia"/>
                <w:color w:val="auto"/>
                <w:sz w:val="24"/>
                <w:szCs w:val="24"/>
                <w:lang w:val="en-US" w:eastAsia="zh-CN"/>
                <w:highlight w:val="none"/>
              </w:rPr>
              <w:t>1.08</w:t>
            </w:r>
            <w:r>
              <w:rPr>
                <w:color w:val="auto"/>
                <w:sz w:val="24"/>
                <w:szCs w:val="24"/>
                <w:highlight w:val="none"/>
              </w:rPr>
              <w:t>mg/L</w:t>
            </w:r>
            <w:r>
              <w:rPr>
                <w:rFonts w:hint="eastAsia"/>
                <w:color w:val="auto"/>
                <w:sz w:val="24"/>
                <w:szCs w:val="24"/>
                <w:lang w:eastAsia="zh-CN"/>
                <w:highlight w:val="none"/>
              </w:rPr>
              <w:t>，</w:t>
            </w:r>
            <w:r>
              <w:rPr>
                <w:rFonts w:hint="eastAsia"/>
                <w:color w:val="auto"/>
                <w:sz w:val="24"/>
                <w:szCs w:val="24"/>
                <w:lang w:val="en-US" w:eastAsia="zh-CN"/>
                <w:highlight w:val="none"/>
              </w:rPr>
              <w:t>总磷0.14mg/L</w:t>
            </w:r>
            <w:r>
              <w:rPr>
                <w:rFonts w:hint="eastAsia"/>
                <w:color w:val="auto"/>
                <w:sz w:val="24"/>
                <w:szCs w:val="24"/>
                <w:lang w:eastAsia="zh-CN"/>
                <w:highlight w:val="none"/>
              </w:rPr>
              <w:t>，</w:t>
            </w:r>
            <w:r>
              <w:rPr>
                <w:rFonts w:hint="eastAsia"/>
                <w:color w:val="auto"/>
                <w:sz w:val="24"/>
                <w:szCs w:val="24"/>
                <w:lang w:val="en-US" w:eastAsia="zh-CN"/>
                <w:highlight w:val="none"/>
              </w:rPr>
              <w:t>总氮1.81mg/L</w:t>
            </w:r>
            <w:r>
              <w:rPr>
                <w:rFonts w:hint="eastAsia"/>
                <w:color w:val="auto"/>
                <w:sz w:val="24"/>
                <w:szCs w:val="24"/>
                <w:lang w:eastAsia="zh-CN"/>
                <w:highlight w:val="none"/>
              </w:rPr>
              <w:t>，</w:t>
            </w:r>
            <w:r>
              <w:rPr>
                <w:rFonts w:hint="eastAsia"/>
                <w:color w:val="auto"/>
                <w:sz w:val="24"/>
                <w:szCs w:val="24"/>
                <w:lang w:val="en-US" w:eastAsia="zh-CN"/>
                <w:highlight w:val="none"/>
              </w:rPr>
              <w:t>动植物油12.03mg/L，色度10倍，</w:t>
            </w:r>
            <w:r>
              <w:rPr>
                <w:color w:val="auto"/>
                <w:sz w:val="24"/>
                <w:szCs w:val="24"/>
              </w:rPr>
              <w:t>可见项目</w:t>
            </w:r>
            <w:r>
              <w:rPr>
                <w:rFonts w:hint="eastAsia"/>
                <w:color w:val="auto"/>
                <w:sz w:val="24"/>
                <w:szCs w:val="24"/>
                <w:lang w:val="en-US" w:eastAsia="zh-CN"/>
              </w:rPr>
              <w:t>废水排放满足</w:t>
            </w:r>
            <w:r>
              <w:rPr>
                <w:color w:val="auto"/>
                <w:sz w:val="24"/>
                <w:szCs w:val="24"/>
              </w:rPr>
              <w:t>《污水综合排放标准》（GB8978-1996）中表4三级标准，同时满足与</w:t>
            </w:r>
            <w:r>
              <w:rPr>
                <w:rFonts w:hint="eastAsia"/>
                <w:color w:val="auto"/>
                <w:sz w:val="24"/>
                <w:szCs w:val="24"/>
              </w:rPr>
              <w:t>德威华泰石家庄市栾城水务有限公司</w:t>
            </w:r>
            <w:r>
              <w:rPr>
                <w:color w:val="auto"/>
                <w:sz w:val="24"/>
                <w:szCs w:val="24"/>
              </w:rPr>
              <w:t>协议进水水质标准，且</w:t>
            </w:r>
            <w:r>
              <w:rPr>
                <w:rFonts w:hint="eastAsia"/>
                <w:color w:val="auto"/>
                <w:sz w:val="24"/>
                <w:szCs w:val="24"/>
              </w:rPr>
              <w:t>德威华泰石家庄市栾城水务有限公司</w:t>
            </w:r>
            <w:r>
              <w:rPr>
                <w:color w:val="auto"/>
                <w:sz w:val="24"/>
                <w:szCs w:val="24"/>
              </w:rPr>
              <w:t>有足够的容量接纳本项目污水。</w:t>
            </w:r>
          </w:p>
          <w:p>
            <w:pPr>
              <w:spacing w:line="360" w:lineRule="auto"/>
              <w:rPr>
                <w:color w:val="auto"/>
                <w:sz w:val="24"/>
                <w:szCs w:val="24"/>
              </w:rPr>
            </w:pPr>
            <w:r>
              <w:rPr>
                <w:color w:val="auto"/>
                <w:sz w:val="24"/>
                <w:szCs w:val="24"/>
              </w:rPr>
              <w:t>因此，</w:t>
            </w:r>
            <w:r>
              <w:rPr>
                <w:rFonts w:hint="eastAsia"/>
                <w:color w:val="auto"/>
                <w:sz w:val="24"/>
                <w:szCs w:val="32"/>
              </w:rPr>
              <w:t>本项目</w:t>
            </w:r>
            <w:r>
              <w:rPr>
                <w:color w:val="auto"/>
                <w:sz w:val="24"/>
                <w:szCs w:val="24"/>
              </w:rPr>
              <w:t>废水经厂区污水处理站处理达标后通过污水管网排放至</w:t>
            </w:r>
            <w:r>
              <w:rPr>
                <w:rFonts w:hint="eastAsia"/>
                <w:color w:val="auto"/>
                <w:sz w:val="24"/>
                <w:szCs w:val="24"/>
              </w:rPr>
              <w:t>德威华泰石家庄市栾城水务有限公司</w:t>
            </w:r>
            <w:r>
              <w:rPr>
                <w:color w:val="auto"/>
                <w:sz w:val="24"/>
                <w:szCs w:val="24"/>
              </w:rPr>
              <w:t>可行。</w:t>
            </w:r>
          </w:p>
          <w:p>
            <w:pPr>
              <w:spacing w:line="360" w:lineRule="auto"/>
              <w:rPr>
                <w:color w:val="auto"/>
                <w:sz w:val="24"/>
                <w:szCs w:val="24"/>
              </w:rPr>
            </w:pPr>
            <w:r>
              <w:rPr>
                <w:color w:val="auto"/>
                <w:sz w:val="24"/>
                <w:szCs w:val="24"/>
              </w:rPr>
              <w:t>综上所述，项目各项废水采取有效的处理措施后，项目的建设对周边地表水影响较小。</w:t>
            </w:r>
          </w:p>
          <w:p>
            <w:pPr>
              <w:spacing w:line="360" w:lineRule="auto"/>
              <w:ind w:firstLineChars="200" w:firstLine="480"/>
              <w:rPr>
                <w:b/>
                <w:bCs/>
                <w:color w:val="auto"/>
                <w:kern w:val="0"/>
                <w:sz w:val="24"/>
              </w:rPr>
            </w:pPr>
            <w:r>
              <w:rPr>
                <w:rFonts w:hint="eastAsia"/>
                <w:b/>
                <w:bCs/>
                <w:color w:val="auto"/>
                <w:kern w:val="0"/>
                <w:sz w:val="24"/>
                <w:lang w:val="en-US" w:eastAsia="zh-CN"/>
              </w:rPr>
              <w:t>三</w:t>
            </w:r>
            <w:r>
              <w:rPr>
                <w:b/>
                <w:bCs/>
                <w:color w:val="auto"/>
                <w:kern w:val="0"/>
                <w:sz w:val="24"/>
              </w:rPr>
              <w:t>、噪声</w:t>
            </w:r>
          </w:p>
          <w:p>
            <w:pPr>
              <w:spacing w:line="360" w:lineRule="auto"/>
              <w:ind w:firstLineChars="200" w:firstLine="480"/>
              <w:rPr>
                <w:color w:val="auto"/>
                <w:sz w:val="24"/>
              </w:rPr>
            </w:pPr>
            <w:r>
              <w:rPr>
                <w:rFonts w:hint="eastAsia"/>
                <w:color w:val="auto"/>
                <w:sz w:val="24"/>
                <w:szCs w:val="32"/>
              </w:rPr>
              <w:t>本项目</w:t>
            </w:r>
            <w:r>
              <w:rPr>
                <w:rFonts w:hint="eastAsia"/>
                <w:color w:val="auto"/>
                <w:sz w:val="24"/>
              </w:rPr>
              <w:t>噪声源主要为</w:t>
            </w:r>
            <w:r>
              <w:rPr>
                <w:rFonts w:hint="eastAsia"/>
                <w:color w:val="auto"/>
                <w:sz w:val="24"/>
                <w:lang w:val="en-US" w:eastAsia="zh-CN"/>
              </w:rPr>
              <w:t>车间内各种</w:t>
            </w:r>
            <w:r>
              <w:rPr>
                <w:rFonts w:hint="eastAsia"/>
                <w:color w:val="auto"/>
                <w:sz w:val="24"/>
              </w:rPr>
              <w:t>生产设备产生的机器噪声，噪声级为75~90dB（A）</w:t>
            </w:r>
            <w:r>
              <w:rPr>
                <w:rFonts w:hint="eastAsia"/>
                <w:color w:val="auto"/>
                <w:sz w:val="24"/>
                <w:lang w:eastAsia="zh-CN"/>
              </w:rPr>
              <w:t>，</w:t>
            </w:r>
            <w:r>
              <w:rPr>
                <w:rFonts w:hint="eastAsia"/>
                <w:color w:val="auto"/>
                <w:sz w:val="24"/>
                <w:lang w:val="en-US" w:eastAsia="zh-CN"/>
              </w:rPr>
              <w:t>以上设备采取减振措施，经采取以上措施可削减噪声15dB(A)</w:t>
            </w:r>
            <w:r>
              <w:rPr>
                <w:rFonts w:hint="eastAsia"/>
                <w:color w:val="auto"/>
                <w:sz w:val="24"/>
              </w:rPr>
              <w:t>。</w:t>
            </w:r>
          </w:p>
          <w:p>
            <w:pPr>
              <w:spacing w:line="360" w:lineRule="auto"/>
              <w:ind w:firstLineChars="200" w:firstLine="480"/>
              <w:rPr>
                <w:rFonts w:hint="eastAsia"/>
                <w:color w:val="auto"/>
                <w:sz w:val="24"/>
              </w:rPr>
            </w:pPr>
            <w:r>
              <w:rPr>
                <w:rFonts w:hint="eastAsia"/>
                <w:color w:val="auto"/>
                <w:sz w:val="24"/>
                <w:lang w:val="en-US" w:eastAsia="zh-CN"/>
              </w:rPr>
              <w:t xml:space="preserve">（1）预测模式 </w:t>
            </w:r>
          </w:p>
          <w:p>
            <w:pPr>
              <w:spacing w:line="360" w:lineRule="auto"/>
              <w:ind w:firstLineChars="200" w:firstLine="480"/>
              <w:rPr>
                <w:rFonts w:hint="eastAsia"/>
                <w:color w:val="auto"/>
                <w:sz w:val="24"/>
              </w:rPr>
            </w:pPr>
            <w:r>
              <w:rPr>
                <w:rFonts w:hint="eastAsia"/>
                <w:color w:val="auto"/>
                <w:sz w:val="24"/>
                <w:lang w:val="en-US" w:eastAsia="zh-CN"/>
              </w:rPr>
              <w:t xml:space="preserve">采用《环境影响评价技术导则 声环境》（HJ2.4-2021）中推荐的模式进行计算。 </w:t>
            </w:r>
          </w:p>
          <w:p>
            <w:pPr>
              <w:spacing w:line="360" w:lineRule="auto"/>
              <w:ind w:firstLineChars="200" w:firstLine="480"/>
              <w:rPr>
                <w:rFonts w:hint="eastAsia"/>
                <w:color w:val="auto"/>
                <w:sz w:val="24"/>
              </w:rPr>
            </w:pPr>
            <w:r>
              <w:rPr>
                <w:rFonts w:hint="eastAsia"/>
                <w:color w:val="auto"/>
                <w:sz w:val="24"/>
                <w:lang w:val="en-US" w:eastAsia="zh-CN"/>
              </w:rPr>
              <w:t xml:space="preserve">（2）噪声源参数的确定 </w:t>
            </w:r>
          </w:p>
          <w:p>
            <w:pPr>
              <w:spacing w:line="360" w:lineRule="auto"/>
              <w:ind w:firstLineChars="200" w:firstLine="480"/>
              <w:rPr>
                <w:color w:val="auto"/>
                <w:sz w:val="24"/>
                <w:lang w:val="en-US"/>
              </w:rPr>
            </w:pPr>
            <w:r>
              <w:rPr>
                <w:rFonts w:hint="eastAsia"/>
                <w:color w:val="auto"/>
                <w:sz w:val="24"/>
                <w:lang w:val="en-US" w:eastAsia="zh-CN"/>
              </w:rPr>
              <w:t>室内噪声源以各车间中心为原点建立坐标系，室外噪声以厂区中心为原点，类比同类设备产噪情况确定本项目各噪声源参数，见下表。</w:t>
            </w:r>
          </w:p>
          <w:p>
            <w:pPr>
              <w:ind w:left="0"/>
              <w:jc w:val="both"/>
              <w:rPr>
                <w:b/>
                <w:color w:val="auto"/>
                <w:kern w:val="0"/>
                <w:szCs w:val="28"/>
              </w:rPr>
            </w:pPr>
          </w:p>
          <w:p>
            <w:pPr>
              <w:ind w:left="0"/>
              <w:jc w:val="both"/>
              <w:rPr>
                <w:b/>
                <w:color w:val="auto"/>
                <w:kern w:val="0"/>
                <w:szCs w:val="28"/>
              </w:rPr>
            </w:pPr>
          </w:p>
          <w:p>
            <w:pPr>
              <w:pStyle w:val="15"/>
              <w:rPr>
                <w:b/>
                <w:color w:val="auto"/>
                <w:kern w:val="0"/>
                <w:szCs w:val="28"/>
              </w:rPr>
            </w:pPr>
          </w:p>
          <w:p>
            <w:pPr>
              <w:pStyle w:val="4"/>
              <w:rPr>
                <w:b/>
                <w:color w:val="auto"/>
                <w:kern w:val="0"/>
                <w:szCs w:val="28"/>
              </w:rPr>
            </w:pPr>
          </w:p>
          <w:p>
            <w:pPr>
              <w:rPr>
                <w:b/>
                <w:color w:val="auto"/>
                <w:kern w:val="0"/>
                <w:szCs w:val="28"/>
              </w:rPr>
            </w:pPr>
          </w:p>
          <w:p>
            <w:pPr>
              <w:pStyle w:val="15"/>
              <w:rPr>
                <w:b/>
                <w:color w:val="auto"/>
                <w:kern w:val="0"/>
                <w:szCs w:val="28"/>
              </w:rPr>
            </w:pPr>
          </w:p>
          <w:p>
            <w:pPr>
              <w:rPr>
                <w:b/>
                <w:color w:val="auto"/>
                <w:kern w:val="0"/>
                <w:szCs w:val="28"/>
              </w:rPr>
            </w:pPr>
          </w:p>
          <w:p>
            <w:pPr>
              <w:rPr>
                <w:b/>
                <w:color w:val="auto"/>
                <w:kern w:val="0"/>
                <w:szCs w:val="28"/>
              </w:rPr>
            </w:pPr>
          </w:p>
          <w:p>
            <w:pPr>
              <w:pStyle w:val="4"/>
              <w:rPr>
                <w:b/>
                <w:color w:val="auto"/>
                <w:kern w:val="0"/>
                <w:szCs w:val="28"/>
              </w:rPr>
            </w:pPr>
          </w:p>
          <w:p>
            <w:pPr>
              <w:rPr>
                <w:b/>
                <w:color w:val="auto"/>
                <w:kern w:val="0"/>
                <w:szCs w:val="28"/>
              </w:rPr>
            </w:pPr>
          </w:p>
          <w:p>
            <w:pPr>
              <w:pStyle w:val="15"/>
              <w:rPr>
                <w:b/>
                <w:color w:val="auto"/>
                <w:kern w:val="0"/>
                <w:szCs w:val="28"/>
              </w:rPr>
            </w:pPr>
          </w:p>
          <w:p>
            <w:pPr>
              <w:pStyle w:val="4"/>
              <w:rPr>
                <w:color w:val="auto"/>
              </w:rPr>
            </w:pPr>
          </w:p>
        </w:tc>
      </w:tr>
    </w:tbl>
    <w:p>
      <w:pPr>
        <w:ind w:left="0"/>
        <w:jc w:val="both"/>
        <w:rPr>
          <w:b/>
          <w:color w:val="auto"/>
          <w:kern w:val="0"/>
          <w:szCs w:val="28"/>
        </w:rPr>
        <w:sectPr>
          <w:pgSz w:w="11907" w:h="16840"/>
          <w:pgMar w:top="1417" w:right="1417" w:bottom="1417" w:left="1417" w:header="851" w:footer="851" w:gutter="0"/>
          <w:pgNumType/>
          <w:cols w:num="1" w:space="720"/>
          <w:docGrid w:linePitch="312" w:charSpace="0"/>
        </w:sectPr>
      </w:pPr>
    </w:p>
    <w:tbl>
      <w:tblPr>
        <w:jc w:val="left"/>
        <w:tblInd w:w="0" w:type="dxa"/>
        <w:tblW w:w="13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44"/>
        <w:gridCol w:w="12784"/>
      </w:tblGrid>
      <w:tr>
        <w:tc>
          <w:tcPr>
            <w:tcW w:w="444" w:type="dxa"/>
          </w:tcPr>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0"/>
              <w:jc w:val="both"/>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tc>
        <w:tc>
          <w:tcPr>
            <w:tcW w:w="12784" w:type="dxa"/>
          </w:tcPr>
          <w:p>
            <w:pPr>
              <w:pStyle w:val="24"/>
              <w:bidi w:val="0"/>
              <w:rPr>
                <w:color w:val="auto"/>
              </w:rPr>
            </w:pPr>
            <w:r>
              <w:rPr>
                <w:color w:val="auto"/>
              </w:rPr>
              <w:t>表4-</w:t>
            </w:r>
            <w:r>
              <w:rPr>
                <w:rFonts w:hint="eastAsia"/>
                <w:color w:val="auto"/>
              </w:rPr>
              <w:t>1</w:t>
            </w:r>
            <w:r>
              <w:rPr>
                <w:rFonts w:hint="eastAsia"/>
                <w:color w:val="auto"/>
                <w:lang w:val="en-US" w:eastAsia="zh-CN"/>
              </w:rPr>
              <w:t>5  室内</w:t>
            </w:r>
            <w:r>
              <w:rPr>
                <w:color w:val="auto"/>
              </w:rPr>
              <w:t>噪声源参数一览表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50"/>
              <w:gridCol w:w="914"/>
              <w:gridCol w:w="970"/>
              <w:gridCol w:w="2126"/>
              <w:gridCol w:w="595"/>
              <w:gridCol w:w="595"/>
              <w:gridCol w:w="593"/>
              <w:gridCol w:w="590"/>
              <w:gridCol w:w="736"/>
              <w:gridCol w:w="1038"/>
              <w:gridCol w:w="623"/>
              <w:gridCol w:w="1073"/>
              <w:gridCol w:w="571"/>
              <w:gridCol w:w="701"/>
              <w:gridCol w:w="11"/>
              <w:gridCol w:w="10"/>
              <w:gridCol w:w="762"/>
            </w:tblGrid>
            <w:tr>
              <w:trPr>
                <w:trHeight w:val="23"/>
              </w:trPr>
              <w:tc>
                <w:tcPr>
                  <w:tcW w:w="95" w:type="dxa"/>
                  <w:vMerge w:val="restart"/>
                  <w:vAlign w:val="center"/>
                </w:tcPr>
                <w:p>
                  <w:pPr>
                    <w:pStyle w:val="23"/>
                    <w:bidi w:val="0"/>
                    <w:rPr>
                      <w:color w:val="auto"/>
                    </w:rPr>
                  </w:pPr>
                  <w:r>
                    <w:rPr>
                      <w:color w:val="auto"/>
                    </w:rPr>
                    <w:t>建筑物名称</w:t>
                  </w:r>
                </w:p>
              </w:tc>
              <w:tc>
                <w:tcPr>
                  <w:tcW w:w="152" w:type="dxa"/>
                  <w:vMerge w:val="restart"/>
                  <w:vAlign w:val="center"/>
                </w:tcPr>
                <w:p>
                  <w:pPr>
                    <w:pStyle w:val="23"/>
                    <w:bidi w:val="0"/>
                    <w:rPr>
                      <w:color w:val="auto"/>
                    </w:rPr>
                  </w:pPr>
                  <w:r>
                    <w:rPr>
                      <w:color w:val="auto"/>
                    </w:rPr>
                    <w:t>声源</w:t>
                  </w:r>
                </w:p>
              </w:tc>
              <w:tc>
                <w:tcPr>
                  <w:tcW w:w="165" w:type="dxa"/>
                  <w:vMerge w:val="restart"/>
                  <w:vAlign w:val="center"/>
                </w:tcPr>
                <w:p>
                  <w:pPr>
                    <w:pStyle w:val="23"/>
                    <w:bidi w:val="0"/>
                    <w:rPr>
                      <w:color w:val="auto"/>
                    </w:rPr>
                  </w:pPr>
                  <w:r>
                    <w:rPr>
                      <w:color w:val="auto"/>
                    </w:rPr>
                    <w:t>声功率级/dB（A）</w:t>
                  </w:r>
                </w:p>
              </w:tc>
              <w:tc>
                <w:tcPr>
                  <w:tcW w:w="381" w:type="dxa"/>
                  <w:vMerge w:val="restart"/>
                  <w:vAlign w:val="center"/>
                </w:tcPr>
                <w:p>
                  <w:pPr>
                    <w:pStyle w:val="23"/>
                    <w:bidi w:val="0"/>
                    <w:rPr>
                      <w:color w:val="auto"/>
                    </w:rPr>
                  </w:pPr>
                  <w:r>
                    <w:rPr>
                      <w:color w:val="auto"/>
                    </w:rPr>
                    <w:t>声源控制措施</w:t>
                  </w:r>
                </w:p>
              </w:tc>
              <w:tc>
                <w:tcPr>
                  <w:tcW w:w="248" w:type="dxa"/>
                  <w:gridSpan w:val="3"/>
                  <w:vAlign w:val="center"/>
                </w:tcPr>
                <w:p>
                  <w:pPr>
                    <w:pStyle w:val="23"/>
                    <w:bidi w:val="0"/>
                    <w:rPr>
                      <w:color w:val="auto"/>
                    </w:rPr>
                  </w:pPr>
                  <w:r>
                    <w:rPr>
                      <w:color w:val="auto"/>
                    </w:rPr>
                    <w:t>空间相对位置/m</w:t>
                  </w:r>
                </w:p>
              </w:tc>
              <w:tc>
                <w:tcPr>
                  <w:tcW w:w="195" w:type="dxa"/>
                  <w:gridSpan w:val="2"/>
                  <w:vMerge w:val="restart"/>
                  <w:vAlign w:val="center"/>
                </w:tcPr>
                <w:p>
                  <w:pPr>
                    <w:pStyle w:val="23"/>
                    <w:bidi w:val="0"/>
                    <w:rPr>
                      <w:color w:val="auto"/>
                    </w:rPr>
                  </w:pPr>
                  <w:r>
                    <w:rPr>
                      <w:color w:val="auto"/>
                    </w:rPr>
                    <w:t>距室内边界距离/m*</w:t>
                  </w:r>
                </w:p>
              </w:tc>
              <w:tc>
                <w:tcPr>
                  <w:tcW w:w="180" w:type="dxa"/>
                  <w:vMerge w:val="restart"/>
                  <w:vAlign w:val="center"/>
                </w:tcPr>
                <w:p>
                  <w:pPr>
                    <w:pStyle w:val="23"/>
                    <w:bidi w:val="0"/>
                    <w:rPr>
                      <w:color w:val="auto"/>
                    </w:rPr>
                  </w:pPr>
                  <w:r>
                    <w:rPr>
                      <w:color w:val="auto"/>
                    </w:rPr>
                    <w:t>室内边界声级/dB（A）</w:t>
                  </w:r>
                </w:p>
              </w:tc>
              <w:tc>
                <w:tcPr>
                  <w:tcW w:w="89" w:type="dxa"/>
                  <w:vMerge w:val="restart"/>
                  <w:vAlign w:val="center"/>
                </w:tcPr>
                <w:p>
                  <w:pPr>
                    <w:pStyle w:val="23"/>
                    <w:bidi w:val="0"/>
                    <w:rPr>
                      <w:color w:val="auto"/>
                    </w:rPr>
                  </w:pPr>
                  <w:r>
                    <w:rPr>
                      <w:color w:val="auto"/>
                    </w:rPr>
                    <w:t>运行时段</w:t>
                  </w:r>
                </w:p>
              </w:tc>
              <w:tc>
                <w:tcPr>
                  <w:tcW w:w="187" w:type="dxa"/>
                  <w:vMerge w:val="restart"/>
                  <w:vAlign w:val="center"/>
                </w:tcPr>
                <w:p>
                  <w:pPr>
                    <w:pStyle w:val="23"/>
                    <w:bidi w:val="0"/>
                    <w:rPr>
                      <w:color w:val="auto"/>
                    </w:rPr>
                  </w:pPr>
                  <w:r>
                    <w:rPr>
                      <w:color w:val="auto"/>
                    </w:rPr>
                    <w:t>建筑物插入损失/dB（A）</w:t>
                  </w:r>
                </w:p>
              </w:tc>
              <w:tc>
                <w:tcPr>
                  <w:tcW w:w="306" w:type="dxa"/>
                  <w:gridSpan w:val="5"/>
                  <w:vAlign w:val="center"/>
                </w:tcPr>
                <w:p>
                  <w:pPr>
                    <w:pStyle w:val="23"/>
                    <w:bidi w:val="0"/>
                    <w:rPr>
                      <w:color w:val="auto"/>
                    </w:rPr>
                  </w:pPr>
                  <w:r>
                    <w:rPr>
                      <w:color w:val="auto"/>
                    </w:rPr>
                    <w:t>建筑物外噪声</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tcBorders>
                    <w:left w:val="single" w:sz="4" w:space="0" w:color="auto"/>
                  </w:tcBorders>
                  <w:vAlign w:val="center"/>
                </w:tcPr>
                <w:p>
                  <w:pPr>
                    <w:pStyle w:val="23"/>
                    <w:bidi w:val="0"/>
                    <w:rPr>
                      <w:color w:val="auto"/>
                    </w:rPr>
                  </w:pPr>
                  <w:r>
                    <w:rPr>
                      <w:color w:val="auto"/>
                    </w:rPr>
                    <w:t>X</w:t>
                  </w:r>
                </w:p>
              </w:tc>
              <w:tc>
                <w:tcPr>
                  <w:tcW w:w="83" w:type="dxa"/>
                  <w:tcBorders>
                    <w:left w:val="single" w:sz="4" w:space="0" w:color="auto"/>
                  </w:tcBorders>
                  <w:vAlign w:val="center"/>
                </w:tcPr>
                <w:p>
                  <w:pPr>
                    <w:pStyle w:val="23"/>
                    <w:bidi w:val="0"/>
                    <w:rPr>
                      <w:color w:val="auto"/>
                    </w:rPr>
                  </w:pPr>
                  <w:r>
                    <w:rPr>
                      <w:color w:val="auto"/>
                    </w:rPr>
                    <w:t>Y</w:t>
                  </w:r>
                </w:p>
              </w:tc>
              <w:tc>
                <w:tcPr>
                  <w:tcW w:w="82" w:type="dxa"/>
                  <w:tcBorders>
                    <w:left w:val="single" w:sz="4" w:space="0" w:color="auto"/>
                  </w:tcBorders>
                  <w:vAlign w:val="center"/>
                </w:tcPr>
                <w:p>
                  <w:pPr>
                    <w:pStyle w:val="23"/>
                    <w:bidi w:val="0"/>
                    <w:rPr>
                      <w:color w:val="auto"/>
                    </w:rPr>
                  </w:pPr>
                  <w:r>
                    <w:rPr>
                      <w:color w:val="auto"/>
                    </w:rPr>
                    <w:t>Z</w:t>
                  </w:r>
                </w:p>
              </w:tc>
              <w:tc>
                <w:tcPr>
                  <w:tcW w:w="195" w:type="dxa"/>
                  <w:gridSpan w:val="2"/>
                  <w:vMerge/>
                  <w:tcBorders>
                    <w:left w:val="single" w:sz="4" w:space="0" w:color="auto"/>
                  </w:tcBorders>
                  <w:vAlign w:val="center"/>
                </w:tcPr>
                <w:p/>
              </w:tc>
              <w:tc>
                <w:tcPr>
                  <w:tcW w:w="180" w:type="dxa"/>
                  <w:vMerge/>
                  <w:tcBorders>
                    <w:left w:val="single" w:sz="4" w:space="0" w:color="auto"/>
                  </w:tcBorders>
                  <w:vAlign w:val="center"/>
                </w:tcP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185" w:type="dxa"/>
                  <w:gridSpan w:val="3"/>
                  <w:tcBorders>
                    <w:left w:val="single" w:sz="4" w:space="0" w:color="auto"/>
                  </w:tcBorders>
                  <w:vAlign w:val="center"/>
                </w:tcPr>
                <w:p>
                  <w:pPr>
                    <w:pStyle w:val="23"/>
                    <w:bidi w:val="0"/>
                    <w:rPr>
                      <w:color w:val="auto"/>
                    </w:rPr>
                  </w:pPr>
                  <w:r>
                    <w:rPr>
                      <w:color w:val="auto"/>
                    </w:rPr>
                    <w:t>声压级/dB（A）</w:t>
                  </w:r>
                </w:p>
              </w:tc>
              <w:tc>
                <w:tcPr>
                  <w:tcW w:w="121" w:type="dxa"/>
                  <w:gridSpan w:val="2"/>
                  <w:tcBorders>
                    <w:left w:val="single" w:sz="4" w:space="0" w:color="auto"/>
                  </w:tcBorders>
                  <w:vAlign w:val="center"/>
                </w:tcPr>
                <w:p>
                  <w:pPr>
                    <w:pStyle w:val="23"/>
                    <w:bidi w:val="0"/>
                    <w:rPr>
                      <w:color w:val="auto"/>
                    </w:rPr>
                  </w:pPr>
                  <w:r>
                    <w:rPr>
                      <w:color w:val="auto"/>
                    </w:rPr>
                    <w:t>建筑物外距离/m</w:t>
                  </w:r>
                </w:p>
              </w:tc>
            </w:tr>
            <w:tr>
              <w:trPr>
                <w:trHeight w:val="23"/>
              </w:trPr>
              <w:tc>
                <w:tcPr>
                  <w:tcW w:w="95" w:type="dxa"/>
                  <w:vMerge w:val="restart"/>
                  <w:vAlign w:val="center"/>
                </w:tcPr>
                <w:p>
                  <w:pPr>
                    <w:pStyle w:val="23"/>
                    <w:bidi w:val="0"/>
                    <w:rPr>
                      <w:color w:val="auto"/>
                      <w:lang w:val="en-US" w:eastAsia="zh-CN"/>
                    </w:rPr>
                  </w:pPr>
                  <w:r>
                    <w:rPr>
                      <w:rFonts w:hint="eastAsia"/>
                      <w:color w:val="auto"/>
                      <w:lang w:val="en-US" w:eastAsia="zh-CN"/>
                    </w:rPr>
                    <w:t>1#车间2层</w:t>
                  </w: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V型混合机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90</w:t>
                  </w:r>
                </w:p>
              </w:tc>
              <w:tc>
                <w:tcPr>
                  <w:tcW w:w="381" w:type="dxa"/>
                  <w:vMerge w:val="restart"/>
                  <w:tcBorders>
                    <w:left w:val="single" w:sz="4" w:space="0" w:color="auto"/>
                  </w:tcBorders>
                  <w:vAlign w:val="center"/>
                </w:tcPr>
                <w:p>
                  <w:pPr>
                    <w:pStyle w:val="23"/>
                    <w:bidi w:val="0"/>
                    <w:rPr>
                      <w:color w:val="auto"/>
                    </w:rPr>
                  </w:pPr>
                  <w:r>
                    <w:rPr>
                      <w:color w:val="auto"/>
                    </w:rPr>
                    <w:t>选用低噪声设备，所有设备均设置于车间内，并对底部进行基础减振，厂房进行隔声等措施</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30</w:t>
                  </w:r>
                </w:p>
              </w:tc>
              <w:tc>
                <w:tcPr>
                  <w:tcW w:w="180" w:type="dxa"/>
                  <w:tcBorders>
                    <w:left w:val="single" w:sz="4" w:space="0" w:color="auto"/>
                  </w:tcBorders>
                  <w:vAlign w:val="bottom"/>
                </w:tcPr>
                <w:p>
                  <w:pPr>
                    <w:pStyle w:val="23"/>
                    <w:bidi w:val="0"/>
                    <w:rPr>
                      <w:color w:val="auto"/>
                    </w:rPr>
                  </w:pPr>
                  <w:r>
                    <w:rPr>
                      <w:color w:val="auto"/>
                      <w:lang w:val="en-US" w:eastAsia="zh-CN"/>
                    </w:rPr>
                    <w:t>45.5</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25.5</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52.5</w:t>
                  </w:r>
                </w:p>
              </w:tc>
              <w:tc>
                <w:tcPr>
                  <w:tcW w:w="180" w:type="dxa"/>
                  <w:tcBorders>
                    <w:left w:val="single" w:sz="4" w:space="0" w:color="auto"/>
                  </w:tcBorders>
                  <w:vAlign w:val="bottom"/>
                </w:tcPr>
                <w:p>
                  <w:pPr>
                    <w:pStyle w:val="23"/>
                    <w:bidi w:val="0"/>
                    <w:rPr>
                      <w:color w:val="auto"/>
                    </w:rPr>
                  </w:pPr>
                  <w:r>
                    <w:rPr>
                      <w:color w:val="auto"/>
                      <w:lang w:val="en-US" w:eastAsia="zh-CN"/>
                    </w:rPr>
                    <w:t>40.6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10</w:t>
                  </w:r>
                </w:p>
              </w:tc>
              <w:tc>
                <w:tcPr>
                  <w:tcW w:w="180" w:type="dxa"/>
                  <w:tcBorders>
                    <w:left w:val="single" w:sz="4" w:space="0" w:color="auto"/>
                  </w:tcBorders>
                  <w:vAlign w:val="bottom"/>
                </w:tcPr>
                <w:p>
                  <w:pPr>
                    <w:pStyle w:val="23"/>
                    <w:bidi w:val="0"/>
                    <w:rPr>
                      <w:color w:val="auto"/>
                    </w:rPr>
                  </w:pPr>
                  <w:r>
                    <w:rPr>
                      <w:color w:val="auto"/>
                      <w:lang w:val="en-US" w:eastAsia="zh-CN"/>
                    </w:rPr>
                    <w:t>55.0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35.0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32.5</w:t>
                  </w:r>
                </w:p>
              </w:tc>
              <w:tc>
                <w:tcPr>
                  <w:tcW w:w="180" w:type="dxa"/>
                  <w:tcBorders>
                    <w:left w:val="single" w:sz="4" w:space="0" w:color="auto"/>
                  </w:tcBorders>
                  <w:vAlign w:val="bottom"/>
                </w:tcPr>
                <w:p>
                  <w:pPr>
                    <w:pStyle w:val="23"/>
                    <w:bidi w:val="0"/>
                    <w:rPr>
                      <w:color w:val="auto"/>
                    </w:rPr>
                  </w:pPr>
                  <w:r>
                    <w:rPr>
                      <w:color w:val="auto"/>
                      <w:lang w:val="en-US" w:eastAsia="zh-CN"/>
                    </w:rPr>
                    <w:t>44.8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24.8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锥型混合机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90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-13</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33</w:t>
                  </w:r>
                </w:p>
              </w:tc>
              <w:tc>
                <w:tcPr>
                  <w:tcW w:w="180" w:type="dxa"/>
                  <w:tcBorders>
                    <w:left w:val="single" w:sz="4" w:space="0" w:color="auto"/>
                  </w:tcBorders>
                  <w:vAlign w:val="bottom"/>
                </w:tcPr>
                <w:p>
                  <w:pPr>
                    <w:pStyle w:val="23"/>
                    <w:bidi w:val="0"/>
                    <w:rPr>
                      <w:color w:val="auto"/>
                    </w:rPr>
                  </w:pPr>
                  <w:r>
                    <w:rPr>
                      <w:color w:val="auto"/>
                      <w:lang w:val="en-US" w:eastAsia="zh-CN"/>
                    </w:rPr>
                    <w:t>44.6</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24.6</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52.5</w:t>
                  </w:r>
                </w:p>
              </w:tc>
              <w:tc>
                <w:tcPr>
                  <w:tcW w:w="180" w:type="dxa"/>
                  <w:tcBorders>
                    <w:left w:val="single" w:sz="4" w:space="0" w:color="auto"/>
                  </w:tcBorders>
                  <w:vAlign w:val="bottom"/>
                </w:tcPr>
                <w:p>
                  <w:pPr>
                    <w:pStyle w:val="23"/>
                    <w:bidi w:val="0"/>
                    <w:rPr>
                      <w:color w:val="auto"/>
                    </w:rPr>
                  </w:pPr>
                  <w:r>
                    <w:rPr>
                      <w:color w:val="auto"/>
                      <w:lang w:val="en-US" w:eastAsia="zh-CN"/>
                    </w:rPr>
                    <w:t>40.6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w:t>
                  </w:r>
                </w:p>
              </w:tc>
              <w:tc>
                <w:tcPr>
                  <w:tcW w:w="180" w:type="dxa"/>
                  <w:tcBorders>
                    <w:left w:val="single" w:sz="4" w:space="0" w:color="auto"/>
                  </w:tcBorders>
                  <w:vAlign w:val="bottom"/>
                </w:tcPr>
                <w:p>
                  <w:pPr>
                    <w:pStyle w:val="23"/>
                    <w:bidi w:val="0"/>
                    <w:rPr>
                      <w:color w:val="auto"/>
                    </w:rPr>
                  </w:pPr>
                  <w:r>
                    <w:rPr>
                      <w:color w:val="auto"/>
                      <w:lang w:val="en-US" w:eastAsia="zh-CN"/>
                    </w:rPr>
                    <w:t>58.1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38.1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32.5</w:t>
                  </w:r>
                </w:p>
              </w:tc>
              <w:tc>
                <w:tcPr>
                  <w:tcW w:w="180" w:type="dxa"/>
                  <w:tcBorders>
                    <w:left w:val="single" w:sz="4" w:space="0" w:color="auto"/>
                  </w:tcBorders>
                  <w:vAlign w:val="bottom"/>
                </w:tcPr>
                <w:p>
                  <w:pPr>
                    <w:pStyle w:val="23"/>
                    <w:bidi w:val="0"/>
                    <w:rPr>
                      <w:color w:val="auto"/>
                    </w:rPr>
                  </w:pPr>
                  <w:r>
                    <w:rPr>
                      <w:color w:val="auto"/>
                      <w:lang w:val="en-US" w:eastAsia="zh-CN"/>
                    </w:rPr>
                    <w:t>44.8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24.8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犁刀混合机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90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-16</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36</w:t>
                  </w:r>
                </w:p>
              </w:tc>
              <w:tc>
                <w:tcPr>
                  <w:tcW w:w="180" w:type="dxa"/>
                  <w:tcBorders>
                    <w:left w:val="single" w:sz="4" w:space="0" w:color="auto"/>
                  </w:tcBorders>
                  <w:vAlign w:val="bottom"/>
                </w:tcPr>
                <w:p>
                  <w:pPr>
                    <w:pStyle w:val="23"/>
                    <w:bidi w:val="0"/>
                    <w:rPr>
                      <w:color w:val="auto"/>
                    </w:rPr>
                  </w:pPr>
                  <w:r>
                    <w:rPr>
                      <w:color w:val="auto"/>
                      <w:lang w:val="en-US" w:eastAsia="zh-CN"/>
                    </w:rPr>
                    <w:t>43.9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52.5</w:t>
                  </w:r>
                </w:p>
              </w:tc>
              <w:tc>
                <w:tcPr>
                  <w:tcW w:w="180" w:type="dxa"/>
                  <w:tcBorders>
                    <w:left w:val="single" w:sz="4" w:space="0" w:color="auto"/>
                  </w:tcBorders>
                  <w:vAlign w:val="bottom"/>
                </w:tcPr>
                <w:p>
                  <w:pPr>
                    <w:pStyle w:val="23"/>
                    <w:bidi w:val="0"/>
                    <w:rPr>
                      <w:color w:val="auto"/>
                    </w:rPr>
                  </w:pPr>
                  <w:r>
                    <w:rPr>
                      <w:color w:val="auto"/>
                      <w:lang w:val="en-US" w:eastAsia="zh-CN"/>
                    </w:rPr>
                    <w:t>40.6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w:t>
                  </w:r>
                </w:p>
              </w:tc>
              <w:tc>
                <w:tcPr>
                  <w:tcW w:w="180" w:type="dxa"/>
                  <w:tcBorders>
                    <w:left w:val="single" w:sz="4" w:space="0" w:color="auto"/>
                  </w:tcBorders>
                  <w:vAlign w:val="bottom"/>
                </w:tcPr>
                <w:p>
                  <w:pPr>
                    <w:pStyle w:val="23"/>
                    <w:bidi w:val="0"/>
                    <w:rPr>
                      <w:color w:val="auto"/>
                    </w:rPr>
                  </w:pPr>
                  <w:r>
                    <w:rPr>
                      <w:color w:val="auto"/>
                      <w:lang w:val="en-US" w:eastAsia="zh-CN"/>
                    </w:rPr>
                    <w:t>63.0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43.0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32.5</w:t>
                  </w:r>
                </w:p>
              </w:tc>
              <w:tc>
                <w:tcPr>
                  <w:tcW w:w="180" w:type="dxa"/>
                  <w:tcBorders>
                    <w:left w:val="single" w:sz="4" w:space="0" w:color="auto"/>
                  </w:tcBorders>
                  <w:vAlign w:val="bottom"/>
                </w:tcPr>
                <w:p>
                  <w:pPr>
                    <w:pStyle w:val="23"/>
                    <w:bidi w:val="0"/>
                    <w:rPr>
                      <w:color w:val="auto"/>
                    </w:rPr>
                  </w:pPr>
                  <w:r>
                    <w:rPr>
                      <w:color w:val="auto"/>
                      <w:lang w:val="en-US" w:eastAsia="zh-CN"/>
                    </w:rPr>
                    <w:t>44.8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24.8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V型混合机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90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-19</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39</w:t>
                  </w:r>
                </w:p>
              </w:tc>
              <w:tc>
                <w:tcPr>
                  <w:tcW w:w="180" w:type="dxa"/>
                  <w:tcBorders>
                    <w:left w:val="single" w:sz="4" w:space="0" w:color="auto"/>
                  </w:tcBorders>
                  <w:vAlign w:val="bottom"/>
                </w:tcPr>
                <w:p>
                  <w:pPr>
                    <w:pStyle w:val="23"/>
                    <w:bidi w:val="0"/>
                    <w:rPr>
                      <w:color w:val="auto"/>
                    </w:rPr>
                  </w:pPr>
                  <w:r>
                    <w:rPr>
                      <w:color w:val="auto"/>
                      <w:lang w:val="en-US" w:eastAsia="zh-CN"/>
                    </w:rPr>
                    <w:t>43.2</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23.2</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52.5</w:t>
                  </w:r>
                </w:p>
              </w:tc>
              <w:tc>
                <w:tcPr>
                  <w:tcW w:w="180" w:type="dxa"/>
                  <w:tcBorders>
                    <w:left w:val="single" w:sz="4" w:space="0" w:color="auto"/>
                  </w:tcBorders>
                  <w:vAlign w:val="bottom"/>
                </w:tcPr>
                <w:p>
                  <w:pPr>
                    <w:pStyle w:val="23"/>
                    <w:bidi w:val="0"/>
                    <w:rPr>
                      <w:color w:val="auto"/>
                    </w:rPr>
                  </w:pPr>
                  <w:r>
                    <w:rPr>
                      <w:color w:val="auto"/>
                      <w:lang w:val="en-US" w:eastAsia="zh-CN"/>
                    </w:rPr>
                    <w:t>40.6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w:t>
                  </w:r>
                </w:p>
              </w:tc>
              <w:tc>
                <w:tcPr>
                  <w:tcW w:w="180" w:type="dxa"/>
                  <w:tcBorders>
                    <w:left w:val="single" w:sz="4" w:space="0" w:color="auto"/>
                  </w:tcBorders>
                  <w:vAlign w:val="bottom"/>
                </w:tcPr>
                <w:p>
                  <w:pPr>
                    <w:pStyle w:val="23"/>
                    <w:bidi w:val="0"/>
                    <w:rPr>
                      <w:color w:val="auto"/>
                    </w:rPr>
                  </w:pPr>
                  <w:r>
                    <w:rPr>
                      <w:color w:val="auto"/>
                      <w:lang w:val="en-US" w:eastAsia="zh-CN"/>
                    </w:rPr>
                    <w:t>75.0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55.0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32.5</w:t>
                  </w:r>
                </w:p>
              </w:tc>
              <w:tc>
                <w:tcPr>
                  <w:tcW w:w="180" w:type="dxa"/>
                  <w:tcBorders>
                    <w:left w:val="single" w:sz="4" w:space="0" w:color="auto"/>
                  </w:tcBorders>
                  <w:vAlign w:val="bottom"/>
                </w:tcPr>
                <w:p>
                  <w:pPr>
                    <w:pStyle w:val="23"/>
                    <w:bidi w:val="0"/>
                    <w:rPr>
                      <w:color w:val="auto"/>
                    </w:rPr>
                  </w:pPr>
                  <w:r>
                    <w:rPr>
                      <w:color w:val="auto"/>
                      <w:lang w:val="en-US" w:eastAsia="zh-CN"/>
                    </w:rPr>
                    <w:t>44.8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24.8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大容量包装机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16</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23</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4</w:t>
                  </w:r>
                </w:p>
              </w:tc>
              <w:tc>
                <w:tcPr>
                  <w:tcW w:w="180" w:type="dxa"/>
                  <w:tcBorders>
                    <w:left w:val="single" w:sz="4" w:space="0" w:color="auto"/>
                  </w:tcBorders>
                  <w:vAlign w:val="bottom"/>
                </w:tcPr>
                <w:p>
                  <w:pPr>
                    <w:pStyle w:val="23"/>
                    <w:bidi w:val="0"/>
                    <w:rPr>
                      <w:color w:val="auto"/>
                    </w:rPr>
                  </w:pPr>
                  <w:r>
                    <w:rPr>
                      <w:color w:val="auto"/>
                      <w:lang w:val="en-US" w:eastAsia="zh-CN"/>
                    </w:rPr>
                    <w:t>48.0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28.0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65.5</w:t>
                  </w:r>
                </w:p>
              </w:tc>
              <w:tc>
                <w:tcPr>
                  <w:tcW w:w="180" w:type="dxa"/>
                  <w:tcBorders>
                    <w:left w:val="single" w:sz="4" w:space="0" w:color="auto"/>
                  </w:tcBorders>
                  <w:vAlign w:val="bottom"/>
                </w:tcPr>
                <w:p>
                  <w:pPr>
                    <w:pStyle w:val="23"/>
                    <w:bidi w:val="0"/>
                    <w:rPr>
                      <w:color w:val="auto"/>
                    </w:rPr>
                  </w:pPr>
                  <w:r>
                    <w:rPr>
                      <w:color w:val="auto"/>
                      <w:lang w:val="en-US" w:eastAsia="zh-CN"/>
                    </w:rPr>
                    <w:t>23.7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3.7</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w:t>
                  </w:r>
                </w:p>
              </w:tc>
              <w:tc>
                <w:tcPr>
                  <w:tcW w:w="180" w:type="dxa"/>
                  <w:tcBorders>
                    <w:left w:val="single" w:sz="4" w:space="0" w:color="auto"/>
                  </w:tcBorders>
                  <w:vAlign w:val="bottom"/>
                </w:tcPr>
                <w:p>
                  <w:pPr>
                    <w:pStyle w:val="23"/>
                    <w:bidi w:val="0"/>
                    <w:rPr>
                      <w:color w:val="auto"/>
                    </w:rPr>
                  </w:pPr>
                  <w:r>
                    <w:rPr>
                      <w:color w:val="auto"/>
                      <w:lang w:val="en-US" w:eastAsia="zh-CN"/>
                    </w:rPr>
                    <w:t>28.9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19.5</w:t>
                  </w:r>
                </w:p>
              </w:tc>
              <w:tc>
                <w:tcPr>
                  <w:tcW w:w="180" w:type="dxa"/>
                  <w:tcBorders>
                    <w:left w:val="single" w:sz="4" w:space="0" w:color="auto"/>
                  </w:tcBorders>
                  <w:vAlign w:val="bottom"/>
                </w:tcPr>
                <w:p>
                  <w:pPr>
                    <w:pStyle w:val="23"/>
                    <w:bidi w:val="0"/>
                    <w:rPr>
                      <w:color w:val="auto"/>
                    </w:rPr>
                  </w:pPr>
                  <w:r>
                    <w:rPr>
                      <w:color w:val="auto"/>
                      <w:lang w:val="en-US" w:eastAsia="zh-CN"/>
                    </w:rPr>
                    <w:t>34.2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缝包机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13</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26</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7</w:t>
                  </w:r>
                </w:p>
              </w:tc>
              <w:tc>
                <w:tcPr>
                  <w:tcW w:w="180" w:type="dxa"/>
                  <w:tcBorders>
                    <w:left w:val="single" w:sz="4" w:space="0" w:color="auto"/>
                  </w:tcBorders>
                  <w:vAlign w:val="bottom"/>
                </w:tcPr>
                <w:p>
                  <w:pPr>
                    <w:pStyle w:val="23"/>
                    <w:bidi w:val="0"/>
                    <w:rPr>
                      <w:color w:val="auto"/>
                    </w:rPr>
                  </w:pPr>
                  <w:r>
                    <w:rPr>
                      <w:color w:val="auto"/>
                      <w:lang w:val="en-US" w:eastAsia="zh-CN"/>
                    </w:rPr>
                    <w:t>43.1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68.5</w:t>
                  </w:r>
                </w:p>
              </w:tc>
              <w:tc>
                <w:tcPr>
                  <w:tcW w:w="180" w:type="dxa"/>
                  <w:tcBorders>
                    <w:left w:val="single" w:sz="4" w:space="0" w:color="auto"/>
                  </w:tcBorders>
                  <w:vAlign w:val="bottom"/>
                </w:tcPr>
                <w:p>
                  <w:pPr>
                    <w:pStyle w:val="23"/>
                    <w:bidi w:val="0"/>
                    <w:rPr>
                      <w:color w:val="auto"/>
                    </w:rPr>
                  </w:pPr>
                  <w:r>
                    <w:rPr>
                      <w:color w:val="auto"/>
                      <w:lang w:val="en-US" w:eastAsia="zh-CN"/>
                    </w:rPr>
                    <w:t>23.3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3.3</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33</w:t>
                  </w:r>
                </w:p>
              </w:tc>
              <w:tc>
                <w:tcPr>
                  <w:tcW w:w="180" w:type="dxa"/>
                  <w:tcBorders>
                    <w:left w:val="single" w:sz="4" w:space="0" w:color="auto"/>
                  </w:tcBorders>
                  <w:vAlign w:val="bottom"/>
                </w:tcPr>
                <w:p>
                  <w:pPr>
                    <w:pStyle w:val="23"/>
                    <w:bidi w:val="0"/>
                    <w:rPr>
                      <w:color w:val="auto"/>
                    </w:rPr>
                  </w:pPr>
                  <w:r>
                    <w:rPr>
                      <w:color w:val="auto"/>
                      <w:lang w:val="en-US" w:eastAsia="zh-CN"/>
                    </w:rPr>
                    <w:t>29.6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9.6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16.5</w:t>
                  </w:r>
                </w:p>
              </w:tc>
              <w:tc>
                <w:tcPr>
                  <w:tcW w:w="180" w:type="dxa"/>
                  <w:tcBorders>
                    <w:left w:val="single" w:sz="4" w:space="0" w:color="auto"/>
                  </w:tcBorders>
                  <w:vAlign w:val="bottom"/>
                </w:tcPr>
                <w:p>
                  <w:pPr>
                    <w:pStyle w:val="23"/>
                    <w:bidi w:val="0"/>
                    <w:rPr>
                      <w:color w:val="auto"/>
                    </w:rPr>
                  </w:pPr>
                  <w:r>
                    <w:rPr>
                      <w:color w:val="auto"/>
                      <w:lang w:val="en-US" w:eastAsia="zh-CN"/>
                    </w:rPr>
                    <w:t>35.7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15.7</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缝包机</w:t>
                  </w:r>
                </w:p>
              </w:tc>
              <w:tc>
                <w:tcPr>
                  <w:tcW w:w="165" w:type="dxa"/>
                  <w:vMerge w:val="restart"/>
                  <w:tcBorders>
                    <w:left w:val="single" w:sz="4" w:space="0" w:color="auto"/>
                  </w:tcBorders>
                  <w:vAlign w:val="center"/>
                </w:tcPr>
                <w:p>
                  <w:pPr>
                    <w:pStyle w:val="23"/>
                    <w:bidi w:val="0"/>
                    <w:rPr>
                      <w:color w:val="auto"/>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14</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26</w:t>
                  </w:r>
                </w:p>
              </w:tc>
              <w:tc>
                <w:tcPr>
                  <w:tcW w:w="82"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0.5</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43.</w:t>
                  </w:r>
                  <w:r>
                    <w:rPr>
                      <w:rFonts w:hint="eastAsia"/>
                      <w:color w:val="auto"/>
                      <w:lang w:val="en-US" w:eastAsia="zh-CN"/>
                    </w:rPr>
                    <w:t>2</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rPr>
                  </w:pPr>
                </w:p>
              </w:tc>
              <w:tc>
                <w:tcPr>
                  <w:tcW w:w="108" w:type="dxa"/>
                  <w:gridSpan w:val="2"/>
                  <w:tcBorders>
                    <w:left w:val="single" w:sz="4" w:space="0" w:color="auto"/>
                  </w:tcBorders>
                  <w:vAlign w:val="bottom"/>
                </w:tcPr>
                <w:p>
                  <w:pPr>
                    <w:pStyle w:val="23"/>
                    <w:bidi w:val="0"/>
                    <w:rPr>
                      <w:color w:val="auto"/>
                      <w:lang w:val="en-US" w:eastAsia="zh-CN"/>
                    </w:rPr>
                  </w:pPr>
                  <w:r>
                    <w:rPr>
                      <w:rFonts w:hint="eastAsia"/>
                      <w:color w:val="auto"/>
                      <w:lang w:val="en-US" w:eastAsia="zh-CN"/>
                    </w:rPr>
                    <w:t>23.2</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68.5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23.3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rPr>
                  </w:pPr>
                </w:p>
              </w:tc>
              <w:tc>
                <w:tcPr>
                  <w:tcW w:w="108" w:type="dxa"/>
                  <w:gridSpan w:val="2"/>
                  <w:tcBorders>
                    <w:left w:val="single" w:sz="4" w:space="0" w:color="auto"/>
                  </w:tcBorders>
                  <w:vAlign w:val="bottom"/>
                </w:tcPr>
                <w:p>
                  <w:pPr>
                    <w:pStyle w:val="23"/>
                    <w:bidi w:val="0"/>
                    <w:rPr>
                      <w:color w:val="auto"/>
                      <w:lang w:val="en-US" w:eastAsia="zh-CN"/>
                    </w:rPr>
                  </w:pPr>
                  <w:r>
                    <w:rPr>
                      <w:rFonts w:hint="eastAsia"/>
                      <w:color w:val="auto"/>
                      <w:lang w:val="en-US" w:eastAsia="zh-CN"/>
                    </w:rPr>
                    <w:t>3.3</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34</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29.</w:t>
                  </w:r>
                  <w:r>
                    <w:rPr>
                      <w:rFonts w:hint="eastAsia"/>
                      <w:color w:val="auto"/>
                      <w:lang w:val="en-US" w:eastAsia="zh-CN"/>
                    </w:rPr>
                    <w:t>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rPr>
                  </w:pPr>
                </w:p>
              </w:tc>
              <w:tc>
                <w:tcPr>
                  <w:tcW w:w="108" w:type="dxa"/>
                  <w:gridSpan w:val="2"/>
                  <w:tcBorders>
                    <w:left w:val="single" w:sz="4" w:space="0" w:color="auto"/>
                  </w:tcBorders>
                  <w:vAlign w:val="bottom"/>
                </w:tcPr>
                <w:p>
                  <w:pPr>
                    <w:pStyle w:val="23"/>
                    <w:bidi w:val="0"/>
                    <w:rPr>
                      <w:color w:val="auto"/>
                      <w:lang w:val="en-US" w:eastAsia="zh-CN"/>
                    </w:rPr>
                  </w:pPr>
                  <w:r>
                    <w:rPr>
                      <w:rFonts w:hint="eastAsia"/>
                      <w:color w:val="auto"/>
                      <w:lang w:val="en-US" w:eastAsia="zh-CN"/>
                    </w:rPr>
                    <w:t>9.5</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16.5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35.7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rPr>
                  </w:pPr>
                </w:p>
              </w:tc>
              <w:tc>
                <w:tcPr>
                  <w:tcW w:w="108" w:type="dxa"/>
                  <w:gridSpan w:val="2"/>
                  <w:tcBorders>
                    <w:left w:val="single" w:sz="4" w:space="0" w:color="auto"/>
                  </w:tcBorders>
                  <w:vAlign w:val="bottom"/>
                </w:tcPr>
                <w:p>
                  <w:pPr>
                    <w:pStyle w:val="23"/>
                    <w:bidi w:val="0"/>
                    <w:rPr>
                      <w:color w:val="auto"/>
                      <w:lang w:val="en-US" w:eastAsia="zh-CN"/>
                    </w:rPr>
                  </w:pPr>
                  <w:r>
                    <w:rPr>
                      <w:rFonts w:hint="eastAsia"/>
                      <w:color w:val="auto"/>
                      <w:lang w:val="en-US" w:eastAsia="zh-CN"/>
                    </w:rPr>
                    <w:t>15.7</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粉末包装机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16</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4</w:t>
                  </w:r>
                </w:p>
              </w:tc>
              <w:tc>
                <w:tcPr>
                  <w:tcW w:w="180" w:type="dxa"/>
                  <w:tcBorders>
                    <w:left w:val="single" w:sz="4" w:space="0" w:color="auto"/>
                  </w:tcBorders>
                  <w:vAlign w:val="bottom"/>
                </w:tcPr>
                <w:p>
                  <w:pPr>
                    <w:pStyle w:val="23"/>
                    <w:bidi w:val="0"/>
                    <w:rPr>
                      <w:color w:val="auto"/>
                    </w:rPr>
                  </w:pPr>
                  <w:r>
                    <w:rPr>
                      <w:color w:val="auto"/>
                      <w:lang w:val="en-US" w:eastAsia="zh-CN"/>
                    </w:rPr>
                    <w:t>48.0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28.0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bottom"/>
                </w:tcPr>
                <w:p>
                  <w:pPr>
                    <w:pStyle w:val="23"/>
                    <w:bidi w:val="0"/>
                    <w:rPr>
                      <w:color w:val="auto"/>
                    </w:rPr>
                  </w:pPr>
                  <w:r>
                    <w:rPr>
                      <w:color w:val="auto"/>
                      <w:lang w:val="en-US" w:eastAsia="zh-CN"/>
                    </w:rPr>
                    <w:t>23.4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w:t>
                  </w:r>
                </w:p>
              </w:tc>
              <w:tc>
                <w:tcPr>
                  <w:tcW w:w="180" w:type="dxa"/>
                  <w:tcBorders>
                    <w:left w:val="single" w:sz="4" w:space="0" w:color="auto"/>
                  </w:tcBorders>
                  <w:vAlign w:val="bottom"/>
                </w:tcPr>
                <w:p>
                  <w:pPr>
                    <w:pStyle w:val="23"/>
                    <w:bidi w:val="0"/>
                    <w:rPr>
                      <w:color w:val="auto"/>
                    </w:rPr>
                  </w:pPr>
                  <w:r>
                    <w:rPr>
                      <w:color w:val="auto"/>
                      <w:lang w:val="en-US" w:eastAsia="zh-CN"/>
                    </w:rPr>
                    <w:t>28.9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bottom"/>
                </w:tcPr>
                <w:p>
                  <w:pPr>
                    <w:pStyle w:val="23"/>
                    <w:bidi w:val="0"/>
                    <w:rPr>
                      <w:color w:val="auto"/>
                    </w:rPr>
                  </w:pPr>
                  <w:r>
                    <w:rPr>
                      <w:color w:val="auto"/>
                      <w:lang w:val="en-US" w:eastAsia="zh-CN"/>
                    </w:rPr>
                    <w:t>35.1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15.1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粉末包装机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17</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1.5</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48.0</w:t>
                  </w:r>
                </w:p>
              </w:tc>
              <w:tc>
                <w:tcPr>
                  <w:tcW w:w="89" w:type="dxa"/>
                  <w:vMerge w:val="restart"/>
                  <w:tcBorders>
                    <w:left w:val="single" w:sz="4" w:space="0" w:color="auto"/>
                  </w:tcBorders>
                  <w:vAlign w:val="center"/>
                </w:tcPr>
                <w:p>
                  <w:pPr>
                    <w:pStyle w:val="23"/>
                    <w:bidi w:val="0"/>
                    <w:rPr>
                      <w:color w:val="auto"/>
                      <w:lang w:val="en-US" w:eastAsia="zh-CN"/>
                    </w:rPr>
                  </w:pPr>
                  <w:r>
                    <w:rPr>
                      <w:color w:val="auto"/>
                    </w:rPr>
                    <w:t>昼间</w:t>
                  </w:r>
                </w:p>
                <w:p>
                  <w:pPr>
                    <w:pStyle w:val="23"/>
                    <w:bidi w:val="0"/>
                    <w:rPr>
                      <w:color w:val="auto"/>
                    </w:rPr>
                  </w:pP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28.0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23.4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28.9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8.9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35.1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气动热合封口机</w:t>
                  </w:r>
                </w:p>
              </w:tc>
              <w:tc>
                <w:tcPr>
                  <w:tcW w:w="165" w:type="dxa"/>
                  <w:vMerge w:val="restart"/>
                  <w:tcBorders>
                    <w:left w:val="single" w:sz="4" w:space="0" w:color="auto"/>
                  </w:tcBorders>
                  <w:vAlign w:val="center"/>
                </w:tcPr>
                <w:p>
                  <w:pPr>
                    <w:pStyle w:val="23"/>
                    <w:bidi w:val="0"/>
                    <w:rPr>
                      <w:color w:val="auto"/>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16</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48.0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28.0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72.5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23.0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28.9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8.9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36.8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16.8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-16</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26.5</w:t>
                  </w:r>
                </w:p>
              </w:tc>
              <w:tc>
                <w:tcPr>
                  <w:tcW w:w="180" w:type="dxa"/>
                  <w:tcBorders>
                    <w:left w:val="single" w:sz="4" w:space="0" w:color="auto"/>
                  </w:tcBorders>
                  <w:vAlign w:val="bottom"/>
                </w:tcPr>
                <w:p>
                  <w:pPr>
                    <w:pStyle w:val="23"/>
                    <w:bidi w:val="0"/>
                    <w:rPr>
                      <w:color w:val="auto"/>
                    </w:rPr>
                  </w:pPr>
                  <w:r>
                    <w:rPr>
                      <w:color w:val="auto"/>
                      <w:lang w:val="en-US" w:eastAsia="zh-CN"/>
                    </w:rPr>
                    <w:t>41.5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21.5</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58.5</w:t>
                  </w:r>
                </w:p>
              </w:tc>
              <w:tc>
                <w:tcPr>
                  <w:tcW w:w="180" w:type="dxa"/>
                  <w:tcBorders>
                    <w:left w:val="single" w:sz="4" w:space="0" w:color="auto"/>
                  </w:tcBorders>
                  <w:vAlign w:val="bottom"/>
                </w:tcPr>
                <w:p>
                  <w:pPr>
                    <w:pStyle w:val="23"/>
                    <w:bidi w:val="0"/>
                    <w:rPr>
                      <w:color w:val="auto"/>
                    </w:rPr>
                  </w:pPr>
                  <w:r>
                    <w:rPr>
                      <w:color w:val="auto"/>
                      <w:lang w:val="en-US" w:eastAsia="zh-CN"/>
                    </w:rPr>
                    <w:t>34.7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14.7</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-19</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23.5</w:t>
                  </w:r>
                </w:p>
              </w:tc>
              <w:tc>
                <w:tcPr>
                  <w:tcW w:w="180" w:type="dxa"/>
                  <w:tcBorders>
                    <w:left w:val="single" w:sz="4" w:space="0" w:color="auto"/>
                  </w:tcBorders>
                  <w:vAlign w:val="bottom"/>
                </w:tcPr>
                <w:p>
                  <w:pPr>
                    <w:pStyle w:val="23"/>
                    <w:bidi w:val="0"/>
                    <w:rPr>
                      <w:color w:val="auto"/>
                    </w:rPr>
                  </w:pPr>
                  <w:r>
                    <w:rPr>
                      <w:color w:val="auto"/>
                      <w:lang w:val="en-US" w:eastAsia="zh-CN"/>
                    </w:rPr>
                    <w:t>42.6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22.6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61.5</w:t>
                  </w:r>
                </w:p>
              </w:tc>
              <w:tc>
                <w:tcPr>
                  <w:tcW w:w="180" w:type="dxa"/>
                  <w:tcBorders>
                    <w:left w:val="single" w:sz="4" w:space="0" w:color="auto"/>
                  </w:tcBorders>
                  <w:vAlign w:val="bottom"/>
                </w:tcPr>
                <w:p>
                  <w:pPr>
                    <w:pStyle w:val="23"/>
                    <w:bidi w:val="0"/>
                    <w:rPr>
                      <w:color w:val="auto"/>
                    </w:rPr>
                  </w:pPr>
                  <w:r>
                    <w:rPr>
                      <w:color w:val="auto"/>
                      <w:lang w:val="en-US" w:eastAsia="zh-CN"/>
                    </w:rPr>
                    <w:t>34.2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-22</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20.5</w:t>
                  </w:r>
                </w:p>
              </w:tc>
              <w:tc>
                <w:tcPr>
                  <w:tcW w:w="180" w:type="dxa"/>
                  <w:tcBorders>
                    <w:left w:val="single" w:sz="4" w:space="0" w:color="auto"/>
                  </w:tcBorders>
                  <w:vAlign w:val="bottom"/>
                </w:tcPr>
                <w:p>
                  <w:pPr>
                    <w:pStyle w:val="23"/>
                    <w:bidi w:val="0"/>
                    <w:rPr>
                      <w:color w:val="auto"/>
                    </w:rPr>
                  </w:pPr>
                  <w:r>
                    <w:rPr>
                      <w:color w:val="auto"/>
                      <w:lang w:val="en-US" w:eastAsia="zh-CN"/>
                    </w:rPr>
                    <w:t>43.8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64.5</w:t>
                  </w:r>
                </w:p>
              </w:tc>
              <w:tc>
                <w:tcPr>
                  <w:tcW w:w="180" w:type="dxa"/>
                  <w:tcBorders>
                    <w:left w:val="single" w:sz="4" w:space="0" w:color="auto"/>
                  </w:tcBorders>
                  <w:vAlign w:val="bottom"/>
                </w:tcPr>
                <w:p>
                  <w:pPr>
                    <w:pStyle w:val="23"/>
                    <w:bidi w:val="0"/>
                    <w:rPr>
                      <w:color w:val="auto"/>
                    </w:rPr>
                  </w:pPr>
                  <w:r>
                    <w:rPr>
                      <w:color w:val="auto"/>
                      <w:lang w:val="en-US" w:eastAsia="zh-CN"/>
                    </w:rPr>
                    <w:t>33.8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13.8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bottom"/>
                </w:tcPr>
                <w:p>
                  <w:pPr>
                    <w:pStyle w:val="23"/>
                    <w:bidi w:val="0"/>
                    <w:rPr>
                      <w:color w:val="auto"/>
                    </w:rPr>
                  </w:pPr>
                  <w:r>
                    <w:rPr>
                      <w:color w:val="auto"/>
                      <w:lang w:val="en-US" w:eastAsia="zh-CN"/>
                    </w:rPr>
                    <w:t>45.1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25.1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bottom"/>
                </w:tcPr>
                <w:p>
                  <w:pPr>
                    <w:pStyle w:val="23"/>
                    <w:bidi w:val="0"/>
                    <w:rPr>
                      <w:color w:val="auto"/>
                    </w:rPr>
                  </w:pPr>
                  <w:r>
                    <w:rPr>
                      <w:color w:val="auto"/>
                      <w:lang w:val="en-US" w:eastAsia="zh-CN"/>
                    </w:rPr>
                    <w:t>33.4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-28</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14.5</w:t>
                  </w:r>
                </w:p>
              </w:tc>
              <w:tc>
                <w:tcPr>
                  <w:tcW w:w="180" w:type="dxa"/>
                  <w:tcBorders>
                    <w:left w:val="single" w:sz="4" w:space="0" w:color="auto"/>
                  </w:tcBorders>
                  <w:vAlign w:val="bottom"/>
                </w:tcPr>
                <w:p>
                  <w:pPr>
                    <w:pStyle w:val="23"/>
                    <w:bidi w:val="0"/>
                    <w:rPr>
                      <w:color w:val="auto"/>
                    </w:rPr>
                  </w:pPr>
                  <w:r>
                    <w:rPr>
                      <w:color w:val="auto"/>
                      <w:lang w:val="en-US" w:eastAsia="zh-CN"/>
                    </w:rPr>
                    <w:t>46.8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26.8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70.5</w:t>
                  </w:r>
                </w:p>
              </w:tc>
              <w:tc>
                <w:tcPr>
                  <w:tcW w:w="180" w:type="dxa"/>
                  <w:tcBorders>
                    <w:left w:val="single" w:sz="4" w:space="0" w:color="auto"/>
                  </w:tcBorders>
                  <w:vAlign w:val="bottom"/>
                </w:tcPr>
                <w:p>
                  <w:pPr>
                    <w:pStyle w:val="23"/>
                    <w:bidi w:val="0"/>
                    <w:rPr>
                      <w:color w:val="auto"/>
                    </w:rPr>
                  </w:pPr>
                  <w:r>
                    <w:rPr>
                      <w:color w:val="auto"/>
                      <w:lang w:val="en-US" w:eastAsia="zh-CN"/>
                    </w:rPr>
                    <w:t>33.0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13.0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-31</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11.5</w:t>
                  </w:r>
                </w:p>
              </w:tc>
              <w:tc>
                <w:tcPr>
                  <w:tcW w:w="180" w:type="dxa"/>
                  <w:tcBorders>
                    <w:left w:val="single" w:sz="4" w:space="0" w:color="auto"/>
                  </w:tcBorders>
                  <w:vAlign w:val="bottom"/>
                </w:tcPr>
                <w:p>
                  <w:pPr>
                    <w:pStyle w:val="23"/>
                    <w:bidi w:val="0"/>
                    <w:rPr>
                      <w:color w:val="auto"/>
                    </w:rPr>
                  </w:pPr>
                  <w:r>
                    <w:rPr>
                      <w:color w:val="auto"/>
                      <w:lang w:val="en-US" w:eastAsia="zh-CN"/>
                    </w:rPr>
                    <w:t>48.8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28.8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73.5</w:t>
                  </w:r>
                </w:p>
              </w:tc>
              <w:tc>
                <w:tcPr>
                  <w:tcW w:w="180" w:type="dxa"/>
                  <w:tcBorders>
                    <w:left w:val="single" w:sz="4" w:space="0" w:color="auto"/>
                  </w:tcBorders>
                  <w:vAlign w:val="bottom"/>
                </w:tcPr>
                <w:p>
                  <w:pPr>
                    <w:pStyle w:val="23"/>
                    <w:bidi w:val="0"/>
                    <w:rPr>
                      <w:color w:val="auto"/>
                    </w:rPr>
                  </w:pPr>
                  <w:r>
                    <w:rPr>
                      <w:color w:val="auto"/>
                      <w:lang w:val="en-US" w:eastAsia="zh-CN"/>
                    </w:rPr>
                    <w:t>32.7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12.7</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-33</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9.5</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50.4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30.4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75.5</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32.4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12.4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7.5</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52.5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32.5</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77.5</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32.2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12.2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-37</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5.5</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55.2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35.2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79.5</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32.0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-39</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59.1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39.1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81.5</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31.8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11.8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19</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bottom"/>
                </w:tcPr>
                <w:p>
                  <w:pPr>
                    <w:pStyle w:val="23"/>
                    <w:bidi w:val="0"/>
                    <w:rPr>
                      <w:color w:val="auto"/>
                    </w:rPr>
                  </w:pPr>
                  <w:r>
                    <w:rPr>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61.5</w:t>
                  </w:r>
                </w:p>
              </w:tc>
              <w:tc>
                <w:tcPr>
                  <w:tcW w:w="180" w:type="dxa"/>
                  <w:tcBorders>
                    <w:left w:val="single" w:sz="4" w:space="0" w:color="auto"/>
                  </w:tcBorders>
                  <w:vAlign w:val="bottom"/>
                </w:tcPr>
                <w:p>
                  <w:pPr>
                    <w:pStyle w:val="23"/>
                    <w:bidi w:val="0"/>
                    <w:rPr>
                      <w:color w:val="auto"/>
                    </w:rPr>
                  </w:pPr>
                  <w:r>
                    <w:rPr>
                      <w:color w:val="auto"/>
                      <w:lang w:val="en-US" w:eastAsia="zh-CN"/>
                    </w:rPr>
                    <w:t>29.2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9.2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bottom"/>
                </w:tcPr>
                <w:p>
                  <w:pPr>
                    <w:pStyle w:val="23"/>
                    <w:bidi w:val="0"/>
                    <w:rPr>
                      <w:color w:val="auto"/>
                    </w:rPr>
                  </w:pPr>
                  <w:r>
                    <w:rPr>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23.5</w:t>
                  </w:r>
                </w:p>
              </w:tc>
              <w:tc>
                <w:tcPr>
                  <w:tcW w:w="180" w:type="dxa"/>
                  <w:tcBorders>
                    <w:left w:val="single" w:sz="4" w:space="0" w:color="auto"/>
                  </w:tcBorders>
                  <w:vAlign w:val="bottom"/>
                </w:tcPr>
                <w:p>
                  <w:pPr>
                    <w:pStyle w:val="23"/>
                    <w:bidi w:val="0"/>
                    <w:rPr>
                      <w:color w:val="auto"/>
                    </w:rPr>
                  </w:pPr>
                  <w:r>
                    <w:rPr>
                      <w:color w:val="auto"/>
                      <w:lang w:val="en-US" w:eastAsia="zh-CN"/>
                    </w:rPr>
                    <w:t>37.6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17.6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22</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bottom"/>
                </w:tcPr>
                <w:p>
                  <w:pPr>
                    <w:pStyle w:val="23"/>
                    <w:bidi w:val="0"/>
                    <w:rPr>
                      <w:color w:val="auto"/>
                    </w:rPr>
                  </w:pPr>
                  <w:r>
                    <w:rPr>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64.5</w:t>
                  </w:r>
                </w:p>
              </w:tc>
              <w:tc>
                <w:tcPr>
                  <w:tcW w:w="180" w:type="dxa"/>
                  <w:tcBorders>
                    <w:left w:val="single" w:sz="4" w:space="0" w:color="auto"/>
                  </w:tcBorders>
                  <w:vAlign w:val="bottom"/>
                </w:tcPr>
                <w:p>
                  <w:pPr>
                    <w:pStyle w:val="23"/>
                    <w:bidi w:val="0"/>
                    <w:rPr>
                      <w:color w:val="auto"/>
                    </w:rPr>
                  </w:pPr>
                  <w:r>
                    <w:rPr>
                      <w:color w:val="auto"/>
                      <w:lang w:val="en-US" w:eastAsia="zh-CN"/>
                    </w:rPr>
                    <w:t>28.8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bottom"/>
                </w:tcPr>
                <w:p>
                  <w:pPr>
                    <w:pStyle w:val="23"/>
                    <w:bidi w:val="0"/>
                    <w:rPr>
                      <w:color w:val="auto"/>
                    </w:rPr>
                  </w:pPr>
                  <w:r>
                    <w:rPr>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20.5</w:t>
                  </w:r>
                </w:p>
              </w:tc>
              <w:tc>
                <w:tcPr>
                  <w:tcW w:w="180" w:type="dxa"/>
                  <w:tcBorders>
                    <w:left w:val="single" w:sz="4" w:space="0" w:color="auto"/>
                  </w:tcBorders>
                  <w:vAlign w:val="bottom"/>
                </w:tcPr>
                <w:p>
                  <w:pPr>
                    <w:pStyle w:val="23"/>
                    <w:bidi w:val="0"/>
                    <w:rPr>
                      <w:color w:val="auto"/>
                    </w:rPr>
                  </w:pPr>
                  <w:r>
                    <w:rPr>
                      <w:color w:val="auto"/>
                      <w:lang w:val="en-US" w:eastAsia="zh-CN"/>
                    </w:rPr>
                    <w:t>38.8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18.8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bottom"/>
                </w:tcPr>
                <w:p>
                  <w:pPr>
                    <w:pStyle w:val="23"/>
                    <w:bidi w:val="0"/>
                    <w:rPr>
                      <w:color w:val="auto"/>
                    </w:rPr>
                  </w:pPr>
                  <w:r>
                    <w:rPr>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bottom"/>
                </w:tcPr>
                <w:p>
                  <w:pPr>
                    <w:pStyle w:val="23"/>
                    <w:bidi w:val="0"/>
                    <w:rPr>
                      <w:color w:val="auto"/>
                    </w:rPr>
                  </w:pPr>
                  <w:r>
                    <w:rPr>
                      <w:color w:val="auto"/>
                      <w:lang w:val="en-US" w:eastAsia="zh-CN"/>
                    </w:rPr>
                    <w:t>28.4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bottom"/>
                </w:tcPr>
                <w:p>
                  <w:pPr>
                    <w:pStyle w:val="23"/>
                    <w:bidi w:val="0"/>
                    <w:rPr>
                      <w:color w:val="auto"/>
                    </w:rPr>
                  </w:pPr>
                  <w:r>
                    <w:rPr>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bottom"/>
                </w:tcPr>
                <w:p>
                  <w:pPr>
                    <w:pStyle w:val="23"/>
                    <w:bidi w:val="0"/>
                    <w:rPr>
                      <w:color w:val="auto"/>
                    </w:rPr>
                  </w:pPr>
                  <w:r>
                    <w:rPr>
                      <w:color w:val="auto"/>
                      <w:lang w:val="en-US" w:eastAsia="zh-CN"/>
                    </w:rPr>
                    <w:t>40.1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27</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61.5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9.2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23.5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37.6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17.6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29</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64.5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28.8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20.5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38.8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18.8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31</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33</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61.5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9.2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23.5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37.6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17.6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35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64.5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28.8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20.5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38.8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18.8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37</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高速剪切均质乳化缸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39</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16.1</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61.5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9.2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23.5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37.6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17.6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电加热缸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30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180" w:type="dxa"/>
                  <w:tcBorders>
                    <w:left w:val="single" w:sz="4" w:space="0" w:color="auto"/>
                  </w:tcBorders>
                  <w:vAlign w:val="bottom"/>
                </w:tcPr>
                <w:p>
                  <w:pPr>
                    <w:pStyle w:val="23"/>
                    <w:bidi w:val="0"/>
                    <w:rPr>
                      <w:color w:val="auto"/>
                    </w:rPr>
                  </w:pPr>
                  <w:r>
                    <w:rPr>
                      <w:color w:val="auto"/>
                      <w:lang w:val="en-US" w:eastAsia="zh-CN"/>
                    </w:rPr>
                    <w:t>60.0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40.0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72.5</w:t>
                  </w:r>
                </w:p>
              </w:tc>
              <w:tc>
                <w:tcPr>
                  <w:tcW w:w="180" w:type="dxa"/>
                  <w:tcBorders>
                    <w:left w:val="single" w:sz="4" w:space="0" w:color="auto"/>
                  </w:tcBorders>
                  <w:vAlign w:val="bottom"/>
                </w:tcPr>
                <w:p>
                  <w:pPr>
                    <w:pStyle w:val="23"/>
                    <w:bidi w:val="0"/>
                    <w:rPr>
                      <w:color w:val="auto"/>
                    </w:rPr>
                  </w:pPr>
                  <w:r>
                    <w:rPr>
                      <w:color w:val="auto"/>
                      <w:lang w:val="en-US" w:eastAsia="zh-CN"/>
                    </w:rPr>
                    <w:t>22.8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w:t>
                  </w:r>
                </w:p>
              </w:tc>
              <w:tc>
                <w:tcPr>
                  <w:tcW w:w="180" w:type="dxa"/>
                  <w:tcBorders>
                    <w:left w:val="single" w:sz="4" w:space="0" w:color="auto"/>
                  </w:tcBorders>
                  <w:vAlign w:val="bottom"/>
                </w:tcPr>
                <w:p>
                  <w:pPr>
                    <w:pStyle w:val="23"/>
                    <w:bidi w:val="0"/>
                    <w:rPr>
                      <w:color w:val="auto"/>
                    </w:rPr>
                  </w:pPr>
                  <w:r>
                    <w:rPr>
                      <w:color w:val="auto"/>
                      <w:lang w:val="en-US" w:eastAsia="zh-CN"/>
                    </w:rPr>
                    <w:t>28.0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12.5</w:t>
                  </w:r>
                </w:p>
              </w:tc>
              <w:tc>
                <w:tcPr>
                  <w:tcW w:w="180" w:type="dxa"/>
                  <w:tcBorders>
                    <w:left w:val="single" w:sz="4" w:space="0" w:color="auto"/>
                  </w:tcBorders>
                  <w:vAlign w:val="bottom"/>
                </w:tcPr>
                <w:p>
                  <w:pPr>
                    <w:pStyle w:val="23"/>
                    <w:bidi w:val="0"/>
                    <w:rPr>
                      <w:color w:val="auto"/>
                    </w:rPr>
                  </w:pPr>
                  <w:r>
                    <w:rPr>
                      <w:color w:val="auto"/>
                      <w:lang w:val="en-US" w:eastAsia="zh-CN"/>
                    </w:rPr>
                    <w:t>38.1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18.1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电加热缸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32</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180" w:type="dxa"/>
                  <w:tcBorders>
                    <w:left w:val="single" w:sz="4" w:space="0" w:color="auto"/>
                  </w:tcBorders>
                  <w:vAlign w:val="bottom"/>
                </w:tcPr>
                <w:p>
                  <w:pPr>
                    <w:pStyle w:val="23"/>
                    <w:bidi w:val="0"/>
                    <w:rPr>
                      <w:color w:val="auto"/>
                    </w:rPr>
                  </w:pPr>
                  <w:r>
                    <w:rPr>
                      <w:color w:val="auto"/>
                      <w:lang w:val="en-US" w:eastAsia="zh-CN"/>
                    </w:rPr>
                    <w:t>60.0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40.0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74.5</w:t>
                  </w:r>
                </w:p>
              </w:tc>
              <w:tc>
                <w:tcPr>
                  <w:tcW w:w="180" w:type="dxa"/>
                  <w:tcBorders>
                    <w:left w:val="single" w:sz="4" w:space="0" w:color="auto"/>
                  </w:tcBorders>
                  <w:vAlign w:val="bottom"/>
                </w:tcPr>
                <w:p>
                  <w:pPr>
                    <w:pStyle w:val="23"/>
                    <w:bidi w:val="0"/>
                    <w:rPr>
                      <w:color w:val="auto"/>
                    </w:rPr>
                  </w:pPr>
                  <w:r>
                    <w:rPr>
                      <w:color w:val="auto"/>
                      <w:lang w:val="en-US" w:eastAsia="zh-CN"/>
                    </w:rPr>
                    <w:t>22.6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w:t>
                  </w:r>
                </w:p>
              </w:tc>
              <w:tc>
                <w:tcPr>
                  <w:tcW w:w="180" w:type="dxa"/>
                  <w:tcBorders>
                    <w:left w:val="single" w:sz="4" w:space="0" w:color="auto"/>
                  </w:tcBorders>
                  <w:vAlign w:val="bottom"/>
                </w:tcPr>
                <w:p>
                  <w:pPr>
                    <w:pStyle w:val="23"/>
                    <w:bidi w:val="0"/>
                    <w:rPr>
                      <w:color w:val="auto"/>
                    </w:rPr>
                  </w:pPr>
                  <w:r>
                    <w:rPr>
                      <w:color w:val="auto"/>
                      <w:lang w:val="en-US" w:eastAsia="zh-CN"/>
                    </w:rPr>
                    <w:t>28.0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10.5</w:t>
                  </w:r>
                </w:p>
              </w:tc>
              <w:tc>
                <w:tcPr>
                  <w:tcW w:w="180" w:type="dxa"/>
                  <w:tcBorders>
                    <w:left w:val="single" w:sz="4" w:space="0" w:color="auto"/>
                  </w:tcBorders>
                  <w:vAlign w:val="bottom"/>
                </w:tcPr>
                <w:p>
                  <w:pPr>
                    <w:pStyle w:val="23"/>
                    <w:bidi w:val="0"/>
                    <w:rPr>
                      <w:color w:val="auto"/>
                    </w:rPr>
                  </w:pPr>
                  <w:r>
                    <w:rPr>
                      <w:color w:val="auto"/>
                      <w:lang w:val="en-US" w:eastAsia="zh-CN"/>
                    </w:rPr>
                    <w:t>39.6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激光打码机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180" w:type="dxa"/>
                  <w:tcBorders>
                    <w:left w:val="single" w:sz="4" w:space="0" w:color="auto"/>
                  </w:tcBorders>
                  <w:vAlign w:val="bottom"/>
                </w:tcPr>
                <w:p>
                  <w:pPr>
                    <w:pStyle w:val="23"/>
                    <w:bidi w:val="0"/>
                    <w:rPr>
                      <w:color w:val="auto"/>
                    </w:rPr>
                  </w:pPr>
                  <w:r>
                    <w:rPr>
                      <w:color w:val="auto"/>
                      <w:lang w:val="en-US" w:eastAsia="zh-CN"/>
                    </w:rPr>
                    <w:t>60.0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40.0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bottom"/>
                </w:tcPr>
                <w:p>
                  <w:pPr>
                    <w:pStyle w:val="23"/>
                    <w:bidi w:val="0"/>
                    <w:rPr>
                      <w:color w:val="auto"/>
                    </w:rPr>
                  </w:pPr>
                  <w:r>
                    <w:rPr>
                      <w:color w:val="auto"/>
                      <w:lang w:val="en-US" w:eastAsia="zh-CN"/>
                    </w:rPr>
                    <w:t>35.1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15.1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w:t>
                  </w:r>
                </w:p>
              </w:tc>
              <w:tc>
                <w:tcPr>
                  <w:tcW w:w="180" w:type="dxa"/>
                  <w:tcBorders>
                    <w:left w:val="single" w:sz="4" w:space="0" w:color="auto"/>
                  </w:tcBorders>
                  <w:vAlign w:val="bottom"/>
                </w:tcPr>
                <w:p>
                  <w:pPr>
                    <w:pStyle w:val="23"/>
                    <w:bidi w:val="0"/>
                    <w:rPr>
                      <w:color w:val="auto"/>
                    </w:rPr>
                  </w:pPr>
                  <w:r>
                    <w:rPr>
                      <w:color w:val="auto"/>
                      <w:lang w:val="en-US" w:eastAsia="zh-CN"/>
                    </w:rPr>
                    <w:t>28.0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bottom"/>
                </w:tcPr>
                <w:p>
                  <w:pPr>
                    <w:pStyle w:val="23"/>
                    <w:bidi w:val="0"/>
                    <w:rPr>
                      <w:color w:val="auto"/>
                    </w:rPr>
                  </w:pPr>
                  <w:r>
                    <w:rPr>
                      <w:color w:val="auto"/>
                      <w:lang w:val="en-US" w:eastAsia="zh-CN"/>
                    </w:rPr>
                    <w:t>23.4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喷码机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-23</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180" w:type="dxa"/>
                  <w:tcBorders>
                    <w:left w:val="single" w:sz="4" w:space="0" w:color="auto"/>
                  </w:tcBorders>
                  <w:vAlign w:val="bottom"/>
                </w:tcPr>
                <w:p>
                  <w:pPr>
                    <w:pStyle w:val="23"/>
                    <w:bidi w:val="0"/>
                    <w:rPr>
                      <w:color w:val="auto"/>
                    </w:rPr>
                  </w:pPr>
                  <w:r>
                    <w:rPr>
                      <w:color w:val="auto"/>
                      <w:lang w:val="en-US" w:eastAsia="zh-CN"/>
                    </w:rPr>
                    <w:t>60.0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40.0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19.5</w:t>
                  </w:r>
                </w:p>
              </w:tc>
              <w:tc>
                <w:tcPr>
                  <w:tcW w:w="180" w:type="dxa"/>
                  <w:tcBorders>
                    <w:left w:val="single" w:sz="4" w:space="0" w:color="auto"/>
                  </w:tcBorders>
                  <w:vAlign w:val="bottom"/>
                </w:tcPr>
                <w:p>
                  <w:pPr>
                    <w:pStyle w:val="23"/>
                    <w:bidi w:val="0"/>
                    <w:rPr>
                      <w:color w:val="auto"/>
                    </w:rPr>
                  </w:pPr>
                  <w:r>
                    <w:rPr>
                      <w:color w:val="auto"/>
                      <w:lang w:val="en-US" w:eastAsia="zh-CN"/>
                    </w:rPr>
                    <w:t>34.2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w:t>
                  </w:r>
                </w:p>
              </w:tc>
              <w:tc>
                <w:tcPr>
                  <w:tcW w:w="180" w:type="dxa"/>
                  <w:tcBorders>
                    <w:left w:val="single" w:sz="4" w:space="0" w:color="auto"/>
                  </w:tcBorders>
                  <w:vAlign w:val="bottom"/>
                </w:tcPr>
                <w:p>
                  <w:pPr>
                    <w:pStyle w:val="23"/>
                    <w:bidi w:val="0"/>
                    <w:rPr>
                      <w:color w:val="auto"/>
                    </w:rPr>
                  </w:pPr>
                  <w:r>
                    <w:rPr>
                      <w:color w:val="auto"/>
                      <w:lang w:val="en-US" w:eastAsia="zh-CN"/>
                    </w:rPr>
                    <w:t>28.0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65.5</w:t>
                  </w:r>
                </w:p>
              </w:tc>
              <w:tc>
                <w:tcPr>
                  <w:tcW w:w="180" w:type="dxa"/>
                  <w:tcBorders>
                    <w:left w:val="single" w:sz="4" w:space="0" w:color="auto"/>
                  </w:tcBorders>
                  <w:vAlign w:val="bottom"/>
                </w:tcPr>
                <w:p>
                  <w:pPr>
                    <w:pStyle w:val="23"/>
                    <w:bidi w:val="0"/>
                    <w:rPr>
                      <w:color w:val="auto"/>
                    </w:rPr>
                  </w:pPr>
                  <w:r>
                    <w:rPr>
                      <w:color w:val="auto"/>
                      <w:lang w:val="en-US" w:eastAsia="zh-CN"/>
                    </w:rPr>
                    <w:t>23.7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3.7</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真空上料机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-16</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51.9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31.9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26.5</w:t>
                  </w:r>
                </w:p>
              </w:tc>
              <w:tc>
                <w:tcPr>
                  <w:tcW w:w="180" w:type="dxa"/>
                  <w:tcBorders>
                    <w:left w:val="single" w:sz="4" w:space="0" w:color="auto"/>
                  </w:tcBorders>
                  <w:vAlign w:val="bottom"/>
                </w:tcPr>
                <w:p>
                  <w:pPr>
                    <w:pStyle w:val="23"/>
                    <w:bidi w:val="0"/>
                    <w:rPr>
                      <w:color w:val="auto"/>
                    </w:rPr>
                  </w:pPr>
                  <w:r>
                    <w:rPr>
                      <w:color w:val="auto"/>
                      <w:lang w:val="en-US" w:eastAsia="zh-CN"/>
                    </w:rPr>
                    <w:t>41.5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21.5</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39.9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58.5</w:t>
                  </w:r>
                </w:p>
              </w:tc>
              <w:tc>
                <w:tcPr>
                  <w:tcW w:w="180" w:type="dxa"/>
                  <w:tcBorders>
                    <w:left w:val="single" w:sz="4" w:space="0" w:color="auto"/>
                  </w:tcBorders>
                  <w:vAlign w:val="bottom"/>
                </w:tcPr>
                <w:p>
                  <w:pPr>
                    <w:pStyle w:val="23"/>
                    <w:bidi w:val="0"/>
                    <w:rPr>
                      <w:color w:val="auto"/>
                    </w:rPr>
                  </w:pPr>
                  <w:r>
                    <w:rPr>
                      <w:color w:val="auto"/>
                      <w:lang w:val="en-US" w:eastAsia="zh-CN"/>
                    </w:rPr>
                    <w:t>34.7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14.7</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真空上料机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30</w:t>
                  </w:r>
                </w:p>
              </w:tc>
              <w:tc>
                <w:tcPr>
                  <w:tcW w:w="180" w:type="dxa"/>
                  <w:tcBorders>
                    <w:left w:val="single" w:sz="4" w:space="0" w:color="auto"/>
                  </w:tcBorders>
                  <w:vAlign w:val="bottom"/>
                </w:tcPr>
                <w:p>
                  <w:pPr>
                    <w:pStyle w:val="23"/>
                    <w:bidi w:val="0"/>
                    <w:rPr>
                      <w:color w:val="auto"/>
                    </w:rPr>
                  </w:pPr>
                  <w:r>
                    <w:rPr>
                      <w:color w:val="auto"/>
                      <w:lang w:val="en-US" w:eastAsia="zh-CN"/>
                    </w:rPr>
                    <w:t>40.5</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20.5</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52.5</w:t>
                  </w:r>
                </w:p>
              </w:tc>
              <w:tc>
                <w:tcPr>
                  <w:tcW w:w="180" w:type="dxa"/>
                  <w:tcBorders>
                    <w:left w:val="single" w:sz="4" w:space="0" w:color="auto"/>
                  </w:tcBorders>
                  <w:vAlign w:val="bottom"/>
                </w:tcPr>
                <w:p>
                  <w:pPr>
                    <w:pStyle w:val="23"/>
                    <w:bidi w:val="0"/>
                    <w:rPr>
                      <w:color w:val="auto"/>
                    </w:rPr>
                  </w:pPr>
                  <w:r>
                    <w:rPr>
                      <w:color w:val="auto"/>
                      <w:lang w:val="en-US" w:eastAsia="zh-CN"/>
                    </w:rPr>
                    <w:t>35.6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15.6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10</w:t>
                  </w:r>
                </w:p>
              </w:tc>
              <w:tc>
                <w:tcPr>
                  <w:tcW w:w="180" w:type="dxa"/>
                  <w:tcBorders>
                    <w:left w:val="single" w:sz="4" w:space="0" w:color="auto"/>
                  </w:tcBorders>
                  <w:vAlign w:val="bottom"/>
                </w:tcPr>
                <w:p>
                  <w:pPr>
                    <w:pStyle w:val="23"/>
                    <w:bidi w:val="0"/>
                    <w:rPr>
                      <w:color w:val="auto"/>
                    </w:rPr>
                  </w:pPr>
                  <w:r>
                    <w:rPr>
                      <w:color w:val="auto"/>
                      <w:lang w:val="en-US" w:eastAsia="zh-CN"/>
                    </w:rPr>
                    <w:t>50.0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30.0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32.5</w:t>
                  </w:r>
                </w:p>
              </w:tc>
              <w:tc>
                <w:tcPr>
                  <w:tcW w:w="180" w:type="dxa"/>
                  <w:tcBorders>
                    <w:left w:val="single" w:sz="4" w:space="0" w:color="auto"/>
                  </w:tcBorders>
                  <w:vAlign w:val="bottom"/>
                </w:tcPr>
                <w:p>
                  <w:pPr>
                    <w:pStyle w:val="23"/>
                    <w:bidi w:val="0"/>
                    <w:rPr>
                      <w:color w:val="auto"/>
                    </w:rPr>
                  </w:pPr>
                  <w:r>
                    <w:rPr>
                      <w:color w:val="auto"/>
                      <w:lang w:val="en-US" w:eastAsia="zh-CN"/>
                    </w:rPr>
                    <w:t>39.8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19.8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臭氧发生器</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20</w:t>
                  </w:r>
                </w:p>
              </w:tc>
              <w:tc>
                <w:tcPr>
                  <w:tcW w:w="180" w:type="dxa"/>
                  <w:tcBorders>
                    <w:left w:val="single" w:sz="4" w:space="0" w:color="auto"/>
                  </w:tcBorders>
                  <w:vAlign w:val="bottom"/>
                </w:tcPr>
                <w:p>
                  <w:pPr>
                    <w:pStyle w:val="23"/>
                    <w:bidi w:val="0"/>
                    <w:rPr>
                      <w:color w:val="auto"/>
                    </w:rPr>
                  </w:pPr>
                  <w:r>
                    <w:rPr>
                      <w:color w:val="auto"/>
                      <w:lang w:val="en-US" w:eastAsia="zh-CN"/>
                    </w:rPr>
                    <w:t>34.0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14.0</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42.5</w:t>
                  </w:r>
                </w:p>
              </w:tc>
              <w:tc>
                <w:tcPr>
                  <w:tcW w:w="180" w:type="dxa"/>
                  <w:tcBorders>
                    <w:left w:val="single" w:sz="4" w:space="0" w:color="auto"/>
                  </w:tcBorders>
                  <w:vAlign w:val="bottom"/>
                </w:tcPr>
                <w:p>
                  <w:pPr>
                    <w:pStyle w:val="23"/>
                    <w:bidi w:val="0"/>
                    <w:rPr>
                      <w:color w:val="auto"/>
                    </w:rPr>
                  </w:pPr>
                  <w:r>
                    <w:rPr>
                      <w:color w:val="auto"/>
                      <w:lang w:val="en-US" w:eastAsia="zh-CN"/>
                    </w:rPr>
                    <w:t>27.4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7.4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20</w:t>
                  </w:r>
                </w:p>
              </w:tc>
              <w:tc>
                <w:tcPr>
                  <w:tcW w:w="180" w:type="dxa"/>
                  <w:tcBorders>
                    <w:left w:val="single" w:sz="4" w:space="0" w:color="auto"/>
                  </w:tcBorders>
                  <w:vAlign w:val="bottom"/>
                </w:tcPr>
                <w:p>
                  <w:pPr>
                    <w:pStyle w:val="23"/>
                    <w:bidi w:val="0"/>
                    <w:rPr>
                      <w:color w:val="auto"/>
                    </w:rPr>
                  </w:pPr>
                  <w:r>
                    <w:rPr>
                      <w:color w:val="auto"/>
                      <w:lang w:val="en-US" w:eastAsia="zh-CN"/>
                    </w:rPr>
                    <w:t>34.0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42.5</w:t>
                  </w:r>
                </w:p>
              </w:tc>
              <w:tc>
                <w:tcPr>
                  <w:tcW w:w="180" w:type="dxa"/>
                  <w:tcBorders>
                    <w:left w:val="single" w:sz="4" w:space="0" w:color="auto"/>
                  </w:tcBorders>
                  <w:vAlign w:val="bottom"/>
                </w:tcPr>
                <w:p>
                  <w:pPr>
                    <w:pStyle w:val="23"/>
                    <w:bidi w:val="0"/>
                    <w:rPr>
                      <w:color w:val="auto"/>
                    </w:rPr>
                  </w:pPr>
                  <w:r>
                    <w:rPr>
                      <w:color w:val="auto"/>
                      <w:lang w:val="en-US" w:eastAsia="zh-CN"/>
                    </w:rPr>
                    <w:t>27.4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7.4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喷雾干燥机</w:t>
                  </w:r>
                </w:p>
              </w:tc>
              <w:tc>
                <w:tcPr>
                  <w:tcW w:w="165"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w:t>
                  </w:r>
                </w:p>
                <w:p>
                  <w:pPr>
                    <w:pStyle w:val="23"/>
                    <w:bidi w:val="0"/>
                    <w:rPr>
                      <w:color w:val="auto"/>
                    </w:rPr>
                  </w:pPr>
                </w:p>
              </w:tc>
              <w:tc>
                <w:tcPr>
                  <w:tcW w:w="83"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10</w:t>
                  </w:r>
                </w:p>
                <w:p>
                  <w:pPr>
                    <w:pStyle w:val="23"/>
                    <w:bidi w:val="0"/>
                    <w:rPr>
                      <w:color w:val="auto"/>
                    </w:rPr>
                  </w:pPr>
                </w:p>
              </w:tc>
              <w:tc>
                <w:tcPr>
                  <w:tcW w:w="82"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w:t>
                  </w:r>
                </w:p>
                <w:p>
                  <w:pPr>
                    <w:pStyle w:val="23"/>
                    <w:bidi w:val="0"/>
                    <w:rPr>
                      <w:color w:val="auto"/>
                    </w:rPr>
                  </w:p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15</w:t>
                  </w:r>
                </w:p>
              </w:tc>
              <w:tc>
                <w:tcPr>
                  <w:tcW w:w="18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61.5</w:t>
                  </w:r>
                </w:p>
              </w:tc>
              <w:tc>
                <w:tcPr>
                  <w:tcW w:w="89"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昼间</w:t>
                  </w:r>
                </w:p>
              </w:tc>
              <w:tc>
                <w:tcPr>
                  <w:tcW w:w="187" w:type="dxa"/>
                  <w:vMerge w:val="restart"/>
                  <w:tcBorders>
                    <w:left w:val="single" w:sz="4" w:space="0" w:color="auto"/>
                  </w:tcBorders>
                  <w:shd w:val="clear" w:color="auto" w:fill="auto"/>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gridSpan w:val="2"/>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color w:val="auto"/>
                      <w:lang w:val="en-US" w:eastAsia="zh-CN"/>
                    </w:rPr>
                    <w:t>46.5</w:t>
                  </w:r>
                </w:p>
              </w:tc>
              <w:tc>
                <w:tcPr>
                  <w:tcW w:w="121" w:type="dxa"/>
                  <w:gridSpan w:val="2"/>
                  <w:vMerge w:val="restart"/>
                  <w:tcBorders>
                    <w:left w:val="single" w:sz="4" w:space="0" w:color="auto"/>
                  </w:tcBorders>
                  <w:vAlign w:val="center"/>
                </w:tcPr>
                <w:p>
                  <w:pPr>
                    <w:pStyle w:val="23"/>
                    <w:bidi w:val="0"/>
                    <w:ind w:firstLine="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55</w:t>
                  </w:r>
                </w:p>
              </w:tc>
              <w:tc>
                <w:tcPr>
                  <w:tcW w:w="18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50.2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gridSpan w:val="2"/>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color w:val="auto"/>
                      <w:lang w:val="en-US" w:eastAsia="zh-CN"/>
                    </w:rPr>
                    <w:t>35.2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25</w:t>
                  </w:r>
                </w:p>
              </w:tc>
              <w:tc>
                <w:tcPr>
                  <w:tcW w:w="18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57.0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gridSpan w:val="2"/>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color w:val="auto"/>
                      <w:lang w:val="en-US" w:eastAsia="zh-CN"/>
                    </w:rPr>
                    <w:t>42.0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35</w:t>
                  </w:r>
                </w:p>
              </w:tc>
              <w:tc>
                <w:tcPr>
                  <w:tcW w:w="18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54.1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gridSpan w:val="2"/>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color w:val="auto"/>
                      <w:lang w:val="en-US" w:eastAsia="zh-CN"/>
                    </w:rPr>
                    <w:t>39.1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旋风灌装机</w:t>
                  </w:r>
                </w:p>
              </w:tc>
              <w:tc>
                <w:tcPr>
                  <w:tcW w:w="165"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6</w:t>
                  </w:r>
                </w:p>
                <w:p>
                  <w:pPr>
                    <w:pStyle w:val="23"/>
                    <w:bidi w:val="0"/>
                    <w:rPr>
                      <w:color w:val="auto"/>
                    </w:rPr>
                  </w:pPr>
                </w:p>
              </w:tc>
              <w:tc>
                <w:tcPr>
                  <w:tcW w:w="83"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10</w:t>
                  </w:r>
                </w:p>
              </w:tc>
              <w:tc>
                <w:tcPr>
                  <w:tcW w:w="82"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5</w:t>
                  </w: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14</w:t>
                  </w:r>
                </w:p>
              </w:tc>
              <w:tc>
                <w:tcPr>
                  <w:tcW w:w="18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6</w:t>
                  </w:r>
                  <w:r>
                    <w:rPr>
                      <w:rFonts w:hint="eastAsia"/>
                      <w:color w:val="auto"/>
                      <w:lang w:val="en-US" w:eastAsia="zh-CN"/>
                    </w:rPr>
                    <w:t>2</w:t>
                  </w:r>
                </w:p>
              </w:tc>
              <w:tc>
                <w:tcPr>
                  <w:tcW w:w="89"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昼间</w:t>
                  </w:r>
                </w:p>
              </w:tc>
              <w:tc>
                <w:tcPr>
                  <w:tcW w:w="187" w:type="dxa"/>
                  <w:vMerge w:val="restart"/>
                  <w:tcBorders>
                    <w:left w:val="single" w:sz="4" w:space="0" w:color="auto"/>
                  </w:tcBorders>
                  <w:shd w:val="clear" w:color="auto" w:fill="auto"/>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gridSpan w:val="2"/>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color w:val="auto"/>
                      <w:lang w:val="en-US" w:eastAsia="zh-CN"/>
                    </w:rPr>
                    <w:t>4</w:t>
                  </w:r>
                  <w:r>
                    <w:rPr>
                      <w:rFonts w:hint="eastAsia"/>
                      <w:color w:val="auto"/>
                      <w:lang w:val="en-US" w:eastAsia="zh-CN"/>
                    </w:rPr>
                    <w:t>7</w:t>
                  </w:r>
                </w:p>
              </w:tc>
              <w:tc>
                <w:tcPr>
                  <w:tcW w:w="121" w:type="dxa"/>
                  <w:gridSpan w:val="2"/>
                  <w:vMerge w:val="restart"/>
                  <w:tcBorders>
                    <w:left w:val="single" w:sz="4" w:space="0" w:color="auto"/>
                  </w:tcBorders>
                  <w:vAlign w:val="center"/>
                </w:tcPr>
                <w:p>
                  <w:pPr>
                    <w:pStyle w:val="23"/>
                    <w:bidi w:val="0"/>
                    <w:ind w:firstLine="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55</w:t>
                  </w:r>
                </w:p>
              </w:tc>
              <w:tc>
                <w:tcPr>
                  <w:tcW w:w="18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50.2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gridSpan w:val="2"/>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color w:val="auto"/>
                      <w:lang w:val="en-US" w:eastAsia="zh-CN"/>
                    </w:rPr>
                    <w:t>35.2</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26</w:t>
                  </w:r>
                </w:p>
              </w:tc>
              <w:tc>
                <w:tcPr>
                  <w:tcW w:w="18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5</w:t>
                  </w:r>
                  <w:r>
                    <w:rPr>
                      <w:rFonts w:hint="eastAsia"/>
                      <w:color w:val="auto"/>
                      <w:lang w:val="en-US" w:eastAsia="zh-CN"/>
                    </w:rPr>
                    <w:t>6.5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gridSpan w:val="2"/>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color w:val="auto"/>
                      <w:lang w:val="en-US" w:eastAsia="zh-CN"/>
                    </w:rPr>
                    <w:t>4</w:t>
                  </w:r>
                  <w:r>
                    <w:rPr>
                      <w:rFonts w:hint="eastAsia"/>
                      <w:color w:val="auto"/>
                      <w:lang w:val="en-US" w:eastAsia="zh-CN"/>
                    </w:rPr>
                    <w:t>1.5</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35</w:t>
                  </w:r>
                </w:p>
              </w:tc>
              <w:tc>
                <w:tcPr>
                  <w:tcW w:w="18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color w:val="auto"/>
                      <w:lang w:val="en-US" w:eastAsia="zh-CN"/>
                    </w:rPr>
                    <w:t>54.1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gridSpan w:val="2"/>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color w:val="auto"/>
                      <w:lang w:val="en-US" w:eastAsia="zh-CN"/>
                    </w:rPr>
                    <w:t>39.1</w:t>
                  </w:r>
                </w:p>
              </w:tc>
              <w:tc>
                <w:tcPr>
                  <w:tcW w:w="121" w:type="dxa"/>
                  <w:gridSpan w:val="2"/>
                  <w:vMerge/>
                  <w:tcBorders>
                    <w:left w:val="single" w:sz="4" w:space="0" w:color="auto"/>
                  </w:tcBorders>
                  <w:vAlign w:val="center"/>
                </w:tcPr>
                <w:p/>
              </w:tc>
            </w:tr>
            <w:tr>
              <w:trPr>
                <w:trHeight w:val="23"/>
              </w:trPr>
              <w:tc>
                <w:tcPr>
                  <w:tcW w:w="95" w:type="dxa"/>
                  <w:vMerge w:val="restart"/>
                  <w:vAlign w:val="center"/>
                </w:tcPr>
                <w:p>
                  <w:pPr>
                    <w:pStyle w:val="23"/>
                    <w:bidi w:val="0"/>
                    <w:rPr>
                      <w:color w:val="auto"/>
                      <w:lang w:val="en-US" w:eastAsia="zh-CN"/>
                    </w:rPr>
                  </w:pPr>
                  <w:r>
                    <w:rPr>
                      <w:rFonts w:hint="eastAsia"/>
                      <w:color w:val="auto"/>
                      <w:lang w:val="en-US" w:eastAsia="zh-CN"/>
                    </w:rPr>
                    <w:t>1#车间1层</w:t>
                  </w: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46.9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26.9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bottom"/>
                </w:tcPr>
                <w:p>
                  <w:pPr>
                    <w:pStyle w:val="23"/>
                    <w:bidi w:val="0"/>
                    <w:rPr>
                      <w:color w:val="auto"/>
                    </w:rPr>
                  </w:pPr>
                  <w:r>
                    <w:rPr>
                      <w:color w:val="auto"/>
                      <w:lang w:val="en-US" w:eastAsia="zh-CN"/>
                    </w:rPr>
                    <w:t>40.1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20.1</w:t>
                  </w:r>
                </w:p>
              </w:tc>
              <w:tc>
                <w:tcPr>
                  <w:tcW w:w="121" w:type="dxa"/>
                  <w:gridSpan w:val="2"/>
                  <w:vMerge/>
                  <w:tcBorders>
                    <w:left w:val="single" w:sz="4" w:space="0" w:color="auto"/>
                  </w:tcBorders>
                  <w:vAlign w:val="center"/>
                </w:tcPr>
                <w:p/>
              </w:tc>
            </w:tr>
            <w:tr>
              <w:trPr>
                <w:trHeight w:val="90"/>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bottom"/>
                </w:tcPr>
                <w:p>
                  <w:pPr>
                    <w:pStyle w:val="23"/>
                    <w:bidi w:val="0"/>
                    <w:rPr>
                      <w:color w:val="auto"/>
                    </w:rPr>
                  </w:pPr>
                  <w:r>
                    <w:rPr>
                      <w:color w:val="auto"/>
                      <w:lang w:val="en-US" w:eastAsia="zh-CN"/>
                    </w:rPr>
                    <w:t>28.4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8.4</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-28</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bottom"/>
                </w:tcPr>
                <w:p>
                  <w:pPr>
                    <w:pStyle w:val="23"/>
                    <w:bidi w:val="0"/>
                    <w:rPr>
                      <w:color w:val="auto"/>
                    </w:rPr>
                  </w:pPr>
                  <w:r>
                    <w:rPr>
                      <w:color w:val="auto"/>
                      <w:lang w:val="en-US" w:eastAsia="zh-CN"/>
                    </w:rPr>
                    <w:t>46.9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26.9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14.5</w:t>
                  </w:r>
                </w:p>
              </w:tc>
              <w:tc>
                <w:tcPr>
                  <w:tcW w:w="180" w:type="dxa"/>
                  <w:tcBorders>
                    <w:left w:val="single" w:sz="4" w:space="0" w:color="auto"/>
                  </w:tcBorders>
                  <w:vAlign w:val="bottom"/>
                </w:tcPr>
                <w:p>
                  <w:pPr>
                    <w:pStyle w:val="23"/>
                    <w:bidi w:val="0"/>
                    <w:rPr>
                      <w:color w:val="auto"/>
                    </w:rPr>
                  </w:pPr>
                  <w:r>
                    <w:rPr>
                      <w:color w:val="auto"/>
                      <w:lang w:val="en-US" w:eastAsia="zh-CN"/>
                    </w:rPr>
                    <w:t>41.8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21.8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bottom"/>
                </w:tcPr>
                <w:p>
                  <w:pPr>
                    <w:pStyle w:val="23"/>
                    <w:bidi w:val="0"/>
                    <w:rPr>
                      <w:color w:val="auto"/>
                    </w:rPr>
                  </w:pPr>
                  <w:r>
                    <w:rPr>
                      <w:color w:val="auto"/>
                      <w:lang w:val="en-US" w:eastAsia="zh-CN"/>
                    </w:rPr>
                    <w:t>34.9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14.9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70.5</w:t>
                  </w:r>
                </w:p>
              </w:tc>
              <w:tc>
                <w:tcPr>
                  <w:tcW w:w="180" w:type="dxa"/>
                  <w:tcBorders>
                    <w:left w:val="single" w:sz="4" w:space="0" w:color="auto"/>
                  </w:tcBorders>
                  <w:vAlign w:val="bottom"/>
                </w:tcPr>
                <w:p>
                  <w:pPr>
                    <w:pStyle w:val="23"/>
                    <w:bidi w:val="0"/>
                    <w:rPr>
                      <w:color w:val="auto"/>
                    </w:rPr>
                  </w:pPr>
                  <w:r>
                    <w:rPr>
                      <w:color w:val="auto"/>
                      <w:lang w:val="en-US" w:eastAsia="zh-CN"/>
                    </w:rPr>
                    <w:t>28.0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color w:val="auto"/>
                    </w:rPr>
                  </w:pPr>
                  <w:r>
                    <w:rPr>
                      <w:rFonts w:hint="eastAsia"/>
                      <w:color w:val="auto"/>
                      <w:lang w:val="en-US" w:eastAsia="zh-CN"/>
                    </w:rPr>
                    <w:t>8.0</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46.9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23.1</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14.9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72.5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7.8</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-32</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46.9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26.9</w:t>
                  </w:r>
                </w:p>
              </w:tc>
              <w:tc>
                <w:tcPr>
                  <w:tcW w:w="121" w:type="dxa"/>
                  <w:gridSpan w:val="2"/>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10.5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44.6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24.6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14.9</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74.5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8" w:type="dxa"/>
                  <w:gridSpan w:val="2"/>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7.6</w:t>
                  </w:r>
                </w:p>
              </w:tc>
              <w:tc>
                <w:tcPr>
                  <w:tcW w:w="121" w:type="dxa"/>
                  <w:gridSpan w:val="2"/>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-34</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46.9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26.9</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46.4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14.9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76.5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7.3</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-36</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46.9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26.9</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48.7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28.7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14.9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78.5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7.1</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-38</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46.9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26.9</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31.9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14.9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80.5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26.9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6.9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-40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46.9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26.9</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57.0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14.9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82.5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26.7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6.7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饮料灌装机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31.1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11.1</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18.4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15.1</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饮料灌装机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28</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31.1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11.1</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70.5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3</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18.4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14.5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16.8</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UHT超高温杀菌机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13</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17</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7</w:t>
                  </w:r>
                </w:p>
              </w:tc>
              <w:tc>
                <w:tcPr>
                  <w:tcW w:w="180" w:type="dxa"/>
                  <w:tcBorders>
                    <w:left w:val="single" w:sz="4" w:space="0" w:color="auto"/>
                  </w:tcBorders>
                  <w:vAlign w:val="bottom"/>
                </w:tcPr>
                <w:p>
                  <w:pPr>
                    <w:pStyle w:val="23"/>
                    <w:bidi w:val="0"/>
                    <w:rPr>
                      <w:color w:val="auto"/>
                    </w:rPr>
                  </w:pPr>
                  <w:r>
                    <w:rPr>
                      <w:color w:val="auto"/>
                      <w:lang w:val="en-US" w:eastAsia="zh-CN"/>
                    </w:rPr>
                    <w:t>48.1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28.1</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59.5</w:t>
                  </w:r>
                </w:p>
              </w:tc>
              <w:tc>
                <w:tcPr>
                  <w:tcW w:w="180" w:type="dxa"/>
                  <w:tcBorders>
                    <w:left w:val="single" w:sz="4" w:space="0" w:color="auto"/>
                  </w:tcBorders>
                  <w:vAlign w:val="bottom"/>
                </w:tcPr>
                <w:p>
                  <w:pPr>
                    <w:pStyle w:val="23"/>
                    <w:bidi w:val="0"/>
                    <w:rPr>
                      <w:color w:val="auto"/>
                    </w:rPr>
                  </w:pPr>
                  <w:r>
                    <w:rPr>
                      <w:color w:val="auto"/>
                      <w:lang w:val="en-US" w:eastAsia="zh-CN"/>
                    </w:rPr>
                    <w:t>29.8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9.8</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33</w:t>
                  </w:r>
                </w:p>
              </w:tc>
              <w:tc>
                <w:tcPr>
                  <w:tcW w:w="180" w:type="dxa"/>
                  <w:tcBorders>
                    <w:left w:val="single" w:sz="4" w:space="0" w:color="auto"/>
                  </w:tcBorders>
                  <w:vAlign w:val="bottom"/>
                </w:tcPr>
                <w:p>
                  <w:pPr>
                    <w:pStyle w:val="23"/>
                    <w:bidi w:val="0"/>
                    <w:rPr>
                      <w:color w:val="auto"/>
                    </w:rPr>
                  </w:pPr>
                  <w:r>
                    <w:rPr>
                      <w:color w:val="auto"/>
                      <w:lang w:val="en-US" w:eastAsia="zh-CN"/>
                    </w:rPr>
                    <w:t>34.6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14.6</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25.5</w:t>
                  </w:r>
                </w:p>
              </w:tc>
              <w:tc>
                <w:tcPr>
                  <w:tcW w:w="180" w:type="dxa"/>
                  <w:tcBorders>
                    <w:left w:val="single" w:sz="4" w:space="0" w:color="auto"/>
                  </w:tcBorders>
                  <w:vAlign w:val="bottom"/>
                </w:tcPr>
                <w:p>
                  <w:pPr>
                    <w:pStyle w:val="23"/>
                    <w:bidi w:val="0"/>
                    <w:rPr>
                      <w:color w:val="auto"/>
                    </w:rPr>
                  </w:pPr>
                  <w:r>
                    <w:rPr>
                      <w:color w:val="auto"/>
                      <w:lang w:val="en-US" w:eastAsia="zh-CN"/>
                    </w:rPr>
                    <w:t>36.2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16.2</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贴标机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-15</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32</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35</w:t>
                  </w:r>
                </w:p>
              </w:tc>
              <w:tc>
                <w:tcPr>
                  <w:tcW w:w="180" w:type="dxa"/>
                  <w:tcBorders>
                    <w:left w:val="single" w:sz="4" w:space="0" w:color="auto"/>
                  </w:tcBorders>
                  <w:vAlign w:val="bottom"/>
                </w:tcPr>
                <w:p>
                  <w:pPr>
                    <w:pStyle w:val="23"/>
                    <w:bidi w:val="0"/>
                    <w:rPr>
                      <w:color w:val="auto"/>
                    </w:rPr>
                  </w:pPr>
                  <w:r>
                    <w:rPr>
                      <w:color w:val="auto"/>
                      <w:lang w:val="en-US" w:eastAsia="zh-CN"/>
                    </w:rPr>
                    <w:t>29.1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9.1</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74.5</w:t>
                  </w:r>
                </w:p>
              </w:tc>
              <w:tc>
                <w:tcPr>
                  <w:tcW w:w="180" w:type="dxa"/>
                  <w:tcBorders>
                    <w:left w:val="single" w:sz="4" w:space="0" w:color="auto"/>
                  </w:tcBorders>
                  <w:vAlign w:val="bottom"/>
                </w:tcPr>
                <w:p>
                  <w:pPr>
                    <w:pStyle w:val="23"/>
                    <w:bidi w:val="0"/>
                    <w:rPr>
                      <w:color w:val="auto"/>
                    </w:rPr>
                  </w:pPr>
                  <w:r>
                    <w:rPr>
                      <w:color w:val="auto"/>
                      <w:lang w:val="en-US" w:eastAsia="zh-CN"/>
                    </w:rPr>
                    <w:t>22.6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2.6</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w:t>
                  </w:r>
                </w:p>
              </w:tc>
              <w:tc>
                <w:tcPr>
                  <w:tcW w:w="180" w:type="dxa"/>
                  <w:tcBorders>
                    <w:left w:val="single" w:sz="4" w:space="0" w:color="auto"/>
                  </w:tcBorders>
                  <w:vAlign w:val="bottom"/>
                </w:tcPr>
                <w:p>
                  <w:pPr>
                    <w:pStyle w:val="23"/>
                    <w:bidi w:val="0"/>
                    <w:rPr>
                      <w:color w:val="auto"/>
                    </w:rPr>
                  </w:pPr>
                  <w:r>
                    <w:rPr>
                      <w:color w:val="auto"/>
                      <w:lang w:val="en-US" w:eastAsia="zh-CN"/>
                    </w:rPr>
                    <w:t>46.0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26.0</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10.5</w:t>
                  </w:r>
                </w:p>
              </w:tc>
              <w:tc>
                <w:tcPr>
                  <w:tcW w:w="180" w:type="dxa"/>
                  <w:tcBorders>
                    <w:left w:val="single" w:sz="4" w:space="0" w:color="auto"/>
                  </w:tcBorders>
                  <w:vAlign w:val="bottom"/>
                </w:tcPr>
                <w:p>
                  <w:pPr>
                    <w:pStyle w:val="23"/>
                    <w:bidi w:val="0"/>
                    <w:rPr>
                      <w:color w:val="auto"/>
                    </w:rPr>
                  </w:pPr>
                  <w:r>
                    <w:rPr>
                      <w:color w:val="auto"/>
                      <w:lang w:val="en-US" w:eastAsia="zh-CN"/>
                    </w:rPr>
                    <w:t>39.6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19.6</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贴标机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-15</w:t>
                  </w:r>
                </w:p>
              </w:tc>
              <w:tc>
                <w:tcPr>
                  <w:tcW w:w="83"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30</w:t>
                  </w:r>
                </w:p>
              </w:tc>
              <w:tc>
                <w:tcPr>
                  <w:tcW w:w="82"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6.5</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29.1</w:t>
                  </w:r>
                </w:p>
              </w:tc>
              <w:tc>
                <w:tcPr>
                  <w:tcW w:w="89" w:type="dxa"/>
                  <w:vMerge w:val="restart"/>
                  <w:tcBorders>
                    <w:left w:val="single" w:sz="4" w:space="0" w:color="auto"/>
                  </w:tcBorders>
                  <w:vAlign w:val="center"/>
                </w:tcPr>
                <w:p>
                  <w:pPr>
                    <w:pStyle w:val="23"/>
                    <w:bidi w:val="0"/>
                    <w:rPr>
                      <w:color w:val="auto"/>
                      <w:lang w:val="en-US" w:eastAsia="zh-CN"/>
                    </w:rPr>
                  </w:pPr>
                  <w:r>
                    <w:rPr>
                      <w:color w:val="auto"/>
                    </w:rPr>
                    <w:t>昼间</w:t>
                  </w:r>
                </w:p>
                <w:p>
                  <w:pPr>
                    <w:pStyle w:val="23"/>
                    <w:bidi w:val="0"/>
                    <w:rPr>
                      <w:color w:val="auto"/>
                    </w:rPr>
                  </w:pP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9.1</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72.5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22.6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46.0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26.0</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12.5</w:t>
                  </w:r>
                </w:p>
              </w:tc>
              <w:tc>
                <w:tcPr>
                  <w:tcW w:w="180" w:type="dxa"/>
                  <w:tcBorders>
                    <w:left w:val="single" w:sz="4" w:space="0" w:color="auto"/>
                  </w:tcBorders>
                  <w:vAlign w:val="bottom"/>
                </w:tcPr>
                <w:p>
                  <w:pPr>
                    <w:pStyle w:val="23"/>
                    <w:bidi w:val="0"/>
                    <w:rPr>
                      <w:color w:val="auto"/>
                      <w:lang w:val="en-US" w:eastAsia="zh-CN"/>
                    </w:rPr>
                  </w:pPr>
                  <w:r>
                    <w:rPr>
                      <w:color w:val="auto"/>
                      <w:lang w:val="en-US" w:eastAsia="zh-CN"/>
                    </w:rPr>
                    <w:t>39.6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19.6</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贴管机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-15</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21</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35</w:t>
                  </w:r>
                </w:p>
              </w:tc>
              <w:tc>
                <w:tcPr>
                  <w:tcW w:w="180" w:type="dxa"/>
                  <w:tcBorders>
                    <w:left w:val="single" w:sz="4" w:space="0" w:color="auto"/>
                  </w:tcBorders>
                  <w:vAlign w:val="bottom"/>
                </w:tcPr>
                <w:p>
                  <w:pPr>
                    <w:pStyle w:val="23"/>
                    <w:bidi w:val="0"/>
                    <w:rPr>
                      <w:color w:val="auto"/>
                    </w:rPr>
                  </w:pPr>
                  <w:r>
                    <w:rPr>
                      <w:color w:val="auto"/>
                      <w:lang w:val="en-US" w:eastAsia="zh-CN"/>
                    </w:rPr>
                    <w:t>29.1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9.1</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63.5</w:t>
                  </w:r>
                </w:p>
              </w:tc>
              <w:tc>
                <w:tcPr>
                  <w:tcW w:w="180" w:type="dxa"/>
                  <w:tcBorders>
                    <w:left w:val="single" w:sz="4" w:space="0" w:color="auto"/>
                  </w:tcBorders>
                  <w:vAlign w:val="bottom"/>
                </w:tcPr>
                <w:p>
                  <w:pPr>
                    <w:pStyle w:val="23"/>
                    <w:bidi w:val="0"/>
                    <w:rPr>
                      <w:color w:val="auto"/>
                    </w:rPr>
                  </w:pPr>
                  <w:r>
                    <w:rPr>
                      <w:color w:val="auto"/>
                      <w:lang w:val="en-US" w:eastAsia="zh-CN"/>
                    </w:rPr>
                    <w:t>23.9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3.9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w:t>
                  </w:r>
                </w:p>
              </w:tc>
              <w:tc>
                <w:tcPr>
                  <w:tcW w:w="180" w:type="dxa"/>
                  <w:tcBorders>
                    <w:left w:val="single" w:sz="4" w:space="0" w:color="auto"/>
                  </w:tcBorders>
                  <w:vAlign w:val="bottom"/>
                </w:tcPr>
                <w:p>
                  <w:pPr>
                    <w:pStyle w:val="23"/>
                    <w:bidi w:val="0"/>
                    <w:rPr>
                      <w:color w:val="auto"/>
                    </w:rPr>
                  </w:pPr>
                  <w:r>
                    <w:rPr>
                      <w:color w:val="auto"/>
                      <w:lang w:val="en-US" w:eastAsia="zh-CN"/>
                    </w:rPr>
                    <w:t>46.0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26.0</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21.5</w:t>
                  </w:r>
                </w:p>
              </w:tc>
              <w:tc>
                <w:tcPr>
                  <w:tcW w:w="180" w:type="dxa"/>
                  <w:tcBorders>
                    <w:left w:val="single" w:sz="4" w:space="0" w:color="auto"/>
                  </w:tcBorders>
                  <w:vAlign w:val="bottom"/>
                </w:tcPr>
                <w:p>
                  <w:pPr>
                    <w:pStyle w:val="23"/>
                    <w:bidi w:val="0"/>
                    <w:rPr>
                      <w:color w:val="auto"/>
                    </w:rPr>
                  </w:pPr>
                  <w:r>
                    <w:rPr>
                      <w:color w:val="auto"/>
                      <w:lang w:val="en-US" w:eastAsia="zh-CN"/>
                    </w:rPr>
                    <w:t>33.4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13.4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饮料包装机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-5</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16</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25</w:t>
                  </w:r>
                </w:p>
              </w:tc>
              <w:tc>
                <w:tcPr>
                  <w:tcW w:w="180" w:type="dxa"/>
                  <w:tcBorders>
                    <w:left w:val="single" w:sz="4" w:space="0" w:color="auto"/>
                  </w:tcBorders>
                  <w:vAlign w:val="bottom"/>
                </w:tcPr>
                <w:p>
                  <w:pPr>
                    <w:pStyle w:val="23"/>
                    <w:bidi w:val="0"/>
                    <w:rPr>
                      <w:color w:val="auto"/>
                    </w:rPr>
                  </w:pPr>
                  <w:r>
                    <w:rPr>
                      <w:color w:val="auto"/>
                      <w:lang w:val="en-US" w:eastAsia="zh-CN"/>
                    </w:rPr>
                    <w:t>32.0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12.0</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58.5</w:t>
                  </w:r>
                </w:p>
              </w:tc>
              <w:tc>
                <w:tcPr>
                  <w:tcW w:w="180" w:type="dxa"/>
                  <w:tcBorders>
                    <w:left w:val="single" w:sz="4" w:space="0" w:color="auto"/>
                  </w:tcBorders>
                  <w:vAlign w:val="bottom"/>
                </w:tcPr>
                <w:p>
                  <w:pPr>
                    <w:pStyle w:val="23"/>
                    <w:bidi w:val="0"/>
                    <w:rPr>
                      <w:color w:val="auto"/>
                    </w:rPr>
                  </w:pPr>
                  <w:r>
                    <w:rPr>
                      <w:color w:val="auto"/>
                      <w:lang w:val="en-US" w:eastAsia="zh-CN"/>
                    </w:rPr>
                    <w:t>24.7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4.7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15</w:t>
                  </w:r>
                </w:p>
              </w:tc>
              <w:tc>
                <w:tcPr>
                  <w:tcW w:w="180" w:type="dxa"/>
                  <w:tcBorders>
                    <w:left w:val="single" w:sz="4" w:space="0" w:color="auto"/>
                  </w:tcBorders>
                  <w:vAlign w:val="bottom"/>
                </w:tcPr>
                <w:p>
                  <w:pPr>
                    <w:pStyle w:val="23"/>
                    <w:bidi w:val="0"/>
                    <w:rPr>
                      <w:color w:val="auto"/>
                    </w:rPr>
                  </w:pPr>
                  <w:r>
                    <w:rPr>
                      <w:color w:val="auto"/>
                      <w:lang w:val="en-US" w:eastAsia="zh-CN"/>
                    </w:rPr>
                    <w:t>36.5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16.5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26.5</w:t>
                  </w:r>
                </w:p>
              </w:tc>
              <w:tc>
                <w:tcPr>
                  <w:tcW w:w="180" w:type="dxa"/>
                  <w:tcBorders>
                    <w:left w:val="single" w:sz="4" w:space="0" w:color="auto"/>
                  </w:tcBorders>
                  <w:vAlign w:val="bottom"/>
                </w:tcPr>
                <w:p>
                  <w:pPr>
                    <w:pStyle w:val="23"/>
                    <w:bidi w:val="0"/>
                    <w:rPr>
                      <w:color w:val="auto"/>
                    </w:rPr>
                  </w:pPr>
                  <w:r>
                    <w:rPr>
                      <w:color w:val="auto"/>
                      <w:lang w:val="en-US" w:eastAsia="zh-CN"/>
                    </w:rPr>
                    <w:t>31.5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11.5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均质机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-8</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13</w:t>
                  </w:r>
                </w:p>
              </w:tc>
              <w:tc>
                <w:tcPr>
                  <w:tcW w:w="180" w:type="dxa"/>
                  <w:tcBorders>
                    <w:left w:val="single" w:sz="4" w:space="0" w:color="auto"/>
                  </w:tcBorders>
                  <w:vAlign w:val="bottom"/>
                </w:tcPr>
                <w:p>
                  <w:pPr>
                    <w:pStyle w:val="23"/>
                    <w:bidi w:val="0"/>
                    <w:rPr>
                      <w:color w:val="auto"/>
                    </w:rPr>
                  </w:pPr>
                  <w:r>
                    <w:rPr>
                      <w:color w:val="auto"/>
                      <w:lang w:val="en-US" w:eastAsia="zh-CN"/>
                    </w:rPr>
                    <w:t>42.7</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22.7</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34.5</w:t>
                  </w:r>
                </w:p>
              </w:tc>
              <w:tc>
                <w:tcPr>
                  <w:tcW w:w="180" w:type="dxa"/>
                  <w:tcBorders>
                    <w:left w:val="single" w:sz="4" w:space="0" w:color="auto"/>
                  </w:tcBorders>
                  <w:vAlign w:val="bottom"/>
                </w:tcPr>
                <w:p>
                  <w:pPr>
                    <w:pStyle w:val="23"/>
                    <w:bidi w:val="0"/>
                    <w:rPr>
                      <w:color w:val="auto"/>
                    </w:rPr>
                  </w:pPr>
                  <w:r>
                    <w:rPr>
                      <w:color w:val="auto"/>
                      <w:lang w:val="en-US" w:eastAsia="zh-CN"/>
                    </w:rPr>
                    <w:t>34.2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14.2</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w:t>
                  </w:r>
                </w:p>
              </w:tc>
              <w:tc>
                <w:tcPr>
                  <w:tcW w:w="180" w:type="dxa"/>
                  <w:tcBorders>
                    <w:left w:val="single" w:sz="4" w:space="0" w:color="auto"/>
                  </w:tcBorders>
                  <w:vAlign w:val="bottom"/>
                </w:tcPr>
                <w:p>
                  <w:pPr>
                    <w:pStyle w:val="23"/>
                    <w:bidi w:val="0"/>
                    <w:rPr>
                      <w:color w:val="auto"/>
                    </w:rPr>
                  </w:pPr>
                  <w:r>
                    <w:rPr>
                      <w:color w:val="auto"/>
                      <w:lang w:val="en-US" w:eastAsia="zh-CN"/>
                    </w:rPr>
                    <w:t>36.4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16.4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50.5</w:t>
                  </w:r>
                </w:p>
              </w:tc>
              <w:tc>
                <w:tcPr>
                  <w:tcW w:w="180" w:type="dxa"/>
                  <w:tcBorders>
                    <w:left w:val="single" w:sz="4" w:space="0" w:color="auto"/>
                  </w:tcBorders>
                  <w:vAlign w:val="bottom"/>
                </w:tcPr>
                <w:p>
                  <w:pPr>
                    <w:pStyle w:val="23"/>
                    <w:bidi w:val="0"/>
                    <w:rPr>
                      <w:color w:val="auto"/>
                    </w:rPr>
                  </w:pPr>
                  <w:r>
                    <w:rPr>
                      <w:color w:val="auto"/>
                      <w:lang w:val="en-US" w:eastAsia="zh-CN"/>
                    </w:rPr>
                    <w:t>30.9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10.9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-12</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bottom"/>
                </w:tcPr>
                <w:p>
                  <w:pPr>
                    <w:pStyle w:val="23"/>
                    <w:bidi w:val="0"/>
                    <w:rPr>
                      <w:color w:val="auto"/>
                    </w:rPr>
                  </w:pPr>
                  <w:r>
                    <w:rPr>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25.0</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30.5</w:t>
                  </w:r>
                </w:p>
              </w:tc>
              <w:tc>
                <w:tcPr>
                  <w:tcW w:w="180" w:type="dxa"/>
                  <w:tcBorders>
                    <w:left w:val="single" w:sz="4" w:space="0" w:color="auto"/>
                  </w:tcBorders>
                  <w:vAlign w:val="bottom"/>
                </w:tcPr>
                <w:p>
                  <w:pPr>
                    <w:pStyle w:val="23"/>
                    <w:bidi w:val="0"/>
                    <w:rPr>
                      <w:color w:val="auto"/>
                    </w:rPr>
                  </w:pPr>
                  <w:r>
                    <w:rPr>
                      <w:color w:val="auto"/>
                      <w:lang w:val="en-US" w:eastAsia="zh-CN"/>
                    </w:rPr>
                    <w:t>35.3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15.3</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bottom"/>
                </w:tcPr>
                <w:p>
                  <w:pPr>
                    <w:pStyle w:val="23"/>
                    <w:bidi w:val="0"/>
                    <w:rPr>
                      <w:color w:val="auto"/>
                    </w:rPr>
                  </w:pPr>
                  <w:r>
                    <w:rPr>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54.5</w:t>
                  </w:r>
                </w:p>
              </w:tc>
              <w:tc>
                <w:tcPr>
                  <w:tcW w:w="180" w:type="dxa"/>
                  <w:tcBorders>
                    <w:left w:val="single" w:sz="4" w:space="0" w:color="auto"/>
                  </w:tcBorders>
                  <w:vAlign w:val="bottom"/>
                </w:tcPr>
                <w:p>
                  <w:pPr>
                    <w:pStyle w:val="23"/>
                    <w:bidi w:val="0"/>
                    <w:rPr>
                      <w:color w:val="auto"/>
                    </w:rPr>
                  </w:pPr>
                  <w:r>
                    <w:rPr>
                      <w:color w:val="auto"/>
                      <w:lang w:val="en-US" w:eastAsia="zh-CN"/>
                    </w:rPr>
                    <w:t>30.3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10.3</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bottom"/>
                </w:tcPr>
                <w:p>
                  <w:pPr>
                    <w:pStyle w:val="23"/>
                    <w:bidi w:val="0"/>
                    <w:rPr>
                      <w:color w:val="auto"/>
                    </w:rPr>
                  </w:pPr>
                  <w:r>
                    <w:rPr>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25.0</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27.5</w:t>
                  </w:r>
                </w:p>
              </w:tc>
              <w:tc>
                <w:tcPr>
                  <w:tcW w:w="180" w:type="dxa"/>
                  <w:tcBorders>
                    <w:left w:val="single" w:sz="4" w:space="0" w:color="auto"/>
                  </w:tcBorders>
                  <w:vAlign w:val="bottom"/>
                </w:tcPr>
                <w:p>
                  <w:pPr>
                    <w:pStyle w:val="23"/>
                    <w:bidi w:val="0"/>
                    <w:rPr>
                      <w:color w:val="auto"/>
                    </w:rPr>
                  </w:pPr>
                  <w:r>
                    <w:rPr>
                      <w:color w:val="auto"/>
                      <w:lang w:val="en-US" w:eastAsia="zh-CN"/>
                    </w:rPr>
                    <w:t>36.2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16.2</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bottom"/>
                </w:tcPr>
                <w:p>
                  <w:pPr>
                    <w:pStyle w:val="23"/>
                    <w:bidi w:val="0"/>
                    <w:rPr>
                      <w:color w:val="auto"/>
                    </w:rPr>
                  </w:pPr>
                  <w:r>
                    <w:rPr>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57.5</w:t>
                  </w:r>
                </w:p>
              </w:tc>
              <w:tc>
                <w:tcPr>
                  <w:tcW w:w="180" w:type="dxa"/>
                  <w:tcBorders>
                    <w:left w:val="single" w:sz="4" w:space="0" w:color="auto"/>
                  </w:tcBorders>
                  <w:vAlign w:val="bottom"/>
                </w:tcPr>
                <w:p>
                  <w:pPr>
                    <w:pStyle w:val="23"/>
                    <w:bidi w:val="0"/>
                    <w:rPr>
                      <w:color w:val="auto"/>
                    </w:rPr>
                  </w:pPr>
                  <w:r>
                    <w:rPr>
                      <w:color w:val="auto"/>
                      <w:lang w:val="en-US" w:eastAsia="zh-CN"/>
                    </w:rPr>
                    <w:t>29.8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9.8</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-18</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bottom"/>
                </w:tcPr>
                <w:p>
                  <w:pPr>
                    <w:pStyle w:val="23"/>
                    <w:bidi w:val="0"/>
                    <w:rPr>
                      <w:color w:val="auto"/>
                    </w:rPr>
                  </w:pPr>
                  <w:r>
                    <w:rPr>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25.0</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24.5</w:t>
                  </w:r>
                </w:p>
              </w:tc>
              <w:tc>
                <w:tcPr>
                  <w:tcW w:w="180" w:type="dxa"/>
                  <w:tcBorders>
                    <w:left w:val="single" w:sz="4" w:space="0" w:color="auto"/>
                  </w:tcBorders>
                  <w:vAlign w:val="bottom"/>
                </w:tcPr>
                <w:p>
                  <w:pPr>
                    <w:pStyle w:val="23"/>
                    <w:bidi w:val="0"/>
                    <w:rPr>
                      <w:color w:val="auto"/>
                    </w:rPr>
                  </w:pPr>
                  <w:r>
                    <w:rPr>
                      <w:color w:val="auto"/>
                      <w:lang w:val="en-US" w:eastAsia="zh-CN"/>
                    </w:rPr>
                    <w:t>37.2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17.2</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bottom"/>
                </w:tcPr>
                <w:p>
                  <w:pPr>
                    <w:pStyle w:val="23"/>
                    <w:bidi w:val="0"/>
                    <w:rPr>
                      <w:color w:val="auto"/>
                    </w:rPr>
                  </w:pPr>
                  <w:r>
                    <w:rPr>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60.5</w:t>
                  </w:r>
                </w:p>
              </w:tc>
              <w:tc>
                <w:tcPr>
                  <w:tcW w:w="180" w:type="dxa"/>
                  <w:tcBorders>
                    <w:left w:val="single" w:sz="4" w:space="0" w:color="auto"/>
                  </w:tcBorders>
                  <w:vAlign w:val="bottom"/>
                </w:tcPr>
                <w:p>
                  <w:pPr>
                    <w:pStyle w:val="23"/>
                    <w:bidi w:val="0"/>
                    <w:rPr>
                      <w:color w:val="auto"/>
                    </w:rPr>
                  </w:pPr>
                  <w:r>
                    <w:rPr>
                      <w:color w:val="auto"/>
                      <w:lang w:val="en-US" w:eastAsia="zh-CN"/>
                    </w:rPr>
                    <w:t>29.4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9.4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-21</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23"/>
                    <w:bidi w:val="0"/>
                    <w:rPr>
                      <w:color w:val="auto"/>
                      <w:lang w:val="en-US" w:eastAsia="zh-CN"/>
                    </w:rPr>
                  </w:pPr>
                  <w:r>
                    <w:rPr>
                      <w:rFonts w:hint="eastAsia"/>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25</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21.5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18.4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63.5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28.9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8.9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-23</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25</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19.5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19.2</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65.5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28.7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8.7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25</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20.1</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67.5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8.4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-28</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25</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14.5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41.8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21.8</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70.5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8</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-31</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25</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11.5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43.8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23.8</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73.5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7.7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-33</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25</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9.5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45.4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25.4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75.5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7.4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搅拌缸</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10</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-35</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25</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47.5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27.5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15.5</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77.5</w:t>
                  </w:r>
                </w:p>
              </w:tc>
              <w:tc>
                <w:tcPr>
                  <w:tcW w:w="180"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27.2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rFonts w:hint="eastAsia"/>
                      <w:color w:val="auto"/>
                      <w:lang w:val="en-US" w:eastAsia="zh-CN"/>
                    </w:rPr>
                  </w:pPr>
                  <w:r>
                    <w:rPr>
                      <w:rFonts w:hint="eastAsia"/>
                      <w:color w:val="auto"/>
                      <w:lang w:val="en-US" w:eastAsia="zh-CN"/>
                    </w:rPr>
                    <w:t>7.2</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杀菌釜</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16</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-4</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6.5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4</w:t>
                  </w:r>
                </w:p>
              </w:tc>
              <w:tc>
                <w:tcPr>
                  <w:tcW w:w="180" w:type="dxa"/>
                  <w:tcBorders>
                    <w:left w:val="single" w:sz="4" w:space="0" w:color="auto"/>
                  </w:tcBorders>
                  <w:vAlign w:val="bottom"/>
                </w:tcPr>
                <w:p>
                  <w:pPr>
                    <w:pStyle w:val="23"/>
                    <w:bidi w:val="0"/>
                    <w:rPr>
                      <w:color w:val="auto"/>
                    </w:rPr>
                  </w:pPr>
                  <w:r>
                    <w:rPr>
                      <w:color w:val="auto"/>
                      <w:lang w:val="en-US" w:eastAsia="zh-CN"/>
                    </w:rPr>
                    <w:t>53.0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33.0</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38.5</w:t>
                  </w:r>
                </w:p>
              </w:tc>
              <w:tc>
                <w:tcPr>
                  <w:tcW w:w="180" w:type="dxa"/>
                  <w:tcBorders>
                    <w:left w:val="single" w:sz="4" w:space="0" w:color="auto"/>
                  </w:tcBorders>
                  <w:vAlign w:val="bottom"/>
                </w:tcPr>
                <w:p>
                  <w:pPr>
                    <w:pStyle w:val="23"/>
                    <w:bidi w:val="0"/>
                    <w:rPr>
                      <w:color w:val="auto"/>
                    </w:rPr>
                  </w:pPr>
                  <w:r>
                    <w:rPr>
                      <w:color w:val="auto"/>
                      <w:lang w:val="en-US" w:eastAsia="zh-CN"/>
                    </w:rPr>
                    <w:t>33.3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13.3</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36</w:t>
                  </w:r>
                </w:p>
              </w:tc>
              <w:tc>
                <w:tcPr>
                  <w:tcW w:w="180" w:type="dxa"/>
                  <w:tcBorders>
                    <w:left w:val="single" w:sz="4" w:space="0" w:color="auto"/>
                  </w:tcBorders>
                  <w:vAlign w:val="bottom"/>
                </w:tcPr>
                <w:p>
                  <w:pPr>
                    <w:pStyle w:val="23"/>
                    <w:bidi w:val="0"/>
                    <w:rPr>
                      <w:color w:val="auto"/>
                    </w:rPr>
                  </w:pPr>
                  <w:r>
                    <w:rPr>
                      <w:color w:val="auto"/>
                      <w:lang w:val="en-US" w:eastAsia="zh-CN"/>
                    </w:rPr>
                    <w:t>33.9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13.9</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46.5</w:t>
                  </w:r>
                </w:p>
              </w:tc>
              <w:tc>
                <w:tcPr>
                  <w:tcW w:w="180" w:type="dxa"/>
                  <w:tcBorders>
                    <w:left w:val="single" w:sz="4" w:space="0" w:color="auto"/>
                  </w:tcBorders>
                  <w:vAlign w:val="bottom"/>
                </w:tcPr>
                <w:p>
                  <w:pPr>
                    <w:pStyle w:val="23"/>
                    <w:bidi w:val="0"/>
                    <w:rPr>
                      <w:color w:val="auto"/>
                    </w:rPr>
                  </w:pPr>
                  <w:r>
                    <w:rPr>
                      <w:color w:val="auto"/>
                      <w:lang w:val="en-US" w:eastAsia="zh-CN"/>
                    </w:rPr>
                    <w:t>31.7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11.7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杀菌釜</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20</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40</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180" w:type="dxa"/>
                  <w:tcBorders>
                    <w:left w:val="single" w:sz="4" w:space="0" w:color="auto"/>
                  </w:tcBorders>
                  <w:vAlign w:val="bottom"/>
                </w:tcPr>
                <w:p>
                  <w:pPr>
                    <w:pStyle w:val="23"/>
                    <w:bidi w:val="0"/>
                    <w:rPr>
                      <w:color w:val="auto"/>
                    </w:rPr>
                  </w:pPr>
                  <w:r>
                    <w:rPr>
                      <w:color w:val="auto"/>
                      <w:lang w:val="en-US" w:eastAsia="zh-CN"/>
                    </w:rPr>
                    <w:t>65.0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45.0</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82.5</w:t>
                  </w:r>
                </w:p>
              </w:tc>
              <w:tc>
                <w:tcPr>
                  <w:tcW w:w="180" w:type="dxa"/>
                  <w:tcBorders>
                    <w:left w:val="single" w:sz="4" w:space="0" w:color="auto"/>
                  </w:tcBorders>
                  <w:vAlign w:val="bottom"/>
                </w:tcPr>
                <w:p>
                  <w:pPr>
                    <w:pStyle w:val="23"/>
                    <w:bidi w:val="0"/>
                    <w:rPr>
                      <w:color w:val="auto"/>
                    </w:rPr>
                  </w:pPr>
                  <w:r>
                    <w:rPr>
                      <w:color w:val="auto"/>
                      <w:lang w:val="en-US" w:eastAsia="zh-CN"/>
                    </w:rPr>
                    <w:t>26.7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6.7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w:t>
                  </w:r>
                </w:p>
              </w:tc>
              <w:tc>
                <w:tcPr>
                  <w:tcW w:w="180" w:type="dxa"/>
                  <w:tcBorders>
                    <w:left w:val="single" w:sz="4" w:space="0" w:color="auto"/>
                  </w:tcBorders>
                  <w:vAlign w:val="bottom"/>
                </w:tcPr>
                <w:p>
                  <w:pPr>
                    <w:pStyle w:val="23"/>
                    <w:bidi w:val="0"/>
                    <w:rPr>
                      <w:color w:val="auto"/>
                    </w:rPr>
                  </w:pPr>
                  <w:r>
                    <w:rPr>
                      <w:color w:val="auto"/>
                      <w:lang w:val="en-US" w:eastAsia="zh-CN"/>
                    </w:rPr>
                    <w:t>33.0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13.0</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2.5</w:t>
                  </w:r>
                </w:p>
              </w:tc>
              <w:tc>
                <w:tcPr>
                  <w:tcW w:w="180" w:type="dxa"/>
                  <w:tcBorders>
                    <w:left w:val="single" w:sz="4" w:space="0" w:color="auto"/>
                  </w:tcBorders>
                  <w:vAlign w:val="bottom"/>
                </w:tcPr>
                <w:p>
                  <w:pPr>
                    <w:pStyle w:val="23"/>
                    <w:bidi w:val="0"/>
                    <w:rPr>
                      <w:color w:val="auto"/>
                    </w:rPr>
                  </w:pPr>
                  <w:r>
                    <w:rPr>
                      <w:color w:val="auto"/>
                      <w:lang w:val="en-US" w:eastAsia="zh-CN"/>
                    </w:rPr>
                    <w:t>57.0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37.0</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PET饮料灌装机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18</w:t>
                  </w: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11</w:t>
                  </w:r>
                </w:p>
              </w:tc>
              <w:tc>
                <w:tcPr>
                  <w:tcW w:w="82" w:type="dxa"/>
                  <w:vMerge w:val="restart"/>
                  <w:tcBorders>
                    <w:left w:val="single" w:sz="4" w:space="0" w:color="auto"/>
                  </w:tcBorders>
                  <w:vAlign w:val="center"/>
                </w:tcPr>
                <w:p>
                  <w:pPr>
                    <w:pStyle w:val="23"/>
                    <w:bidi w:val="0"/>
                    <w:rPr>
                      <w:color w:val="auto"/>
                    </w:rPr>
                  </w:pPr>
                  <w:r>
                    <w:rPr>
                      <w:rFonts w:hint="eastAsia"/>
                      <w:color w:val="auto"/>
                      <w:lang w:val="en-US" w:eastAsia="zh-CN"/>
                    </w:rPr>
                    <w:t>7</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w:t>
                  </w:r>
                </w:p>
              </w:tc>
              <w:tc>
                <w:tcPr>
                  <w:tcW w:w="180" w:type="dxa"/>
                  <w:tcBorders>
                    <w:left w:val="single" w:sz="4" w:space="0" w:color="auto"/>
                  </w:tcBorders>
                  <w:vAlign w:val="bottom"/>
                </w:tcPr>
                <w:p>
                  <w:pPr>
                    <w:pStyle w:val="23"/>
                    <w:bidi w:val="0"/>
                    <w:rPr>
                      <w:color w:val="auto"/>
                    </w:rPr>
                  </w:pPr>
                  <w:r>
                    <w:rPr>
                      <w:color w:val="auto"/>
                      <w:lang w:val="en-US" w:eastAsia="zh-CN"/>
                    </w:rPr>
                    <w:t>54.0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34.0</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53.5</w:t>
                  </w:r>
                </w:p>
              </w:tc>
              <w:tc>
                <w:tcPr>
                  <w:tcW w:w="180" w:type="dxa"/>
                  <w:tcBorders>
                    <w:left w:val="single" w:sz="4" w:space="0" w:color="auto"/>
                  </w:tcBorders>
                  <w:vAlign w:val="bottom"/>
                </w:tcPr>
                <w:p>
                  <w:pPr>
                    <w:pStyle w:val="23"/>
                    <w:bidi w:val="0"/>
                    <w:rPr>
                      <w:color w:val="auto"/>
                    </w:rPr>
                  </w:pPr>
                  <w:r>
                    <w:rPr>
                      <w:color w:val="auto"/>
                      <w:lang w:val="en-US" w:eastAsia="zh-CN"/>
                    </w:rPr>
                    <w:t>25.4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5.4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38</w:t>
                  </w:r>
                </w:p>
              </w:tc>
              <w:tc>
                <w:tcPr>
                  <w:tcW w:w="180" w:type="dxa"/>
                  <w:tcBorders>
                    <w:left w:val="single" w:sz="4" w:space="0" w:color="auto"/>
                  </w:tcBorders>
                  <w:vAlign w:val="bottom"/>
                </w:tcPr>
                <w:p>
                  <w:pPr>
                    <w:pStyle w:val="23"/>
                    <w:bidi w:val="0"/>
                    <w:rPr>
                      <w:color w:val="auto"/>
                    </w:rPr>
                  </w:pPr>
                  <w:r>
                    <w:rPr>
                      <w:color w:val="auto"/>
                      <w:lang w:val="en-US" w:eastAsia="zh-CN"/>
                    </w:rPr>
                    <w:t>28.4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8.4</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31.5</w:t>
                  </w:r>
                </w:p>
              </w:tc>
              <w:tc>
                <w:tcPr>
                  <w:tcW w:w="180" w:type="dxa"/>
                  <w:tcBorders>
                    <w:left w:val="single" w:sz="4" w:space="0" w:color="auto"/>
                  </w:tcBorders>
                  <w:vAlign w:val="bottom"/>
                </w:tcPr>
                <w:p>
                  <w:pPr>
                    <w:pStyle w:val="23"/>
                    <w:bidi w:val="0"/>
                    <w:rPr>
                      <w:color w:val="auto"/>
                    </w:rPr>
                  </w:pPr>
                  <w:r>
                    <w:rPr>
                      <w:color w:val="auto"/>
                      <w:lang w:val="en-US" w:eastAsia="zh-CN"/>
                    </w:rPr>
                    <w:t>30.0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10.0</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水处理机组</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color w:val="auto"/>
                    </w:rPr>
                  </w:pPr>
                  <w:r>
                    <w:rPr>
                      <w:rFonts w:hint="eastAsia"/>
                      <w:color w:val="auto"/>
                      <w:lang w:val="en-US" w:eastAsia="zh-CN"/>
                    </w:rPr>
                    <w:t>20</w:t>
                  </w:r>
                </w:p>
              </w:tc>
              <w:tc>
                <w:tcPr>
                  <w:tcW w:w="83" w:type="dxa"/>
                  <w:vMerge w:val="restart"/>
                  <w:tcBorders>
                    <w:left w:val="single" w:sz="4" w:space="0" w:color="auto"/>
                  </w:tcBorders>
                  <w:vAlign w:val="center"/>
                </w:tcPr>
                <w:p>
                  <w:pPr>
                    <w:pStyle w:val="23"/>
                    <w:bidi w:val="0"/>
                    <w:rPr>
                      <w:color w:val="auto"/>
                      <w:lang w:val="en-US"/>
                    </w:rPr>
                  </w:pPr>
                  <w:r>
                    <w:rPr>
                      <w:rFonts w:hint="eastAsia"/>
                      <w:color w:val="auto"/>
                      <w:lang w:val="en-US" w:eastAsia="zh-CN"/>
                    </w:rPr>
                    <w:t>-40</w:t>
                  </w:r>
                </w:p>
              </w:tc>
              <w:tc>
                <w:tcPr>
                  <w:tcW w:w="82" w:type="dxa"/>
                  <w:vMerge w:val="restar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0</w:t>
                  </w:r>
                </w:p>
              </w:tc>
              <w:tc>
                <w:tcPr>
                  <w:tcW w:w="180" w:type="dxa"/>
                  <w:tcBorders>
                    <w:left w:val="single" w:sz="4" w:space="0" w:color="auto"/>
                  </w:tcBorders>
                  <w:vAlign w:val="bottom"/>
                </w:tcPr>
                <w:p>
                  <w:pPr>
                    <w:pStyle w:val="23"/>
                    <w:bidi w:val="0"/>
                    <w:rPr>
                      <w:color w:val="auto"/>
                    </w:rPr>
                  </w:pPr>
                  <w:r>
                    <w:rPr>
                      <w:color w:val="auto"/>
                      <w:lang w:val="en-US" w:eastAsia="zh-CN"/>
                    </w:rPr>
                    <w:t>70.0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6" w:type="dxa"/>
                  <w:tcBorders>
                    <w:left w:val="single" w:sz="4" w:space="0" w:color="auto"/>
                  </w:tcBorders>
                  <w:vAlign w:val="bottom"/>
                </w:tcPr>
                <w:p>
                  <w:pPr>
                    <w:pStyle w:val="23"/>
                    <w:bidi w:val="0"/>
                    <w:rPr>
                      <w:color w:val="auto"/>
                    </w:rPr>
                  </w:pPr>
                  <w:r>
                    <w:rPr>
                      <w:rFonts w:hint="eastAsia"/>
                      <w:color w:val="auto"/>
                      <w:lang w:val="en-US" w:eastAsia="zh-CN"/>
                    </w:rPr>
                    <w:t>50.0</w:t>
                  </w:r>
                </w:p>
              </w:tc>
              <w:tc>
                <w:tcPr>
                  <w:tcW w:w="122" w:type="dxa"/>
                  <w:gridSpan w:val="3"/>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2.5</w:t>
                  </w:r>
                </w:p>
              </w:tc>
              <w:tc>
                <w:tcPr>
                  <w:tcW w:w="180" w:type="dxa"/>
                  <w:tcBorders>
                    <w:left w:val="single" w:sz="4" w:space="0" w:color="auto"/>
                  </w:tcBorders>
                  <w:vAlign w:val="bottom"/>
                </w:tcPr>
                <w:p>
                  <w:pPr>
                    <w:pStyle w:val="23"/>
                    <w:bidi w:val="0"/>
                    <w:rPr>
                      <w:color w:val="auto"/>
                    </w:rPr>
                  </w:pPr>
                  <w:r>
                    <w:rPr>
                      <w:color w:val="auto"/>
                      <w:lang w:val="en-US" w:eastAsia="zh-CN"/>
                    </w:rPr>
                    <w:t>62.0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42.0</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40</w:t>
                  </w:r>
                </w:p>
              </w:tc>
              <w:tc>
                <w:tcPr>
                  <w:tcW w:w="180" w:type="dxa"/>
                  <w:tcBorders>
                    <w:left w:val="single" w:sz="4" w:space="0" w:color="auto"/>
                  </w:tcBorders>
                  <w:vAlign w:val="bottom"/>
                </w:tcPr>
                <w:p>
                  <w:pPr>
                    <w:pStyle w:val="23"/>
                    <w:bidi w:val="0"/>
                    <w:rPr>
                      <w:color w:val="auto"/>
                    </w:rPr>
                  </w:pPr>
                  <w:r>
                    <w:rPr>
                      <w:color w:val="auto"/>
                      <w:lang w:val="en-US" w:eastAsia="zh-CN"/>
                    </w:rPr>
                    <w:t>38.0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18.0</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82.5</w:t>
                  </w:r>
                </w:p>
              </w:tc>
              <w:tc>
                <w:tcPr>
                  <w:tcW w:w="180" w:type="dxa"/>
                  <w:tcBorders>
                    <w:left w:val="single" w:sz="4" w:space="0" w:color="auto"/>
                  </w:tcBorders>
                  <w:vAlign w:val="bottom"/>
                </w:tcPr>
                <w:p>
                  <w:pPr>
                    <w:pStyle w:val="23"/>
                    <w:bidi w:val="0"/>
                    <w:rPr>
                      <w:color w:val="auto"/>
                    </w:rPr>
                  </w:pPr>
                  <w:r>
                    <w:rPr>
                      <w:color w:val="auto"/>
                      <w:lang w:val="en-US" w:eastAsia="zh-CN"/>
                    </w:rPr>
                    <w:t>31.7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6" w:type="dxa"/>
                  <w:tcBorders>
                    <w:left w:val="single" w:sz="4" w:space="0" w:color="auto"/>
                  </w:tcBorders>
                  <w:vAlign w:val="bottom"/>
                </w:tcPr>
                <w:p>
                  <w:pPr>
                    <w:pStyle w:val="23"/>
                    <w:bidi w:val="0"/>
                    <w:rPr>
                      <w:color w:val="auto"/>
                    </w:rPr>
                  </w:pPr>
                  <w:r>
                    <w:rPr>
                      <w:rFonts w:hint="eastAsia"/>
                      <w:color w:val="auto"/>
                      <w:lang w:val="en-US" w:eastAsia="zh-CN"/>
                    </w:rPr>
                    <w:t>11.7</w:t>
                  </w:r>
                </w:p>
              </w:tc>
              <w:tc>
                <w:tcPr>
                  <w:tcW w:w="122" w:type="dxa"/>
                  <w:gridSpan w:val="3"/>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left="0" w:right="0" w:firstLine="0"/>
                    <w:jc w:val="center"/>
                    <w:rPr>
                      <w:color w:val="auto"/>
                    </w:rPr>
                  </w:pPr>
                  <w:r>
                    <w:rPr>
                      <w:rFonts w:hint="eastAsia"/>
                      <w:color w:val="auto"/>
                      <w:lang w:val="en-US" w:eastAsia="zh-CN"/>
                    </w:rPr>
                    <w:t>打浆机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4</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16</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45.9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30.9</w:t>
                  </w:r>
                </w:p>
              </w:tc>
              <w:tc>
                <w:tcPr>
                  <w:tcW w:w="119" w:type="dxa"/>
                  <w:vMerge w:val="restart"/>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1m</w:t>
                  </w:r>
                  <w:r>
                    <w:rPr>
                      <w:rFonts w:hint="eastAsia"/>
                      <w:color w:val="auto"/>
                      <w:lang w:val="en-US" w:eastAsia="zh-CN"/>
                    </w:rPr>
                    <w:t>14.6</w:t>
                  </w:r>
                </w:p>
                <w:p>
                  <w:pPr>
                    <w:pStyle w:val="23"/>
                    <w:bidi w:val="0"/>
                    <w:rPr>
                      <w:color w:val="auto"/>
                    </w:rPr>
                  </w:pPr>
                  <w:r>
                    <w:rPr>
                      <w:rFonts w:hint="eastAsia"/>
                      <w:color w:val="auto"/>
                      <w:lang w:val="en-US" w:eastAsia="zh-CN"/>
                    </w:rPr>
                    <w:t>16.2</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20</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29.0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24</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42.4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27.4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70</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18.1</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left="0" w:right="0" w:firstLine="0"/>
                    <w:jc w:val="center"/>
                    <w:rPr>
                      <w:color w:val="auto"/>
                    </w:rPr>
                  </w:pPr>
                  <w:r>
                    <w:rPr>
                      <w:rFonts w:hint="eastAsia"/>
                      <w:color w:val="auto"/>
                      <w:lang w:val="en-US" w:eastAsia="zh-CN"/>
                    </w:rPr>
                    <w:t>双联打浆机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4</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-24</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16</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45.9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30.9</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21</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43.6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28.6</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24</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42.4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27.4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69</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33.2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18.2</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left="0" w:right="0" w:firstLine="0"/>
                    <w:jc w:val="center"/>
                    <w:rPr>
                      <w:color w:val="auto"/>
                    </w:rPr>
                  </w:pPr>
                  <w:r>
                    <w:rPr>
                      <w:rFonts w:hint="eastAsia"/>
                      <w:color w:val="auto"/>
                      <w:lang w:val="en-US" w:eastAsia="zh-CN"/>
                    </w:rPr>
                    <w:t>多功能切菜机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19</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44.4</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29.4</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20</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29.0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21</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43.6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28.6</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70</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18.1</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left="0" w:right="0" w:firstLine="0"/>
                    <w:jc w:val="center"/>
                    <w:rPr>
                      <w:color w:val="auto"/>
                    </w:rPr>
                  </w:pPr>
                  <w:r>
                    <w:rPr>
                      <w:rFonts w:hint="eastAsia"/>
                      <w:color w:val="auto"/>
                      <w:lang w:val="en-US" w:eastAsia="zh-CN"/>
                    </w:rPr>
                    <w:t>螺旋榨汁机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-28</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19</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54.4</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39.4</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55.4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40.4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21</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53.6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38.6</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42.7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27.7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left="0" w:right="0" w:firstLine="0"/>
                    <w:jc w:val="center"/>
                    <w:rPr>
                      <w:color w:val="auto"/>
                    </w:rPr>
                  </w:pPr>
                  <w:r>
                    <w:rPr>
                      <w:rFonts w:hint="eastAsia"/>
                      <w:color w:val="auto"/>
                      <w:lang w:val="en-US" w:eastAsia="zh-CN"/>
                    </w:rPr>
                    <w:t>喂料泵</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-28</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19</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59.4</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44.4</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60.4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45.4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21</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58.6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43.6</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32.7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left="0" w:right="0" w:firstLine="0"/>
                    <w:jc w:val="center"/>
                    <w:rPr>
                      <w:color w:val="auto"/>
                    </w:rPr>
                  </w:pPr>
                  <w:r>
                    <w:rPr>
                      <w:rFonts w:hint="eastAsia"/>
                      <w:color w:val="auto"/>
                      <w:lang w:val="en-US" w:eastAsia="zh-CN"/>
                    </w:rPr>
                    <w:t>鼠笼式破碎机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2</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-25</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18</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54.9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39.9</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20</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39.0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22</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53.2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38.2</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70</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28.1</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shd w:val="clear" w:color="auto" w:fill="auto"/>
                  <w:vAlign w:val="center"/>
                </w:tcPr>
                <w:p>
                  <w:pPr>
                    <w:pStyle w:val="23"/>
                    <w:bidi w:val="0"/>
                    <w:ind w:left="0" w:right="0" w:firstLine="0"/>
                    <w:jc w:val="center"/>
                    <w:rPr>
                      <w:color w:val="auto"/>
                    </w:rPr>
                  </w:pPr>
                  <w:r>
                    <w:rPr>
                      <w:rFonts w:hint="eastAsia"/>
                      <w:color w:val="auto"/>
                      <w:lang w:val="en-US" w:eastAsia="zh-CN"/>
                    </w:rPr>
                    <w:t>冲洗机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5</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-30</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51.5</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36.5</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51.5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36.5</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47.0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32.0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37.5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22.5</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ind w:left="0" w:right="0" w:firstLine="0"/>
                    <w:jc w:val="center"/>
                    <w:rPr>
                      <w:color w:val="auto"/>
                    </w:rPr>
                  </w:pPr>
                  <w:r>
                    <w:rPr>
                      <w:rFonts w:hint="eastAsia"/>
                      <w:color w:val="auto"/>
                      <w:lang w:val="en-US" w:eastAsia="zh-CN"/>
                    </w:rPr>
                    <w:t>自动旋盖机</w:t>
                  </w:r>
                </w:p>
              </w:tc>
              <w:tc>
                <w:tcPr>
                  <w:tcW w:w="165"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70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-20</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22</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43.2</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28.2</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42.0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27.0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18</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29.9</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shd w:val="clear" w:color="auto" w:fill="auto"/>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65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33.7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rFonts w:hint="eastAsia"/>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18.7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ind w:left="0" w:right="0" w:firstLine="0"/>
                    <w:jc w:val="center"/>
                    <w:rPr>
                      <w:color w:val="auto"/>
                    </w:rPr>
                  </w:pPr>
                  <w:r>
                    <w:rPr>
                      <w:rFonts w:hint="eastAsia"/>
                      <w:color w:val="auto"/>
                      <w:lang w:val="en-US" w:eastAsia="zh-CN"/>
                    </w:rPr>
                    <w:t>单头BIB无菌灌装机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-4</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-20</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24</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42.4</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27.4</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42.0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27.0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16</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45.9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30.9</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shd w:val="clear" w:color="auto" w:fill="auto"/>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65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33.7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18.7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ind w:left="0" w:right="0" w:firstLine="0"/>
                    <w:jc w:val="center"/>
                    <w:rPr>
                      <w:color w:val="auto"/>
                    </w:rPr>
                  </w:pPr>
                  <w:r>
                    <w:rPr>
                      <w:rFonts w:hint="eastAsia"/>
                      <w:color w:val="auto"/>
                      <w:lang w:val="en-US" w:eastAsia="zh-CN"/>
                    </w:rPr>
                    <w:t>过滤机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5</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-32</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46.5</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31.5</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32.7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42.0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27.0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shd w:val="clear" w:color="auto" w:fill="auto"/>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32.3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17.3</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ind w:left="0" w:right="0" w:firstLine="0"/>
                    <w:jc w:val="center"/>
                    <w:rPr>
                      <w:color w:val="auto"/>
                    </w:rPr>
                  </w:pPr>
                  <w:r>
                    <w:rPr>
                      <w:rFonts w:hint="eastAsia"/>
                      <w:color w:val="auto"/>
                      <w:lang w:val="en-US" w:eastAsia="zh-CN"/>
                    </w:rPr>
                    <w:t>过滤机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5</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-32</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46.5</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31.5</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32.7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25</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42.0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27.0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shd w:val="clear" w:color="auto" w:fill="auto"/>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32.3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17.3</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ind w:left="0" w:right="0" w:firstLine="0"/>
                    <w:jc w:val="center"/>
                    <w:rPr>
                      <w:color w:val="auto"/>
                    </w:rPr>
                  </w:pPr>
                  <w:r>
                    <w:rPr>
                      <w:rFonts w:hint="eastAsia"/>
                      <w:color w:val="auto"/>
                      <w:lang w:val="en-US" w:eastAsia="zh-CN"/>
                    </w:rPr>
                    <w:t>浓缩机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7</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-32</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52.7</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37.7</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52.7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37.7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46.4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31.4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37.3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22.3</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ind w:left="0" w:right="0" w:firstLine="0"/>
                    <w:jc w:val="center"/>
                    <w:rPr>
                      <w:color w:val="auto"/>
                    </w:rPr>
                  </w:pPr>
                  <w:r>
                    <w:rPr>
                      <w:rFonts w:hint="eastAsia"/>
                      <w:color w:val="auto"/>
                      <w:lang w:val="en-US" w:eastAsia="zh-CN"/>
                    </w:rPr>
                    <w:t>浓缩机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75</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7</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-32</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52.7</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37.7</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13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52.7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37.7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27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46.4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31.4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77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37.3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22.3</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套管式杀菌机</w:t>
                  </w:r>
                </w:p>
              </w:tc>
              <w:tc>
                <w:tcPr>
                  <w:tcW w:w="165"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13</w:t>
                  </w:r>
                </w:p>
              </w:tc>
              <w:tc>
                <w:tcPr>
                  <w:tcW w:w="83"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17</w:t>
                  </w:r>
                </w:p>
              </w:tc>
              <w:tc>
                <w:tcPr>
                  <w:tcW w:w="82" w:type="dxa"/>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7</w:t>
                  </w: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7</w:t>
                  </w:r>
                </w:p>
              </w:tc>
              <w:tc>
                <w:tcPr>
                  <w:tcW w:w="180" w:type="dxa"/>
                  <w:tcBorders>
                    <w:left w:val="single" w:sz="4" w:space="0" w:color="auto"/>
                  </w:tcBorders>
                  <w:shd w:val="clear" w:color="auto" w:fill="auto"/>
                  <w:vAlign w:val="bottom"/>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48.1</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rPr>
                      <w:color w:val="auto"/>
                    </w:rPr>
                  </w:pPr>
                  <w:r>
                    <w:rPr>
                      <w:rFonts w:hint="eastAsia"/>
                      <w:color w:val="auto"/>
                      <w:lang w:val="en-US" w:eastAsia="zh-CN"/>
                    </w:rPr>
                    <w:t>15</w:t>
                  </w: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9" w:type="dxa"/>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东</w:t>
                  </w:r>
                </w:p>
              </w:tc>
              <w:tc>
                <w:tcPr>
                  <w:tcW w:w="119" w:type="dxa"/>
                  <w:vMerge w:val="restart"/>
                  <w:tcBorders>
                    <w:left w:val="single" w:sz="4" w:space="0" w:color="auto"/>
                  </w:tcBorders>
                  <w:shd w:val="clear" w:color="auto" w:fill="auto"/>
                  <w:vAlign w:val="bottom"/>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28.1</w:t>
                  </w:r>
                </w:p>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9.8</w:t>
                  </w:r>
                </w:p>
                <w:p>
                  <w:pPr>
                    <w:pStyle w:val="23"/>
                    <w:bidi w:val="0"/>
                    <w:rPr>
                      <w:rFonts w:eastAsia="宋体"/>
                      <w:color w:val="auto"/>
                      <w:lang w:val="en-US" w:eastAsia="zh-CN"/>
                    </w:rPr>
                  </w:p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59.5</w:t>
                  </w:r>
                </w:p>
              </w:tc>
              <w:tc>
                <w:tcPr>
                  <w:tcW w:w="180" w:type="dxa"/>
                  <w:tcBorders>
                    <w:left w:val="single" w:sz="4" w:space="0" w:color="auto"/>
                  </w:tcBorders>
                  <w:shd w:val="clear" w:color="auto" w:fill="auto"/>
                  <w:vAlign w:val="bottom"/>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29.8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9" w:type="dxa"/>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南</w:t>
                  </w:r>
                </w:p>
              </w:tc>
              <w:tc>
                <w:tcPr>
                  <w:tcW w:w="119" w:type="dxa"/>
                  <w:vMerge/>
                  <w:tcBorders>
                    <w:left w:val="single" w:sz="4" w:space="0" w:color="auto"/>
                  </w:tcBorders>
                  <w:shd w:val="clear" w:color="auto" w:fill="auto"/>
                  <w:vAlign w:val="bottom"/>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33</w:t>
                  </w:r>
                </w:p>
              </w:tc>
              <w:tc>
                <w:tcPr>
                  <w:tcW w:w="180" w:type="dxa"/>
                  <w:tcBorders>
                    <w:left w:val="single" w:sz="4" w:space="0" w:color="auto"/>
                  </w:tcBorders>
                  <w:shd w:val="clear" w:color="auto" w:fill="auto"/>
                  <w:vAlign w:val="bottom"/>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34.6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9" w:type="dxa"/>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西</w:t>
                  </w:r>
                </w:p>
              </w:tc>
              <w:tc>
                <w:tcPr>
                  <w:tcW w:w="119" w:type="dxa"/>
                  <w:vMerge/>
                  <w:tcBorders>
                    <w:left w:val="single" w:sz="4" w:space="0" w:color="auto"/>
                  </w:tcBorders>
                  <w:shd w:val="clear" w:color="auto" w:fill="auto"/>
                  <w:vAlign w:val="bottom"/>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25.5</w:t>
                  </w:r>
                </w:p>
              </w:tc>
              <w:tc>
                <w:tcPr>
                  <w:tcW w:w="180" w:type="dxa"/>
                  <w:tcBorders>
                    <w:left w:val="single" w:sz="4" w:space="0" w:color="auto"/>
                  </w:tcBorders>
                  <w:shd w:val="clear" w:color="auto" w:fill="auto"/>
                  <w:vAlign w:val="bottom"/>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36.2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9" w:type="dxa"/>
                  <w:gridSpan w:val="3"/>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北</w:t>
                  </w:r>
                </w:p>
              </w:tc>
              <w:tc>
                <w:tcPr>
                  <w:tcW w:w="119" w:type="dxa"/>
                  <w:vMerge/>
                  <w:tcBorders>
                    <w:left w:val="single" w:sz="4" w:space="0" w:color="auto"/>
                  </w:tcBorders>
                  <w:shd w:val="clear" w:color="auto" w:fill="auto"/>
                  <w:vAlign w:val="bottom"/>
                </w:tcPr>
                <w:p/>
              </w:tc>
            </w:tr>
            <w:tr>
              <w:trPr>
                <w:trHeight w:val="23"/>
              </w:trPr>
              <w:tc>
                <w:tcPr>
                  <w:tcW w:w="95" w:type="dxa"/>
                  <w:vMerge w:val="restart"/>
                  <w:vAlign w:val="center"/>
                </w:tcPr>
                <w:p>
                  <w:pPr>
                    <w:pStyle w:val="23"/>
                    <w:bidi w:val="0"/>
                    <w:rPr>
                      <w:color w:val="auto"/>
                      <w:lang w:val="en-US" w:eastAsia="zh-CN"/>
                    </w:rPr>
                  </w:pPr>
                  <w:r>
                    <w:rPr>
                      <w:rFonts w:hint="eastAsia"/>
                      <w:color w:val="auto"/>
                      <w:lang w:val="en-US" w:eastAsia="zh-CN"/>
                    </w:rPr>
                    <w:t>锅炉房</w:t>
                  </w:r>
                </w:p>
              </w:tc>
              <w:tc>
                <w:tcPr>
                  <w:tcW w:w="15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蒸汽发生器风机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90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4</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78.0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63.0</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7</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73.1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58.1</w:t>
                  </w:r>
                </w:p>
              </w:tc>
              <w:tc>
                <w:tcPr>
                  <w:tcW w:w="119" w:type="dxa"/>
                  <w:vMerge/>
                  <w:tcBorders>
                    <w:left w:val="single" w:sz="4" w:space="0" w:color="auto"/>
                  </w:tcBorders>
                  <w:vAlign w:val="center"/>
                </w:tcPr>
                <w:p/>
              </w:tc>
            </w:tr>
            <w:tr>
              <w:trPr>
                <w:trHeight w:val="90"/>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6</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74.4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59.4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13</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67.7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52.7</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蒸汽发生器风机</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90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4</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78.0</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63.0</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12</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68.4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53.4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6</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74.4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59.4</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71.9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56.9</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水泵</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w:t>
                  </w: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shd w:val="clear" w:color="auto" w:fill="auto"/>
                  <w:vAlign w:val="center"/>
                </w:tcPr>
                <w:p>
                  <w:pPr>
                    <w:pStyle w:val="25"/>
                    <w:tabs>
                      <w:tab w:val="left" w:pos="1680"/>
                      <w:tab w:val="left" w:pos="3465"/>
                    </w:tabs>
                    <w:bidi w:val="0"/>
                    <w:rPr>
                      <w:color w:val="auto"/>
                      <w:lang w:val="en-US" w:eastAsia="zh-CN"/>
                    </w:rPr>
                  </w:pPr>
                  <w:r>
                    <w:rPr>
                      <w:color w:val="auto"/>
                      <w:lang w:val="en-US" w:eastAsia="zh-CN"/>
                    </w:rPr>
                    <w:t>61.9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46.9</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7</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63.1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48.1</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74.0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59.0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3</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70.5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55.5</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水泵</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w:t>
                  </w: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61.9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46.9</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61.9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46.9</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74.0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59.0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74.0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59.0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val="restart"/>
                  <w:tcBorders>
                    <w:left w:val="single" w:sz="4" w:space="0" w:color="auto"/>
                  </w:tcBorders>
                  <w:vAlign w:val="center"/>
                </w:tcPr>
                <w:p>
                  <w:pPr>
                    <w:pStyle w:val="23"/>
                    <w:bidi w:val="0"/>
                    <w:rPr>
                      <w:color w:val="auto"/>
                    </w:rPr>
                  </w:pPr>
                  <w:r>
                    <w:rPr>
                      <w:rFonts w:hint="eastAsia"/>
                      <w:color w:val="auto"/>
                      <w:lang w:val="en-US" w:eastAsia="zh-CN"/>
                    </w:rPr>
                    <w:t>水泵</w:t>
                  </w:r>
                </w:p>
              </w:tc>
              <w:tc>
                <w:tcPr>
                  <w:tcW w:w="165" w:type="dxa"/>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80</w:t>
                  </w:r>
                </w:p>
              </w:tc>
              <w:tc>
                <w:tcPr>
                  <w:tcW w:w="381" w:type="dxa"/>
                  <w:vMerge/>
                  <w:tcBorders>
                    <w:left w:val="single" w:sz="4" w:space="0" w:color="auto"/>
                  </w:tcBorders>
                  <w:vAlign w:val="center"/>
                </w:tcPr>
                <w:p/>
              </w:tc>
              <w:tc>
                <w:tcPr>
                  <w:tcW w:w="83"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-3</w:t>
                  </w:r>
                </w:p>
              </w:tc>
              <w:tc>
                <w:tcPr>
                  <w:tcW w:w="83" w:type="dxa"/>
                  <w:vMerge w:val="restart"/>
                  <w:tcBorders>
                    <w:left w:val="single" w:sz="4" w:space="0" w:color="auto"/>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82" w:type="dxa"/>
                  <w:vMerge w:val="restar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0.5</w:t>
                  </w:r>
                </w:p>
              </w:tc>
              <w:tc>
                <w:tcPr>
                  <w:tcW w:w="82" w:type="dxa"/>
                  <w:tcBorders>
                    <w:left w:val="single" w:sz="4" w:space="0" w:color="auto"/>
                  </w:tcBorders>
                  <w:vAlign w:val="center"/>
                </w:tcPr>
                <w:p>
                  <w:pPr>
                    <w:pStyle w:val="23"/>
                    <w:bidi w:val="0"/>
                    <w:rPr>
                      <w:color w:val="auto"/>
                    </w:rPr>
                  </w:pPr>
                  <w:r>
                    <w:rPr>
                      <w:rFonts w:hint="eastAsia"/>
                      <w:color w:val="auto"/>
                    </w:rPr>
                    <w:t>东</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8</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61.9</w:t>
                  </w:r>
                </w:p>
              </w:tc>
              <w:tc>
                <w:tcPr>
                  <w:tcW w:w="89" w:type="dxa"/>
                  <w:vMerge w:val="restart"/>
                  <w:tcBorders>
                    <w:left w:val="single" w:sz="4" w:space="0" w:color="auto"/>
                  </w:tcBorders>
                  <w:vAlign w:val="center"/>
                </w:tcPr>
                <w:p>
                  <w:pPr>
                    <w:pStyle w:val="23"/>
                    <w:bidi w:val="0"/>
                    <w:rPr>
                      <w:color w:val="auto"/>
                    </w:rPr>
                  </w:pPr>
                  <w:r>
                    <w:rPr>
                      <w:color w:val="auto"/>
                    </w:rPr>
                    <w:t>昼间</w:t>
                  </w:r>
                </w:p>
              </w:tc>
              <w:tc>
                <w:tcPr>
                  <w:tcW w:w="187" w:type="dxa"/>
                  <w:vMerge w:val="restart"/>
                  <w:tcBorders>
                    <w:left w:val="single" w:sz="4" w:space="0" w:color="auto"/>
                  </w:tcBorders>
                  <w:vAlign w:val="center"/>
                </w:tcPr>
                <w:p>
                  <w:pPr>
                    <w:pStyle w:val="23"/>
                    <w:bidi w:val="0"/>
                    <w:ind w:firstLine="0"/>
                    <w:rPr>
                      <w:color w:val="auto"/>
                    </w:rPr>
                  </w:pPr>
                  <w:r>
                    <w:rPr>
                      <w:rFonts w:hint="eastAsia"/>
                      <w:color w:val="auto"/>
                      <w:lang w:val="en-US" w:eastAsia="zh-CN"/>
                    </w:rPr>
                    <w:t>15</w:t>
                  </w:r>
                </w:p>
              </w:tc>
              <w:tc>
                <w:tcPr>
                  <w:tcW w:w="78" w:type="dxa"/>
                  <w:tcBorders>
                    <w:left w:val="single" w:sz="4" w:space="0" w:color="auto"/>
                  </w:tcBorders>
                  <w:vAlign w:val="center"/>
                </w:tcPr>
                <w:p>
                  <w:pPr>
                    <w:pStyle w:val="23"/>
                    <w:bidi w:val="0"/>
                    <w:rPr>
                      <w:color w:val="auto"/>
                      <w:lang w:val="en-US" w:eastAsia="zh-CN"/>
                    </w:rPr>
                  </w:pPr>
                  <w:r>
                    <w:rPr>
                      <w:rFonts w:hint="eastAsia"/>
                      <w:color w:val="auto"/>
                    </w:rPr>
                    <w:t>东</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46.9</w:t>
                  </w:r>
                </w:p>
              </w:tc>
              <w:tc>
                <w:tcPr>
                  <w:tcW w:w="119" w:type="dxa"/>
                  <w:vMerge w:val="restart"/>
                  <w:tcBorders>
                    <w:left w:val="single" w:sz="4" w:space="0" w:color="auto"/>
                  </w:tcBorders>
                  <w:vAlign w:val="center"/>
                </w:tcPr>
                <w:p>
                  <w:pPr>
                    <w:pStyle w:val="23"/>
                    <w:bidi w:val="0"/>
                    <w:rPr>
                      <w:color w:val="auto"/>
                    </w:rPr>
                  </w:pPr>
                  <w:r>
                    <w:rPr>
                      <w:color w:val="auto"/>
                    </w:rPr>
                    <w:t>1m</w:t>
                  </w: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9</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60.9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45.9</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西</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2</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74.0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西</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59.0</w:t>
                  </w:r>
                </w:p>
              </w:tc>
              <w:tc>
                <w:tcPr>
                  <w:tcW w:w="119" w:type="dxa"/>
                  <w:vMerge/>
                  <w:tcBorders>
                    <w:left w:val="single" w:sz="4" w:space="0" w:color="auto"/>
                  </w:tcBorders>
                  <w:vAlign w:val="center"/>
                </w:tcPr>
                <w:p/>
              </w:tc>
            </w:tr>
            <w:tr>
              <w:trPr>
                <w:trHeight w:val="23"/>
              </w:trPr>
              <w:tc>
                <w:tcPr>
                  <w:tcW w:w="95" w:type="dxa"/>
                  <w:vMerge/>
                  <w:vAlign w:val="center"/>
                </w:tcPr>
                <w:p/>
              </w:tc>
              <w:tc>
                <w:tcPr>
                  <w:tcW w:w="152" w:type="dxa"/>
                  <w:vMerge/>
                  <w:tcBorders>
                    <w:left w:val="single" w:sz="4" w:space="0" w:color="auto"/>
                  </w:tcBorders>
                  <w:vAlign w:val="center"/>
                </w:tcPr>
                <w:p/>
              </w:tc>
              <w:tc>
                <w:tcPr>
                  <w:tcW w:w="165" w:type="dxa"/>
                  <w:vMerge/>
                  <w:tcBorders>
                    <w:left w:val="single" w:sz="4" w:space="0" w:color="auto"/>
                  </w:tcBorders>
                  <w:vAlign w:val="center"/>
                </w:tcPr>
                <w:p/>
              </w:tc>
              <w:tc>
                <w:tcPr>
                  <w:tcW w:w="381"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vAlign w:val="center"/>
                </w:tcPr>
                <w:p>
                  <w:pPr>
                    <w:pStyle w:val="23"/>
                    <w:bidi w:val="0"/>
                    <w:rPr>
                      <w:color w:val="auto"/>
                    </w:rPr>
                  </w:pPr>
                  <w:r>
                    <w:rPr>
                      <w:rFonts w:hint="eastAsia"/>
                      <w:color w:val="auto"/>
                    </w:rPr>
                    <w:t>北</w:t>
                  </w:r>
                </w:p>
              </w:tc>
              <w:tc>
                <w:tcPr>
                  <w:tcW w:w="114" w:type="dxa"/>
                  <w:tcBorders>
                    <w:left w:val="single" w:sz="4" w:space="0" w:color="auto"/>
                  </w:tcBorders>
                  <w:vAlign w:val="center"/>
                </w:tcPr>
                <w:p>
                  <w:pPr>
                    <w:pStyle w:val="23"/>
                    <w:bidi w:val="0"/>
                    <w:rPr>
                      <w:color w:val="auto"/>
                      <w:lang w:val="en-US" w:eastAsia="zh-CN"/>
                    </w:rPr>
                  </w:pPr>
                  <w:r>
                    <w:rPr>
                      <w:rFonts w:hint="eastAsia"/>
                      <w:color w:val="auto"/>
                      <w:lang w:val="en-US" w:eastAsia="zh-CN"/>
                    </w:rPr>
                    <w:t>1</w:t>
                  </w:r>
                </w:p>
              </w:tc>
              <w:tc>
                <w:tcPr>
                  <w:tcW w:w="180"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80.0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8" w:type="dxa"/>
                  <w:tcBorders>
                    <w:left w:val="single" w:sz="4" w:space="0" w:color="auto"/>
                  </w:tcBorders>
                  <w:vAlign w:val="center"/>
                </w:tcPr>
                <w:p>
                  <w:pPr>
                    <w:pStyle w:val="23"/>
                    <w:bidi w:val="0"/>
                    <w:rPr>
                      <w:color w:val="auto"/>
                      <w:lang w:val="en-US" w:eastAsia="zh-CN"/>
                    </w:rPr>
                  </w:pPr>
                  <w:r>
                    <w:rPr>
                      <w:rFonts w:hint="eastAsia"/>
                      <w:color w:val="auto"/>
                    </w:rPr>
                    <w:t>北</w:t>
                  </w:r>
                </w:p>
              </w:tc>
              <w:tc>
                <w:tcPr>
                  <w:tcW w:w="109" w:type="dxa"/>
                  <w:gridSpan w:val="3"/>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color w:val="auto"/>
                      <w:lang w:val="en-US" w:eastAsia="zh-CN"/>
                    </w:rPr>
                    <w:t>65.0</w:t>
                  </w:r>
                </w:p>
              </w:tc>
              <w:tc>
                <w:tcPr>
                  <w:tcW w:w="119" w:type="dxa"/>
                  <w:vMerge/>
                  <w:tcBorders>
                    <w:left w:val="single" w:sz="4" w:space="0" w:color="auto"/>
                  </w:tcBorders>
                  <w:vAlign w:val="center"/>
                </w:tcPr>
                <w:p/>
              </w:tc>
            </w:tr>
          </w:tbl>
          <w:p>
            <w:pPr>
              <w:pStyle w:val="24"/>
              <w:bidi w:val="0"/>
              <w:rPr>
                <w:color w:val="auto"/>
              </w:rPr>
            </w:pPr>
            <w:r>
              <w:rPr>
                <w:color w:val="auto"/>
              </w:rPr>
              <w:t>表4-</w:t>
            </w:r>
            <w:r>
              <w:rPr>
                <w:rFonts w:hint="eastAsia"/>
                <w:color w:val="auto"/>
                <w:lang w:val="en-US" w:eastAsia="zh-CN"/>
              </w:rPr>
              <w:t>16</w:t>
            </w:r>
            <w:r>
              <w:rPr>
                <w:color w:val="auto"/>
                <w:lang w:val="en-US" w:eastAsia="zh-CN"/>
              </w:rPr>
              <w:t>室</w:t>
            </w:r>
            <w:r>
              <w:rPr>
                <w:rFonts w:hint="eastAsia"/>
                <w:color w:val="auto"/>
                <w:lang w:val="en-US" w:eastAsia="zh-CN"/>
              </w:rPr>
              <w:t>外</w:t>
            </w:r>
            <w:r>
              <w:rPr>
                <w:color w:val="auto"/>
              </w:rPr>
              <w:t>噪声源参数一览表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172"/>
              <w:gridCol w:w="3568"/>
              <w:gridCol w:w="2724"/>
              <w:gridCol w:w="1064"/>
              <w:gridCol w:w="1064"/>
              <w:gridCol w:w="1007"/>
              <w:gridCol w:w="1948"/>
            </w:tblGrid>
            <w:tr>
              <w:trPr>
                <w:trHeight w:val="23"/>
              </w:trPr>
              <w:tc>
                <w:tcPr>
                  <w:tcW w:w="467" w:type="pct"/>
                  <w:vMerge w:val="restart"/>
                  <w:vAlign w:val="center"/>
                </w:tcPr>
                <w:p>
                  <w:pPr>
                    <w:pStyle w:val="23"/>
                    <w:bidi w:val="0"/>
                    <w:rPr>
                      <w:color w:val="auto"/>
                    </w:rPr>
                  </w:pPr>
                  <w:r>
                    <w:rPr>
                      <w:color w:val="auto"/>
                    </w:rPr>
                    <w:t>声源</w:t>
                  </w:r>
                </w:p>
              </w:tc>
              <w:tc>
                <w:tcPr>
                  <w:tcW w:w="1421" w:type="pct"/>
                  <w:vMerge w:val="restart"/>
                  <w:vAlign w:val="center"/>
                </w:tcPr>
                <w:p>
                  <w:pPr>
                    <w:pStyle w:val="23"/>
                    <w:bidi w:val="0"/>
                    <w:rPr>
                      <w:color w:val="auto"/>
                    </w:rPr>
                  </w:pPr>
                  <w:r>
                    <w:rPr>
                      <w:color w:val="auto"/>
                    </w:rPr>
                    <w:t>声功率级/dB（A）</w:t>
                  </w:r>
                </w:p>
              </w:tc>
              <w:tc>
                <w:tcPr>
                  <w:tcW w:w="1085" w:type="pct"/>
                  <w:vMerge w:val="restart"/>
                  <w:vAlign w:val="center"/>
                </w:tcPr>
                <w:p>
                  <w:pPr>
                    <w:pStyle w:val="23"/>
                    <w:bidi w:val="0"/>
                    <w:rPr>
                      <w:color w:val="auto"/>
                    </w:rPr>
                  </w:pPr>
                  <w:r>
                    <w:rPr>
                      <w:color w:val="auto"/>
                    </w:rPr>
                    <w:t>声源控制措施</w:t>
                  </w:r>
                </w:p>
              </w:tc>
              <w:tc>
                <w:tcPr>
                  <w:tcW w:w="1249" w:type="pct"/>
                  <w:gridSpan w:val="3"/>
                  <w:vAlign w:val="center"/>
                </w:tcPr>
                <w:p>
                  <w:pPr>
                    <w:pStyle w:val="23"/>
                    <w:bidi w:val="0"/>
                    <w:rPr>
                      <w:color w:val="auto"/>
                    </w:rPr>
                  </w:pPr>
                  <w:r>
                    <w:rPr>
                      <w:color w:val="auto"/>
                    </w:rPr>
                    <w:t>空间相对位置/m</w:t>
                  </w:r>
                </w:p>
              </w:tc>
              <w:tc>
                <w:tcPr>
                  <w:tcW w:w="776" w:type="pct"/>
                  <w:vMerge w:val="restart"/>
                  <w:vAlign w:val="center"/>
                </w:tcPr>
                <w:p>
                  <w:pPr>
                    <w:pStyle w:val="23"/>
                    <w:bidi w:val="0"/>
                    <w:rPr>
                      <w:color w:val="auto"/>
                    </w:rPr>
                  </w:pPr>
                  <w:r>
                    <w:rPr>
                      <w:color w:val="auto"/>
                    </w:rPr>
                    <w:t>运行时段</w:t>
                  </w:r>
                </w:p>
              </w:tc>
            </w:tr>
            <w:tr>
              <w:trPr>
                <w:trHeight w:val="23"/>
              </w:trPr>
              <w:tc>
                <w:tcPr>
                  <w:tcW w:w="467" w:type="pct"/>
                  <w:vMerge/>
                  <w:vAlign w:val="center"/>
                </w:tcPr>
                <w:p/>
              </w:tc>
              <w:tc>
                <w:tcPr>
                  <w:tcW w:w="1421" w:type="pct"/>
                  <w:vMerge/>
                  <w:tcBorders>
                    <w:left w:val="single" w:sz="4" w:space="0" w:color="auto"/>
                  </w:tcBorders>
                  <w:vAlign w:val="center"/>
                </w:tcPr>
                <w:p/>
              </w:tc>
              <w:tc>
                <w:tcPr>
                  <w:tcW w:w="1085" w:type="pct"/>
                  <w:vMerge/>
                  <w:tcBorders>
                    <w:left w:val="single" w:sz="4" w:space="0" w:color="auto"/>
                  </w:tcBorders>
                  <w:vAlign w:val="center"/>
                </w:tcPr>
                <w:p/>
              </w:tc>
              <w:tc>
                <w:tcPr>
                  <w:tcW w:w="424" w:type="pct"/>
                  <w:tcBorders>
                    <w:left w:val="single" w:sz="4" w:space="0" w:color="auto"/>
                  </w:tcBorders>
                  <w:vAlign w:val="center"/>
                </w:tcPr>
                <w:p>
                  <w:pPr>
                    <w:pStyle w:val="23"/>
                    <w:bidi w:val="0"/>
                    <w:rPr>
                      <w:color w:val="auto"/>
                    </w:rPr>
                  </w:pPr>
                  <w:r>
                    <w:rPr>
                      <w:color w:val="auto"/>
                    </w:rPr>
                    <w:t>X</w:t>
                  </w:r>
                </w:p>
              </w:tc>
              <w:tc>
                <w:tcPr>
                  <w:tcW w:w="424" w:type="pct"/>
                  <w:tcBorders>
                    <w:left w:val="single" w:sz="4" w:space="0" w:color="auto"/>
                  </w:tcBorders>
                  <w:vAlign w:val="center"/>
                </w:tcPr>
                <w:p>
                  <w:pPr>
                    <w:pStyle w:val="23"/>
                    <w:bidi w:val="0"/>
                    <w:rPr>
                      <w:color w:val="auto"/>
                    </w:rPr>
                  </w:pPr>
                  <w:r>
                    <w:rPr>
                      <w:color w:val="auto"/>
                    </w:rPr>
                    <w:t>Y</w:t>
                  </w:r>
                </w:p>
              </w:tc>
              <w:tc>
                <w:tcPr>
                  <w:tcW w:w="401" w:type="pct"/>
                  <w:tcBorders>
                    <w:left w:val="single" w:sz="4" w:space="0" w:color="auto"/>
                  </w:tcBorders>
                  <w:vAlign w:val="center"/>
                </w:tcPr>
                <w:p>
                  <w:pPr>
                    <w:pStyle w:val="23"/>
                    <w:bidi w:val="0"/>
                    <w:rPr>
                      <w:color w:val="auto"/>
                    </w:rPr>
                  </w:pPr>
                  <w:r>
                    <w:rPr>
                      <w:color w:val="auto"/>
                    </w:rPr>
                    <w:t>Z</w:t>
                  </w:r>
                </w:p>
              </w:tc>
              <w:tc>
                <w:tcPr>
                  <w:tcW w:w="776" w:type="pct"/>
                  <w:vMerge/>
                  <w:tcBorders>
                    <w:left w:val="single" w:sz="4" w:space="0" w:color="auto"/>
                  </w:tcBorders>
                  <w:vAlign w:val="center"/>
                </w:tcPr>
                <w:p/>
              </w:tc>
            </w:tr>
            <w:tr>
              <w:trPr>
                <w:trHeight w:val="23"/>
              </w:trPr>
              <w:tc>
                <w:tcPr>
                  <w:tcW w:w="467" w:type="pct"/>
                  <w:vAlign w:val="center"/>
                </w:tcPr>
                <w:p>
                  <w:pPr>
                    <w:pStyle w:val="23"/>
                    <w:bidi w:val="0"/>
                    <w:rPr>
                      <w:rFonts w:hint="eastAsia"/>
                      <w:color w:val="auto"/>
                      <w:lang w:val="en-US" w:eastAsia="zh-CN"/>
                    </w:rPr>
                  </w:pPr>
                  <w:r>
                    <w:rPr>
                      <w:rFonts w:hint="eastAsia"/>
                      <w:color w:val="auto"/>
                      <w:lang w:val="en-US" w:eastAsia="zh-CN"/>
                    </w:rPr>
                    <w:t>风机（DA001）</w:t>
                  </w:r>
                </w:p>
              </w:tc>
              <w:tc>
                <w:tcPr>
                  <w:tcW w:w="1421"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90</w:t>
                  </w:r>
                </w:p>
              </w:tc>
              <w:tc>
                <w:tcPr>
                  <w:tcW w:w="1085" w:type="pct"/>
                  <w:vMerge w:val="restart"/>
                  <w:tcBorders>
                    <w:left w:val="single" w:sz="4" w:space="0" w:color="auto"/>
                  </w:tcBorders>
                  <w:vAlign w:val="center"/>
                </w:tcPr>
                <w:p>
                  <w:pPr>
                    <w:pStyle w:val="23"/>
                    <w:bidi w:val="0"/>
                    <w:rPr>
                      <w:color w:val="auto"/>
                      <w:lang w:val="en-US" w:eastAsia="zh-CN"/>
                    </w:rPr>
                  </w:pPr>
                  <w:r>
                    <w:rPr>
                      <w:rFonts w:hint="eastAsia"/>
                      <w:color w:val="auto"/>
                    </w:rPr>
                    <w:t>选用低噪声设备，采取基础减振等措施</w:t>
                  </w:r>
                </w:p>
              </w:tc>
              <w:tc>
                <w:tcPr>
                  <w:tcW w:w="42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-24</w:t>
                  </w:r>
                </w:p>
              </w:tc>
              <w:tc>
                <w:tcPr>
                  <w:tcW w:w="42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12</w:t>
                  </w:r>
                </w:p>
              </w:tc>
              <w:tc>
                <w:tcPr>
                  <w:tcW w:w="40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10</w:t>
                  </w:r>
                </w:p>
              </w:tc>
              <w:tc>
                <w:tcPr>
                  <w:tcW w:w="776" w:type="pct"/>
                  <w:vMerge w:val="restart"/>
                  <w:tcBorders>
                    <w:left w:val="single" w:sz="4" w:space="0" w:color="auto"/>
                  </w:tcBorders>
                  <w:vAlign w:val="center"/>
                </w:tcPr>
                <w:p>
                  <w:pPr>
                    <w:pStyle w:val="23"/>
                    <w:bidi w:val="0"/>
                    <w:rPr>
                      <w:color w:val="auto"/>
                      <w:lang w:val="en-US" w:eastAsia="zh-CN"/>
                    </w:rPr>
                  </w:pPr>
                  <w:r>
                    <w:rPr>
                      <w:rFonts w:hint="eastAsia"/>
                      <w:color w:val="auto"/>
                      <w:lang w:val="en-US" w:eastAsia="zh-CN"/>
                    </w:rPr>
                    <w:t>昼间</w:t>
                  </w:r>
                </w:p>
              </w:tc>
            </w:tr>
            <w:tr>
              <w:trPr>
                <w:trHeight w:val="23"/>
              </w:trPr>
              <w:tc>
                <w:tcPr>
                  <w:tcW w:w="467" w:type="pct"/>
                  <w:vAlign w:val="center"/>
                </w:tcPr>
                <w:p>
                  <w:pPr>
                    <w:pStyle w:val="23"/>
                    <w:bidi w:val="0"/>
                    <w:rPr>
                      <w:rFonts w:hint="eastAsia"/>
                      <w:color w:val="auto"/>
                      <w:lang w:val="en-US" w:eastAsia="zh-CN"/>
                    </w:rPr>
                  </w:pPr>
                  <w:r>
                    <w:rPr>
                      <w:rFonts w:hint="eastAsia"/>
                      <w:color w:val="auto"/>
                      <w:lang w:val="en-US" w:eastAsia="zh-CN"/>
                    </w:rPr>
                    <w:t>风机（DA002）</w:t>
                  </w:r>
                </w:p>
              </w:tc>
              <w:tc>
                <w:tcPr>
                  <w:tcW w:w="1421"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90</w:t>
                  </w:r>
                </w:p>
              </w:tc>
              <w:tc>
                <w:tcPr>
                  <w:tcW w:w="1085" w:type="pct"/>
                  <w:vMerge/>
                  <w:tcBorders>
                    <w:left w:val="single" w:sz="4" w:space="0" w:color="auto"/>
                  </w:tcBorders>
                  <w:vAlign w:val="center"/>
                </w:tcPr>
                <w:p/>
              </w:tc>
              <w:tc>
                <w:tcPr>
                  <w:tcW w:w="42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-24</w:t>
                  </w:r>
                </w:p>
              </w:tc>
              <w:tc>
                <w:tcPr>
                  <w:tcW w:w="42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15</w:t>
                  </w:r>
                </w:p>
              </w:tc>
              <w:tc>
                <w:tcPr>
                  <w:tcW w:w="40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10</w:t>
                  </w:r>
                </w:p>
              </w:tc>
              <w:tc>
                <w:tcPr>
                  <w:tcW w:w="776" w:type="pct"/>
                  <w:vMerge/>
                  <w:tcBorders>
                    <w:left w:val="single" w:sz="4" w:space="0" w:color="auto"/>
                  </w:tcBorders>
                  <w:vAlign w:val="center"/>
                </w:tcPr>
                <w:p/>
              </w:tc>
            </w:tr>
            <w:tr>
              <w:trPr>
                <w:trHeight w:val="23"/>
              </w:trPr>
              <w:tc>
                <w:tcPr>
                  <w:tcW w:w="467" w:type="pct"/>
                  <w:vAlign w:val="center"/>
                </w:tcPr>
                <w:p>
                  <w:pPr>
                    <w:pStyle w:val="23"/>
                    <w:bidi w:val="0"/>
                    <w:rPr>
                      <w:rFonts w:hint="eastAsia"/>
                      <w:color w:val="auto"/>
                      <w:lang w:val="en-US" w:eastAsia="zh-CN"/>
                    </w:rPr>
                  </w:pPr>
                  <w:r>
                    <w:rPr>
                      <w:rFonts w:hint="eastAsia"/>
                      <w:color w:val="auto"/>
                      <w:lang w:val="en-US" w:eastAsia="zh-CN"/>
                    </w:rPr>
                    <w:t>风机（DA003）</w:t>
                  </w:r>
                </w:p>
              </w:tc>
              <w:tc>
                <w:tcPr>
                  <w:tcW w:w="1421"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90</w:t>
                  </w:r>
                </w:p>
              </w:tc>
              <w:tc>
                <w:tcPr>
                  <w:tcW w:w="1085" w:type="pct"/>
                  <w:vMerge/>
                  <w:tcBorders>
                    <w:left w:val="single" w:sz="4" w:space="0" w:color="auto"/>
                  </w:tcBorders>
                  <w:vAlign w:val="center"/>
                </w:tcPr>
                <w:p/>
              </w:tc>
              <w:tc>
                <w:tcPr>
                  <w:tcW w:w="42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45</w:t>
                  </w:r>
                </w:p>
              </w:tc>
              <w:tc>
                <w:tcPr>
                  <w:tcW w:w="42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-52</w:t>
                  </w:r>
                </w:p>
              </w:tc>
              <w:tc>
                <w:tcPr>
                  <w:tcW w:w="401"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0.5</w:t>
                  </w:r>
                </w:p>
              </w:tc>
              <w:tc>
                <w:tcPr>
                  <w:tcW w:w="776" w:type="pct"/>
                  <w:vMerge/>
                  <w:tcBorders>
                    <w:left w:val="single" w:sz="4" w:space="0" w:color="auto"/>
                  </w:tcBorders>
                  <w:vAlign w:val="center"/>
                </w:tcPr>
                <w:p/>
              </w:tc>
            </w:tr>
            <w:tr>
              <w:trPr>
                <w:trHeight w:val="23"/>
              </w:trPr>
              <w:tc>
                <w:tcPr>
                  <w:tcW w:w="467" w:type="pct"/>
                  <w:vAlign w:val="center"/>
                </w:tcPr>
                <w:p>
                  <w:pPr>
                    <w:pStyle w:val="23"/>
                    <w:bidi w:val="0"/>
                    <w:rPr>
                      <w:color w:val="auto"/>
                      <w:lang w:val="en-US" w:eastAsia="zh-CN"/>
                    </w:rPr>
                  </w:pPr>
                  <w:r>
                    <w:rPr>
                      <w:rFonts w:hint="eastAsia"/>
                      <w:color w:val="auto"/>
                      <w:lang w:val="en-US" w:eastAsia="zh-CN"/>
                    </w:rPr>
                    <w:t>风机（DA006）</w:t>
                  </w:r>
                </w:p>
              </w:tc>
              <w:tc>
                <w:tcPr>
                  <w:tcW w:w="1421" w:type="pct"/>
                  <w:tcBorders>
                    <w:left w:val="single" w:sz="4" w:space="0" w:color="auto"/>
                  </w:tcBorders>
                  <w:vAlign w:val="center"/>
                </w:tcPr>
                <w:p>
                  <w:pPr>
                    <w:pStyle w:val="23"/>
                    <w:bidi w:val="0"/>
                    <w:rPr>
                      <w:color w:val="auto"/>
                      <w:lang w:val="en-US" w:eastAsia="zh-CN"/>
                    </w:rPr>
                  </w:pPr>
                  <w:r>
                    <w:rPr>
                      <w:rFonts w:hint="eastAsia"/>
                      <w:color w:val="auto"/>
                      <w:lang w:val="en-US" w:eastAsia="zh-CN"/>
                    </w:rPr>
                    <w:t>90</w:t>
                  </w:r>
                </w:p>
              </w:tc>
              <w:tc>
                <w:tcPr>
                  <w:tcW w:w="1085" w:type="pct"/>
                  <w:vMerge/>
                  <w:tcBorders>
                    <w:left w:val="single" w:sz="4" w:space="0" w:color="auto"/>
                  </w:tcBorders>
                  <w:vAlign w:val="center"/>
                </w:tcPr>
                <w:p/>
              </w:tc>
              <w:tc>
                <w:tcPr>
                  <w:tcW w:w="424"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-30</w:t>
                  </w:r>
                </w:p>
              </w:tc>
              <w:tc>
                <w:tcPr>
                  <w:tcW w:w="424"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-55</w:t>
                  </w:r>
                </w:p>
              </w:tc>
              <w:tc>
                <w:tcPr>
                  <w:tcW w:w="401" w:type="pct"/>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26</w:t>
                  </w:r>
                </w:p>
              </w:tc>
              <w:tc>
                <w:tcPr>
                  <w:tcW w:w="776" w:type="pct"/>
                  <w:vMerge/>
                  <w:tcBorders>
                    <w:left w:val="single" w:sz="4" w:space="0" w:color="auto"/>
                  </w:tcBorders>
                  <w:vAlign w:val="center"/>
                </w:tcPr>
                <w:p/>
              </w:tc>
            </w:tr>
          </w:tbl>
          <w:p>
            <w:pPr>
              <w:ind w:left="0"/>
              <w:jc w:val="both"/>
              <w:rPr>
                <w:b/>
                <w:color w:val="auto"/>
                <w:kern w:val="0"/>
                <w:szCs w:val="28"/>
              </w:rPr>
            </w:pPr>
          </w:p>
        </w:tc>
      </w:tr>
    </w:tbl>
    <w:p>
      <w:pPr>
        <w:ind w:left="420"/>
        <w:rPr>
          <w:b/>
          <w:color w:val="auto"/>
          <w:kern w:val="0"/>
          <w:szCs w:val="28"/>
        </w:rPr>
        <w:sectPr>
          <w:pgSz w:w="16840" w:h="11907" w:orient="landscape"/>
          <w:pgMar w:top="1531" w:right="1701" w:bottom="1531" w:left="2127" w:header="851" w:footer="851" w:gutter="0"/>
          <w:pgNumType/>
          <w:cols w:num="1" w:space="720"/>
          <w:docGrid w:linePitch="312" w:charSpace="0"/>
        </w:sectPr>
      </w:pPr>
    </w:p>
    <w:tbl>
      <w:tblPr>
        <w:jc w:val="left"/>
        <w:tblInd w:w="0" w:type="dxa"/>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12"/>
        <w:gridCol w:w="8649"/>
      </w:tblGrid>
      <w:tr>
        <w:tc>
          <w:tcPr>
            <w:tcW w:w="412" w:type="dxa"/>
          </w:tcPr>
          <w:p>
            <w:pPr>
              <w:ind w:left="420"/>
              <w:rPr>
                <w:b/>
                <w:color w:val="auto"/>
                <w:kern w:val="0"/>
                <w:szCs w:val="28"/>
              </w:rPr>
            </w:pPr>
          </w:p>
        </w:tc>
        <w:tc>
          <w:tcPr>
            <w:tcW w:w="8649" w:type="dxa"/>
          </w:tcPr>
          <w:p>
            <w:pPr>
              <w:spacing w:line="360" w:lineRule="auto"/>
              <w:ind w:firstLineChars="200" w:firstLine="480"/>
              <w:rPr>
                <w:snapToGrid w:val="0"/>
                <w:color w:val="auto"/>
                <w:sz w:val="24"/>
                <w:szCs w:val="22"/>
              </w:rPr>
            </w:pPr>
            <w:r>
              <w:rPr>
                <w:rFonts w:hint="eastAsia"/>
                <w:snapToGrid w:val="0"/>
                <w:color w:val="auto"/>
                <w:sz w:val="24"/>
                <w:szCs w:val="22"/>
              </w:rPr>
              <w:t>（3）预测模式的确定</w:t>
            </w:r>
          </w:p>
          <w:p>
            <w:pPr>
              <w:spacing w:line="360" w:lineRule="auto"/>
              <w:ind w:firstLineChars="200" w:firstLine="480"/>
              <w:rPr>
                <w:snapToGrid w:val="0"/>
                <w:color w:val="auto"/>
                <w:sz w:val="24"/>
                <w:szCs w:val="22"/>
              </w:rPr>
            </w:pPr>
            <w:r>
              <w:rPr>
                <w:rFonts w:hint="eastAsia"/>
                <w:snapToGrid w:val="0"/>
                <w:color w:val="auto"/>
                <w:sz w:val="24"/>
                <w:szCs w:val="22"/>
              </w:rPr>
              <w:t>噪声从声源传至受声点，因受传播距离、空气吸收、阻挡物的反射与屏障等因素影响，会使其产生衰减。</w:t>
            </w:r>
          </w:p>
          <w:p>
            <w:pPr>
              <w:spacing w:line="360" w:lineRule="auto"/>
              <w:ind w:firstLineChars="200" w:firstLine="480"/>
              <w:rPr>
                <w:snapToGrid w:val="0"/>
                <w:color w:val="auto"/>
                <w:sz w:val="24"/>
                <w:szCs w:val="22"/>
              </w:rPr>
            </w:pPr>
            <w:r>
              <w:rPr>
                <w:rFonts w:hint="eastAsia"/>
                <w:snapToGrid w:val="0"/>
                <w:color w:val="auto"/>
                <w:sz w:val="24"/>
                <w:szCs w:val="22"/>
              </w:rPr>
              <w:t>室内声源对噪声预测点贡献值预测模式</w:t>
            </w:r>
          </w:p>
          <w:p>
            <w:pPr>
              <w:spacing w:line="360" w:lineRule="auto"/>
              <w:ind w:firstLineChars="200" w:firstLine="480"/>
              <w:rPr>
                <w:snapToGrid w:val="0"/>
                <w:color w:val="auto"/>
                <w:sz w:val="24"/>
                <w:szCs w:val="22"/>
              </w:rPr>
            </w:pPr>
            <w:r>
              <w:rPr>
                <w:rFonts w:hint="eastAsia"/>
                <w:snapToGrid w:val="0"/>
                <w:color w:val="auto"/>
                <w:sz w:val="24"/>
                <w:szCs w:val="22"/>
              </w:rPr>
              <w:t>1）首先计算出某个室内声源靠近围护结构处的倍频带声压级：</w:t>
            </w:r>
          </w:p>
          <w:p>
            <w:pPr>
              <w:spacing w:line="360" w:lineRule="auto"/>
              <w:ind w:firstLineChars="200" w:firstLine="480"/>
              <w:jc w:val="center"/>
              <w:rPr>
                <w:snapToGrid w:val="0"/>
                <w:color w:val="auto"/>
                <w:sz w:val="24"/>
                <w:szCs w:val="22"/>
              </w:rPr>
            </w:pPr>
            <w:r>
              <w:rPr>
                <w:rFonts w:hint="eastAsia"/>
                <w:snapToGrid w:val="0"/>
                <w:color w:val="auto"/>
                <w:sz w:val="24"/>
                <w:szCs w:val="22"/>
              </w:rPr>
              <w:drawing>
                <wp:inline distT="0" distB="0" distL="114300" distR="114300">
                  <wp:extent cx="1706245" cy="391159"/>
                  <wp:effectExtent l="0" t="0" r="1" b="1"/>
                  <wp:docPr id="1041" name="图片 12" descr="说明: 形状&#10;&#10;中度可信度描述已自动生成"/>
                  <wp:cNvGraphicFramePr>
                    <a:graphicFrameLocks noChangeAspect="1"/>
                  </wp:cNvGraphicFramePr>
                  <a:graphic>
                    <a:graphicData uri="http://schemas.openxmlformats.org/drawingml/2006/picture">
                      <pic:pic>
                        <pic:nvPicPr>
                          <pic:cNvPr id="60" name="图片 12 60"/>
                          <pic:cNvPicPr/>
                        </pic:nvPicPr>
                        <pic:blipFill>
                          <a:blip r:embed="rId19"/>
                          <a:stretch>
                            <a:fillRect/>
                          </a:stretch>
                        </pic:blipFill>
                        <pic:spPr>
                          <a:xfrm rot="0">
                            <a:off x="0" y="0"/>
                            <a:ext cx="1706245" cy="391159"/>
                          </a:xfrm>
                          <a:prstGeom prst="rect"/>
                          <a:noFill/>
                          <a:ln cmpd="sng" cap="flat">
                            <a:noFill/>
                            <a:prstDash val="solid"/>
                            <a:round/>
                          </a:ln>
                        </pic:spPr>
                      </pic:pic>
                    </a:graphicData>
                  </a:graphic>
                </wp:inline>
              </w:drawing>
            </w:r>
          </w:p>
          <w:p>
            <w:pPr>
              <w:spacing w:line="360" w:lineRule="auto"/>
              <w:ind w:firstLineChars="200" w:firstLine="480"/>
              <w:rPr>
                <w:snapToGrid w:val="0"/>
                <w:color w:val="auto"/>
                <w:sz w:val="24"/>
                <w:szCs w:val="22"/>
              </w:rPr>
            </w:pPr>
            <w:r>
              <w:rPr>
                <w:rFonts w:hint="eastAsia"/>
                <w:snapToGrid w:val="0"/>
                <w:color w:val="auto"/>
                <w:sz w:val="24"/>
                <w:szCs w:val="22"/>
              </w:rPr>
              <w:t>式中：</w:t>
            </w:r>
            <w:r>
              <w:rPr>
                <w:rFonts w:hint="eastAsia"/>
                <w:snapToGrid w:val="0"/>
                <w:color w:val="auto"/>
                <w:sz w:val="24"/>
                <w:szCs w:val="22"/>
              </w:rPr>
              <w:drawing>
                <wp:inline distT="0" distB="0" distL="114300" distR="114300">
                  <wp:extent cx="220345" cy="239395"/>
                  <wp:effectExtent l="0" t="0" r="1" b="1"/>
                  <wp:docPr id="1042" name="图片 65"/>
                  <wp:cNvGraphicFramePr>
                    <a:graphicFrameLocks noChangeAspect="1"/>
                  </wp:cNvGraphicFramePr>
                  <a:graphic>
                    <a:graphicData uri="http://schemas.openxmlformats.org/drawingml/2006/picture">
                      <pic:pic>
                        <pic:nvPicPr>
                          <pic:cNvPr id="62" name="图片 65 62"/>
                          <pic:cNvPicPr/>
                        </pic:nvPicPr>
                        <pic:blipFill>
                          <a:blip r:embed="rId20"/>
                          <a:stretch>
                            <a:fillRect/>
                          </a:stretch>
                        </pic:blipFill>
                        <pic:spPr>
                          <a:xfrm rot="0">
                            <a:off x="0" y="0"/>
                            <a:ext cx="220345" cy="239395"/>
                          </a:xfrm>
                          <a:prstGeom prst="rect"/>
                          <a:noFill/>
                          <a:ln cmpd="sng" cap="flat">
                            <a:noFill/>
                            <a:prstDash val="solid"/>
                            <a:round/>
                          </a:ln>
                        </pic:spPr>
                      </pic:pic>
                    </a:graphicData>
                  </a:graphic>
                </wp:inline>
              </w:drawing>
            </w:r>
            <w:r>
              <w:rPr>
                <w:rFonts w:hint="eastAsia"/>
                <w:snapToGrid w:val="0"/>
                <w:color w:val="auto"/>
                <w:sz w:val="24"/>
                <w:szCs w:val="22"/>
              </w:rPr>
              <w:t>——室内声源在靠近围护结构处产生的倍频带声压级，dB；</w:t>
            </w:r>
          </w:p>
          <w:p>
            <w:pPr>
              <w:spacing w:line="360" w:lineRule="auto"/>
              <w:ind w:firstLineChars="200" w:firstLine="480"/>
              <w:rPr>
                <w:snapToGrid w:val="0"/>
                <w:color w:val="auto"/>
                <w:sz w:val="24"/>
                <w:szCs w:val="22"/>
              </w:rPr>
            </w:pPr>
            <w:r>
              <w:rPr>
                <w:rFonts w:hint="eastAsia"/>
                <w:snapToGrid w:val="0"/>
                <w:color w:val="auto"/>
                <w:sz w:val="24"/>
                <w:szCs w:val="22"/>
              </w:rPr>
              <w:drawing>
                <wp:inline distT="0" distB="0" distL="114300" distR="114300">
                  <wp:extent cx="200660" cy="220345"/>
                  <wp:effectExtent l="0" t="0" r="0" b="1"/>
                  <wp:docPr id="1043" name="图片 66"/>
                  <wp:cNvGraphicFramePr>
                    <a:graphicFrameLocks noChangeAspect="1"/>
                  </wp:cNvGraphicFramePr>
                  <a:graphic>
                    <a:graphicData uri="http://schemas.openxmlformats.org/drawingml/2006/picture">
                      <pic:pic>
                        <pic:nvPicPr>
                          <pic:cNvPr id="64" name="图片 66 64"/>
                          <pic:cNvPicPr/>
                        </pic:nvPicPr>
                        <pic:blipFill>
                          <a:blip r:embed="rId21"/>
                          <a:stretch>
                            <a:fillRect/>
                          </a:stretch>
                        </pic:blipFill>
                        <pic:spPr>
                          <a:xfrm rot="0">
                            <a:off x="0" y="0"/>
                            <a:ext cx="200660" cy="220345"/>
                          </a:xfrm>
                          <a:prstGeom prst="rect"/>
                          <a:noFill/>
                          <a:ln cmpd="sng" cap="flat">
                            <a:noFill/>
                            <a:prstDash val="solid"/>
                            <a:round/>
                          </a:ln>
                        </pic:spPr>
                      </pic:pic>
                    </a:graphicData>
                  </a:graphic>
                </wp:inline>
              </w:drawing>
            </w:r>
            <w:r>
              <w:rPr>
                <w:rFonts w:hint="eastAsia"/>
                <w:snapToGrid w:val="0"/>
                <w:color w:val="auto"/>
                <w:sz w:val="24"/>
                <w:szCs w:val="22"/>
              </w:rPr>
              <w:t>——声源的倍频带声功率级，dB；</w:t>
            </w:r>
          </w:p>
          <w:p>
            <w:pPr>
              <w:spacing w:line="360" w:lineRule="auto"/>
              <w:ind w:firstLineChars="200" w:firstLine="480"/>
              <w:rPr>
                <w:snapToGrid w:val="0"/>
                <w:color w:val="auto"/>
                <w:sz w:val="24"/>
                <w:szCs w:val="22"/>
              </w:rPr>
            </w:pPr>
            <w:r>
              <w:rPr>
                <w:rFonts w:hint="eastAsia"/>
                <w:snapToGrid w:val="0"/>
                <w:color w:val="auto"/>
                <w:sz w:val="24"/>
                <w:szCs w:val="22"/>
              </w:rPr>
              <w:drawing>
                <wp:inline distT="0" distB="0" distL="114300" distR="114300">
                  <wp:extent cx="117475" cy="122555"/>
                  <wp:effectExtent l="0" t="0" r="1" b="0"/>
                  <wp:docPr id="1044" name="图片 67"/>
                  <wp:cNvGraphicFramePr>
                    <a:graphicFrameLocks noChangeAspect="1"/>
                  </wp:cNvGraphicFramePr>
                  <a:graphic>
                    <a:graphicData uri="http://schemas.openxmlformats.org/drawingml/2006/picture">
                      <pic:pic>
                        <pic:nvPicPr>
                          <pic:cNvPr id="66" name="图片 67 66"/>
                          <pic:cNvPicPr/>
                        </pic:nvPicPr>
                        <pic:blipFill>
                          <a:blip r:embed="rId22"/>
                          <a:stretch>
                            <a:fillRect/>
                          </a:stretch>
                        </pic:blipFill>
                        <pic:spPr>
                          <a:xfrm rot="0">
                            <a:off x="0" y="0"/>
                            <a:ext cx="117475" cy="122555"/>
                          </a:xfrm>
                          <a:prstGeom prst="rect"/>
                          <a:noFill/>
                          <a:ln cmpd="sng" cap="flat">
                            <a:noFill/>
                            <a:prstDash val="solid"/>
                            <a:round/>
                          </a:ln>
                        </pic:spPr>
                      </pic:pic>
                    </a:graphicData>
                  </a:graphic>
                </wp:inline>
              </w:drawing>
            </w:r>
            <w:r>
              <w:rPr>
                <w:rFonts w:hint="eastAsia"/>
                <w:snapToGrid w:val="0"/>
                <w:color w:val="auto"/>
                <w:sz w:val="24"/>
                <w:szCs w:val="22"/>
              </w:rPr>
              <w:t>——声源到靠近围护结构某点处的距离，m；</w:t>
            </w:r>
          </w:p>
          <w:p>
            <w:pPr>
              <w:spacing w:line="360" w:lineRule="auto"/>
              <w:ind w:firstLineChars="200" w:firstLine="480"/>
              <w:rPr>
                <w:snapToGrid w:val="0"/>
                <w:color w:val="auto"/>
                <w:sz w:val="24"/>
                <w:szCs w:val="22"/>
              </w:rPr>
            </w:pPr>
            <w:r>
              <w:rPr>
                <w:rFonts w:hint="eastAsia"/>
                <w:snapToGrid w:val="0"/>
                <w:color w:val="auto"/>
                <w:sz w:val="24"/>
                <w:szCs w:val="22"/>
              </w:rPr>
              <w:drawing>
                <wp:inline distT="0" distB="0" distL="114300" distR="114300">
                  <wp:extent cx="151764" cy="200660"/>
                  <wp:effectExtent l="0" t="0" r="0" b="0"/>
                  <wp:docPr id="1045" name="图片 68"/>
                  <wp:cNvGraphicFramePr>
                    <a:graphicFrameLocks noChangeAspect="1"/>
                  </wp:cNvGraphicFramePr>
                  <a:graphic>
                    <a:graphicData uri="http://schemas.openxmlformats.org/drawingml/2006/picture">
                      <pic:pic>
                        <pic:nvPicPr>
                          <pic:cNvPr id="68" name="图片 68 68"/>
                          <pic:cNvPicPr/>
                        </pic:nvPicPr>
                        <pic:blipFill>
                          <a:blip r:embed="rId23"/>
                          <a:stretch>
                            <a:fillRect/>
                          </a:stretch>
                        </pic:blipFill>
                        <pic:spPr>
                          <a:xfrm rot="0">
                            <a:off x="0" y="0"/>
                            <a:ext cx="151764" cy="200660"/>
                          </a:xfrm>
                          <a:prstGeom prst="rect"/>
                          <a:noFill/>
                          <a:ln cmpd="sng" cap="flat">
                            <a:noFill/>
                            <a:prstDash val="solid"/>
                            <a:round/>
                          </a:ln>
                        </pic:spPr>
                      </pic:pic>
                    </a:graphicData>
                  </a:graphic>
                </wp:inline>
              </w:drawing>
            </w:r>
            <w:r>
              <w:rPr>
                <w:rFonts w:hint="eastAsia"/>
                <w:snapToGrid w:val="0"/>
                <w:color w:val="auto"/>
                <w:sz w:val="24"/>
                <w:szCs w:val="22"/>
              </w:rPr>
              <w:t>——指向性因子；</w:t>
            </w:r>
          </w:p>
          <w:p>
            <w:pPr>
              <w:spacing w:line="360" w:lineRule="auto"/>
              <w:ind w:firstLineChars="200" w:firstLine="480"/>
              <w:rPr>
                <w:snapToGrid w:val="0"/>
                <w:color w:val="auto"/>
                <w:sz w:val="24"/>
                <w:szCs w:val="22"/>
              </w:rPr>
            </w:pPr>
            <w:r>
              <w:rPr>
                <w:rFonts w:hint="eastAsia"/>
                <w:snapToGrid w:val="0"/>
                <w:color w:val="auto"/>
                <w:sz w:val="24"/>
                <w:szCs w:val="22"/>
              </w:rPr>
              <w:drawing>
                <wp:inline distT="0" distB="0" distL="114300" distR="114300">
                  <wp:extent cx="151764" cy="171450"/>
                  <wp:effectExtent l="0" t="0" r="0" b="0"/>
                  <wp:docPr id="1046" name="图片 69"/>
                  <wp:cNvGraphicFramePr>
                    <a:graphicFrameLocks noChangeAspect="1"/>
                  </wp:cNvGraphicFramePr>
                  <a:graphic>
                    <a:graphicData uri="http://schemas.openxmlformats.org/drawingml/2006/picture">
                      <pic:pic>
                        <pic:nvPicPr>
                          <pic:cNvPr id="70" name="图片 69 70"/>
                          <pic:cNvPicPr/>
                        </pic:nvPicPr>
                        <pic:blipFill>
                          <a:blip r:embed="rId24"/>
                          <a:stretch>
                            <a:fillRect/>
                          </a:stretch>
                        </pic:blipFill>
                        <pic:spPr>
                          <a:xfrm rot="0">
                            <a:off x="0" y="0"/>
                            <a:ext cx="151764" cy="171450"/>
                          </a:xfrm>
                          <a:prstGeom prst="rect"/>
                          <a:noFill/>
                          <a:ln cmpd="sng" cap="flat">
                            <a:noFill/>
                            <a:prstDash val="solid"/>
                            <a:round/>
                          </a:ln>
                        </pic:spPr>
                      </pic:pic>
                    </a:graphicData>
                  </a:graphic>
                </wp:inline>
              </w:drawing>
            </w:r>
            <w:r>
              <w:rPr>
                <w:rFonts w:hint="eastAsia"/>
                <w:snapToGrid w:val="0"/>
                <w:color w:val="auto"/>
                <w:sz w:val="24"/>
                <w:szCs w:val="22"/>
              </w:rPr>
              <w:t>——房间常数，</w:t>
            </w:r>
            <w:r>
              <w:rPr>
                <w:rFonts w:hint="eastAsia"/>
                <w:snapToGrid w:val="0"/>
                <w:color w:val="auto"/>
                <w:sz w:val="24"/>
                <w:szCs w:val="22"/>
              </w:rPr>
              <w:drawing>
                <wp:inline distT="0" distB="0" distL="114300" distR="114300">
                  <wp:extent cx="963294" cy="200660"/>
                  <wp:effectExtent l="0" t="0" r="1" b="0"/>
                  <wp:docPr id="1047" name="图片 70"/>
                  <wp:cNvGraphicFramePr>
                    <a:graphicFrameLocks noChangeAspect="1"/>
                  </wp:cNvGraphicFramePr>
                  <a:graphic>
                    <a:graphicData uri="http://schemas.openxmlformats.org/drawingml/2006/picture">
                      <pic:pic>
                        <pic:nvPicPr>
                          <pic:cNvPr id="72" name="图片 70 72"/>
                          <pic:cNvPicPr/>
                        </pic:nvPicPr>
                        <pic:blipFill>
                          <a:blip r:embed="rId25"/>
                          <a:stretch>
                            <a:fillRect/>
                          </a:stretch>
                        </pic:blipFill>
                        <pic:spPr>
                          <a:xfrm rot="0">
                            <a:off x="0" y="0"/>
                            <a:ext cx="963294" cy="200660"/>
                          </a:xfrm>
                          <a:prstGeom prst="rect"/>
                          <a:noFill/>
                          <a:ln cmpd="sng" cap="flat">
                            <a:noFill/>
                            <a:prstDash val="solid"/>
                            <a:round/>
                          </a:ln>
                        </pic:spPr>
                      </pic:pic>
                    </a:graphicData>
                  </a:graphic>
                </wp:inline>
              </w:drawing>
            </w:r>
            <w:r>
              <w:rPr>
                <w:rFonts w:hint="eastAsia"/>
                <w:snapToGrid w:val="0"/>
                <w:color w:val="auto"/>
                <w:sz w:val="24"/>
                <w:szCs w:val="22"/>
              </w:rPr>
              <w:t>，</w:t>
            </w:r>
            <w:r>
              <w:rPr>
                <w:rFonts w:hint="eastAsia"/>
                <w:snapToGrid w:val="0"/>
                <w:color w:val="auto"/>
                <w:sz w:val="24"/>
                <w:szCs w:val="22"/>
              </w:rPr>
              <w:drawing>
                <wp:inline distT="0" distB="0" distL="114300" distR="114300">
                  <wp:extent cx="141605" cy="180975"/>
                  <wp:effectExtent l="0" t="0" r="0" b="0"/>
                  <wp:docPr id="1048" name="图片 71"/>
                  <wp:cNvGraphicFramePr>
                    <a:graphicFrameLocks noChangeAspect="1"/>
                  </wp:cNvGraphicFramePr>
                  <a:graphic>
                    <a:graphicData uri="http://schemas.openxmlformats.org/drawingml/2006/picture">
                      <pic:pic>
                        <pic:nvPicPr>
                          <pic:cNvPr id="74" name="图片 71 74"/>
                          <pic:cNvPicPr/>
                        </pic:nvPicPr>
                        <pic:blipFill>
                          <a:blip r:embed="rId26"/>
                          <a:stretch>
                            <a:fillRect/>
                          </a:stretch>
                        </pic:blipFill>
                        <pic:spPr>
                          <a:xfrm rot="0">
                            <a:off x="0" y="0"/>
                            <a:ext cx="141605" cy="180975"/>
                          </a:xfrm>
                          <a:prstGeom prst="rect"/>
                          <a:noFill/>
                          <a:ln cmpd="sng" cap="flat">
                            <a:noFill/>
                            <a:prstDash val="solid"/>
                            <a:round/>
                          </a:ln>
                        </pic:spPr>
                      </pic:pic>
                    </a:graphicData>
                  </a:graphic>
                </wp:inline>
              </w:drawing>
            </w:r>
            <w:r>
              <w:rPr>
                <w:rFonts w:hint="eastAsia"/>
                <w:snapToGrid w:val="0"/>
                <w:color w:val="auto"/>
                <w:sz w:val="24"/>
                <w:szCs w:val="22"/>
              </w:rPr>
              <w:t>为房间内表面面积，</w:t>
            </w:r>
            <w:r>
              <w:rPr>
                <w:rFonts w:hint="eastAsia"/>
                <w:snapToGrid w:val="0"/>
                <w:color w:val="auto"/>
                <w:sz w:val="24"/>
                <w:szCs w:val="22"/>
                <w:lang w:val="en-US" w:eastAsia="zh-CN"/>
              </w:rPr>
              <w:t>㎡</w:t>
            </w:r>
            <w:r>
              <w:rPr>
                <w:rFonts w:hint="eastAsia"/>
                <w:snapToGrid w:val="0"/>
                <w:color w:val="auto"/>
                <w:sz w:val="24"/>
                <w:szCs w:val="22"/>
              </w:rPr>
              <w:t>，</w:t>
            </w:r>
            <w:r>
              <w:rPr>
                <w:rFonts w:hint="eastAsia"/>
                <w:snapToGrid w:val="0"/>
                <w:color w:val="auto"/>
                <w:sz w:val="24"/>
                <w:szCs w:val="22"/>
              </w:rPr>
              <w:drawing>
                <wp:inline distT="0" distB="0" distL="114300" distR="114300">
                  <wp:extent cx="151764" cy="141605"/>
                  <wp:effectExtent l="0" t="0" r="1" b="0"/>
                  <wp:docPr id="1049" name="图片 72"/>
                  <wp:cNvGraphicFramePr>
                    <a:graphicFrameLocks noChangeAspect="1"/>
                  </wp:cNvGraphicFramePr>
                  <a:graphic>
                    <a:graphicData uri="http://schemas.openxmlformats.org/drawingml/2006/picture">
                      <pic:pic>
                        <pic:nvPicPr>
                          <pic:cNvPr id="76" name="图片 72 76"/>
                          <pic:cNvPicPr/>
                        </pic:nvPicPr>
                        <pic:blipFill>
                          <a:blip r:embed="rId27"/>
                          <a:stretch>
                            <a:fillRect/>
                          </a:stretch>
                        </pic:blipFill>
                        <pic:spPr>
                          <a:xfrm rot="0">
                            <a:off x="0" y="0"/>
                            <a:ext cx="151764" cy="141605"/>
                          </a:xfrm>
                          <a:prstGeom prst="rect"/>
                          <a:noFill/>
                          <a:ln cmpd="sng" cap="flat">
                            <a:noFill/>
                            <a:prstDash val="solid"/>
                            <a:round/>
                          </a:ln>
                        </pic:spPr>
                      </pic:pic>
                    </a:graphicData>
                  </a:graphic>
                </wp:inline>
              </w:drawing>
            </w:r>
            <w:r>
              <w:rPr>
                <w:rFonts w:hint="eastAsia"/>
                <w:snapToGrid w:val="0"/>
                <w:color w:val="auto"/>
                <w:sz w:val="24"/>
                <w:szCs w:val="22"/>
              </w:rPr>
              <w:t>为平均吸声系数。</w:t>
            </w:r>
          </w:p>
          <w:p>
            <w:pPr>
              <w:spacing w:line="360" w:lineRule="auto"/>
              <w:ind w:firstLineChars="200" w:firstLine="480"/>
              <w:rPr>
                <w:snapToGrid w:val="0"/>
                <w:color w:val="auto"/>
                <w:sz w:val="24"/>
                <w:szCs w:val="22"/>
              </w:rPr>
            </w:pPr>
            <w:r>
              <w:rPr>
                <w:rFonts w:hint="eastAsia"/>
                <w:snapToGrid w:val="0"/>
                <w:color w:val="auto"/>
                <w:sz w:val="24"/>
                <w:szCs w:val="22"/>
              </w:rPr>
              <w:t>2）计算出所有室内声源在靠近围护结构处产生的</w:t>
            </w:r>
            <w:r>
              <w:rPr>
                <w:rFonts w:hint="eastAsia"/>
                <w:snapToGrid w:val="0"/>
                <w:color w:val="auto"/>
                <w:sz w:val="24"/>
                <w:szCs w:val="22"/>
              </w:rPr>
              <w:drawing>
                <wp:inline distT="0" distB="0" distL="114300" distR="114300">
                  <wp:extent cx="83185" cy="171450"/>
                  <wp:effectExtent l="0" t="0" r="1" b="0"/>
                  <wp:docPr id="1050" name="图片 73"/>
                  <wp:cNvGraphicFramePr>
                    <a:graphicFrameLocks noChangeAspect="1"/>
                  </wp:cNvGraphicFramePr>
                  <a:graphic>
                    <a:graphicData uri="http://schemas.openxmlformats.org/drawingml/2006/picture">
                      <pic:pic>
                        <pic:nvPicPr>
                          <pic:cNvPr id="78" name="图片 73 78"/>
                          <pic:cNvPicPr/>
                        </pic:nvPicPr>
                        <pic:blipFill>
                          <a:blip r:embed="rId28"/>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 w:val="24"/>
                <w:szCs w:val="22"/>
              </w:rPr>
              <w:t>倍频带叠加声压级：</w:t>
            </w:r>
          </w:p>
          <w:p>
            <w:pPr>
              <w:spacing w:line="360" w:lineRule="auto"/>
              <w:ind w:firstLineChars="200" w:firstLine="480"/>
              <w:jc w:val="center"/>
              <w:rPr>
                <w:rFonts w:eastAsia="宋体" w:hint="eastAsia"/>
                <w:snapToGrid w:val="0"/>
                <w:color w:val="auto"/>
                <w:sz w:val="24"/>
                <w:szCs w:val="22"/>
                <w:lang w:eastAsia="zh-CN"/>
              </w:rPr>
            </w:pPr>
            <w:r>
              <w:rPr>
                <w:rFonts w:eastAsia="宋体" w:hint="eastAsia"/>
                <w:snapToGrid w:val="0"/>
                <w:color w:val="auto"/>
                <w:position w:val="-30"/>
                <w:sz w:val="24"/>
                <w:szCs w:val="22"/>
                <w:lang w:eastAsia="zh-CN"/>
              </w:rPr>
              <w:object>
                <v:shape id="_x0000_i1026" type="#_x0000_t75" filled="f" style="width:129.0pt;height:35.0pt;" o:ole="">
                  <v:imagedata r:id="rId29" o:title="image24"/>
                  <o:lock aspectratio="t"/>
                  <w10:anchorLock/>
                </v:shape>
                <o:OLEObject Type="Embed" ProgID="Equation.KSEE3" ShapeID="_x0000_i1026" DrawAspect="Content" ObjectID="_1393063352" r:id="rId30"/>
              </w:object>
            </w:r>
          </w:p>
          <w:p>
            <w:pPr>
              <w:spacing w:line="360" w:lineRule="auto"/>
              <w:ind w:firstLineChars="200" w:firstLine="480"/>
              <w:rPr>
                <w:snapToGrid w:val="0"/>
                <w:color w:val="auto"/>
                <w:sz w:val="24"/>
                <w:szCs w:val="22"/>
              </w:rPr>
            </w:pPr>
            <w:r>
              <w:rPr>
                <w:rFonts w:hint="eastAsia"/>
                <w:snapToGrid w:val="0"/>
                <w:color w:val="auto"/>
                <w:sz w:val="24"/>
                <w:szCs w:val="22"/>
              </w:rPr>
              <w:t>式中：</w:t>
            </w:r>
            <w:r>
              <w:rPr>
                <w:rFonts w:hint="eastAsia"/>
                <w:snapToGrid w:val="0"/>
                <w:color w:val="auto"/>
                <w:sz w:val="24"/>
                <w:szCs w:val="22"/>
              </w:rPr>
              <w:drawing>
                <wp:inline distT="0" distB="0" distL="114300" distR="114300">
                  <wp:extent cx="464820" cy="239395"/>
                  <wp:effectExtent l="0" t="0" r="0" b="0"/>
                  <wp:docPr id="1051" name="图片 74"/>
                  <wp:cNvGraphicFramePr>
                    <a:graphicFrameLocks noChangeAspect="1"/>
                  </wp:cNvGraphicFramePr>
                  <a:graphic>
                    <a:graphicData uri="http://schemas.openxmlformats.org/drawingml/2006/picture">
                      <pic:pic>
                        <pic:nvPicPr>
                          <pic:cNvPr id="82" name="图片 74 82"/>
                          <pic:cNvPicPr/>
                        </pic:nvPicPr>
                        <pic:blipFill>
                          <a:blip r:embed="rId31"/>
                          <a:stretch>
                            <a:fillRect/>
                          </a:stretch>
                        </pic:blipFill>
                        <pic:spPr>
                          <a:xfrm rot="0">
                            <a:off x="0" y="0"/>
                            <a:ext cx="464820" cy="239395"/>
                          </a:xfrm>
                          <a:prstGeom prst="rect"/>
                          <a:noFill/>
                          <a:ln cmpd="sng" cap="flat">
                            <a:noFill/>
                            <a:prstDash val="solid"/>
                            <a:round/>
                          </a:ln>
                        </pic:spPr>
                      </pic:pic>
                    </a:graphicData>
                  </a:graphic>
                </wp:inline>
              </w:drawing>
            </w:r>
            <w:r>
              <w:rPr>
                <w:rFonts w:hint="eastAsia"/>
                <w:snapToGrid w:val="0"/>
                <w:color w:val="auto"/>
                <w:sz w:val="24"/>
                <w:szCs w:val="22"/>
              </w:rPr>
              <w:t>——靠近围护结构处室内N个声源</w:t>
            </w:r>
            <w:r>
              <w:rPr>
                <w:rFonts w:hint="eastAsia"/>
                <w:snapToGrid w:val="0"/>
                <w:color w:val="auto"/>
                <w:sz w:val="24"/>
                <w:szCs w:val="22"/>
              </w:rPr>
              <w:drawing>
                <wp:inline distT="0" distB="0" distL="114300" distR="114300">
                  <wp:extent cx="83185" cy="171450"/>
                  <wp:effectExtent l="0" t="0" r="1" b="0"/>
                  <wp:docPr id="1052" name="图片 75"/>
                  <wp:cNvGraphicFramePr>
                    <a:graphicFrameLocks noChangeAspect="1"/>
                  </wp:cNvGraphicFramePr>
                  <a:graphic>
                    <a:graphicData uri="http://schemas.openxmlformats.org/drawingml/2006/picture">
                      <pic:pic>
                        <pic:nvPicPr>
                          <pic:cNvPr id="83" name="图片 75 83"/>
                          <pic:cNvPicPr/>
                        </pic:nvPicPr>
                        <pic:blipFill>
                          <a:blip r:embed="rId32"/>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 w:val="24"/>
                <w:szCs w:val="22"/>
              </w:rPr>
              <w:t>倍频带的叠加声压级，dB；</w:t>
            </w:r>
          </w:p>
          <w:p>
            <w:pPr>
              <w:spacing w:line="360" w:lineRule="auto"/>
              <w:ind w:firstLineChars="200" w:firstLine="480"/>
              <w:rPr>
                <w:snapToGrid w:val="0"/>
                <w:color w:val="auto"/>
                <w:sz w:val="24"/>
                <w:szCs w:val="22"/>
              </w:rPr>
            </w:pPr>
            <w:r>
              <w:rPr>
                <w:rFonts w:hint="eastAsia"/>
                <w:snapToGrid w:val="0"/>
                <w:color w:val="auto"/>
                <w:sz w:val="24"/>
                <w:szCs w:val="22"/>
              </w:rPr>
              <w:drawing>
                <wp:inline distT="0" distB="0" distL="114300" distR="114300">
                  <wp:extent cx="283845" cy="239395"/>
                  <wp:effectExtent l="0" t="0" r="0" b="0"/>
                  <wp:docPr id="1053" name="图片 76"/>
                  <wp:cNvGraphicFramePr>
                    <a:graphicFrameLocks noChangeAspect="1"/>
                  </wp:cNvGraphicFramePr>
                  <a:graphic>
                    <a:graphicData uri="http://schemas.openxmlformats.org/drawingml/2006/picture">
                      <pic:pic>
                        <pic:nvPicPr>
                          <pic:cNvPr id="85" name="图片 76 85"/>
                          <pic:cNvPicPr/>
                        </pic:nvPicPr>
                        <pic:blipFill>
                          <a:blip r:embed="rId33"/>
                          <a:stretch>
                            <a:fillRect/>
                          </a:stretch>
                        </pic:blipFill>
                        <pic:spPr>
                          <a:xfrm rot="0">
                            <a:off x="0" y="0"/>
                            <a:ext cx="283845" cy="239395"/>
                          </a:xfrm>
                          <a:prstGeom prst="rect"/>
                          <a:noFill/>
                          <a:ln cmpd="sng" cap="flat">
                            <a:noFill/>
                            <a:prstDash val="solid"/>
                            <a:round/>
                          </a:ln>
                        </pic:spPr>
                      </pic:pic>
                    </a:graphicData>
                  </a:graphic>
                </wp:inline>
              </w:drawing>
            </w:r>
            <w:r>
              <w:rPr>
                <w:rFonts w:hint="eastAsia"/>
                <w:snapToGrid w:val="0"/>
                <w:color w:val="auto"/>
                <w:sz w:val="24"/>
                <w:szCs w:val="22"/>
              </w:rPr>
              <w:t>——室内</w:t>
            </w:r>
            <w:r>
              <w:rPr>
                <w:rFonts w:hint="eastAsia"/>
                <w:snapToGrid w:val="0"/>
                <w:color w:val="auto"/>
                <w:sz w:val="24"/>
                <w:szCs w:val="22"/>
              </w:rPr>
              <w:drawing>
                <wp:inline distT="0" distB="0" distL="114300" distR="114300">
                  <wp:extent cx="122555" cy="190500"/>
                  <wp:effectExtent l="0" t="0" r="0" b="0"/>
                  <wp:docPr id="1054" name="图片 77"/>
                  <wp:cNvGraphicFramePr>
                    <a:graphicFrameLocks noChangeAspect="1"/>
                  </wp:cNvGraphicFramePr>
                  <a:graphic>
                    <a:graphicData uri="http://schemas.openxmlformats.org/drawingml/2006/picture">
                      <pic:pic>
                        <pic:nvPicPr>
                          <pic:cNvPr id="87" name="图片 77 87"/>
                          <pic:cNvPicPr/>
                        </pic:nvPicPr>
                        <pic:blipFill>
                          <a:blip r:embed="rId34"/>
                          <a:stretch>
                            <a:fillRect/>
                          </a:stretch>
                        </pic:blipFill>
                        <pic:spPr>
                          <a:xfrm rot="0">
                            <a:off x="0" y="0"/>
                            <a:ext cx="122555" cy="190500"/>
                          </a:xfrm>
                          <a:prstGeom prst="rect"/>
                          <a:noFill/>
                          <a:ln cmpd="sng" cap="flat">
                            <a:noFill/>
                            <a:prstDash val="solid"/>
                            <a:round/>
                          </a:ln>
                        </pic:spPr>
                      </pic:pic>
                    </a:graphicData>
                  </a:graphic>
                </wp:inline>
              </w:drawing>
            </w:r>
            <w:r>
              <w:rPr>
                <w:rFonts w:hint="eastAsia"/>
                <w:snapToGrid w:val="0"/>
                <w:color w:val="auto"/>
                <w:sz w:val="24"/>
                <w:szCs w:val="22"/>
              </w:rPr>
              <w:t>声源</w:t>
            </w:r>
            <w:r>
              <w:rPr>
                <w:rFonts w:hint="eastAsia"/>
                <w:snapToGrid w:val="0"/>
                <w:color w:val="auto"/>
                <w:sz w:val="24"/>
                <w:szCs w:val="22"/>
              </w:rPr>
              <w:drawing>
                <wp:inline distT="0" distB="0" distL="114300" distR="114300">
                  <wp:extent cx="83185" cy="171450"/>
                  <wp:effectExtent l="0" t="0" r="1" b="0"/>
                  <wp:docPr id="1055" name="图片 78"/>
                  <wp:cNvGraphicFramePr>
                    <a:graphicFrameLocks noChangeAspect="1"/>
                  </wp:cNvGraphicFramePr>
                  <a:graphic>
                    <a:graphicData uri="http://schemas.openxmlformats.org/drawingml/2006/picture">
                      <pic:pic>
                        <pic:nvPicPr>
                          <pic:cNvPr id="88" name="图片 78 88"/>
                          <pic:cNvPicPr/>
                        </pic:nvPicPr>
                        <pic:blipFill>
                          <a:blip r:embed="rId35"/>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 w:val="24"/>
                <w:szCs w:val="22"/>
              </w:rPr>
              <w:t>倍频带的声压级，dB；</w:t>
            </w:r>
          </w:p>
          <w:p>
            <w:pPr>
              <w:spacing w:line="360" w:lineRule="auto"/>
              <w:ind w:firstLineChars="200" w:firstLine="480"/>
              <w:rPr>
                <w:snapToGrid w:val="0"/>
                <w:color w:val="auto"/>
                <w:sz w:val="24"/>
                <w:szCs w:val="22"/>
              </w:rPr>
            </w:pPr>
            <w:r>
              <w:rPr>
                <w:rFonts w:hint="eastAsia"/>
                <w:snapToGrid w:val="0"/>
                <w:color w:val="auto"/>
                <w:sz w:val="24"/>
                <w:szCs w:val="22"/>
              </w:rPr>
              <w:drawing>
                <wp:inline distT="0" distB="0" distL="114300" distR="114300">
                  <wp:extent cx="180975" cy="180975"/>
                  <wp:effectExtent l="0" t="0" r="0" b="0"/>
                  <wp:docPr id="1056" name="图片 79"/>
                  <wp:cNvGraphicFramePr>
                    <a:graphicFrameLocks noChangeAspect="1"/>
                  </wp:cNvGraphicFramePr>
                  <a:graphic>
                    <a:graphicData uri="http://schemas.openxmlformats.org/drawingml/2006/picture">
                      <pic:pic>
                        <pic:nvPicPr>
                          <pic:cNvPr id="90" name="图片 79 90"/>
                          <pic:cNvPicPr/>
                        </pic:nvPicPr>
                        <pic:blipFill>
                          <a:blip r:embed="rId36"/>
                          <a:stretch>
                            <a:fillRect/>
                          </a:stretch>
                        </pic:blipFill>
                        <pic:spPr>
                          <a:xfrm rot="0">
                            <a:off x="0" y="0"/>
                            <a:ext cx="180975" cy="180975"/>
                          </a:xfrm>
                          <a:prstGeom prst="rect"/>
                          <a:noFill/>
                          <a:ln cmpd="sng" cap="flat">
                            <a:noFill/>
                            <a:prstDash val="solid"/>
                            <a:round/>
                          </a:ln>
                        </pic:spPr>
                      </pic:pic>
                    </a:graphicData>
                  </a:graphic>
                </wp:inline>
              </w:drawing>
            </w:r>
            <w:r>
              <w:rPr>
                <w:rFonts w:hint="eastAsia"/>
                <w:snapToGrid w:val="0"/>
                <w:color w:val="auto"/>
                <w:sz w:val="24"/>
                <w:szCs w:val="22"/>
              </w:rPr>
              <w:t>——室内声源总数。</w:t>
            </w:r>
          </w:p>
          <w:p>
            <w:pPr>
              <w:spacing w:line="360" w:lineRule="auto"/>
              <w:ind w:firstLineChars="200" w:firstLine="480"/>
              <w:jc w:val="both"/>
              <w:rPr>
                <w:snapToGrid w:val="0"/>
                <w:color w:val="auto"/>
                <w:sz w:val="24"/>
                <w:szCs w:val="22"/>
              </w:rPr>
            </w:pPr>
            <w:r>
              <w:rPr>
                <w:rFonts w:hint="eastAsia"/>
                <w:snapToGrid w:val="0"/>
                <w:color w:val="auto"/>
                <w:sz w:val="24"/>
                <w:szCs w:val="22"/>
              </w:rPr>
              <w:t>3）计算出室外靠近围护结构处的声压级：</w:t>
            </w:r>
          </w:p>
          <w:p>
            <w:pPr>
              <w:spacing w:line="360" w:lineRule="auto"/>
              <w:ind w:firstLineChars="200" w:firstLine="480"/>
              <w:jc w:val="center"/>
              <w:rPr>
                <w:snapToGrid w:val="0"/>
                <w:color w:val="auto"/>
                <w:sz w:val="24"/>
                <w:szCs w:val="22"/>
              </w:rPr>
            </w:pPr>
            <w:r>
              <w:rPr>
                <w:rFonts w:hint="eastAsia"/>
                <w:snapToGrid w:val="0"/>
                <w:color w:val="auto"/>
                <w:sz w:val="24"/>
                <w:szCs w:val="22"/>
              </w:rPr>
              <w:drawing>
                <wp:inline distT="0" distB="0" distL="114300" distR="114300">
                  <wp:extent cx="1780539" cy="239395"/>
                  <wp:effectExtent l="0" t="0" r="1" b="0"/>
                  <wp:docPr id="1057" name="图片 80"/>
                  <wp:cNvGraphicFramePr>
                    <a:graphicFrameLocks noChangeAspect="1"/>
                  </wp:cNvGraphicFramePr>
                  <a:graphic>
                    <a:graphicData uri="http://schemas.openxmlformats.org/drawingml/2006/picture">
                      <pic:pic>
                        <pic:nvPicPr>
                          <pic:cNvPr id="92" name="图片 80 92"/>
                          <pic:cNvPicPr/>
                        </pic:nvPicPr>
                        <pic:blipFill>
                          <a:blip r:embed="rId37"/>
                          <a:stretch>
                            <a:fillRect/>
                          </a:stretch>
                        </pic:blipFill>
                        <pic:spPr>
                          <a:xfrm rot="0">
                            <a:off x="0" y="0"/>
                            <a:ext cx="1780539" cy="239395"/>
                          </a:xfrm>
                          <a:prstGeom prst="rect"/>
                          <a:noFill/>
                          <a:ln cmpd="sng" cap="flat">
                            <a:noFill/>
                            <a:prstDash val="solid"/>
                            <a:round/>
                          </a:ln>
                        </pic:spPr>
                      </pic:pic>
                    </a:graphicData>
                  </a:graphic>
                </wp:inline>
              </w:drawing>
            </w:r>
          </w:p>
          <w:p>
            <w:pPr>
              <w:spacing w:line="360" w:lineRule="auto"/>
              <w:ind w:firstLineChars="200" w:firstLine="480"/>
              <w:rPr>
                <w:snapToGrid w:val="0"/>
                <w:color w:val="auto"/>
                <w:sz w:val="24"/>
                <w:szCs w:val="22"/>
              </w:rPr>
            </w:pPr>
            <w:r>
              <w:rPr>
                <w:rFonts w:hint="eastAsia"/>
                <w:snapToGrid w:val="0"/>
                <w:color w:val="auto"/>
                <w:sz w:val="24"/>
                <w:szCs w:val="22"/>
              </w:rPr>
              <w:t>式中：</w:t>
            </w:r>
            <w:r>
              <w:rPr>
                <w:rFonts w:hint="eastAsia"/>
                <w:snapToGrid w:val="0"/>
                <w:color w:val="auto"/>
                <w:sz w:val="24"/>
                <w:szCs w:val="22"/>
              </w:rPr>
              <w:drawing>
                <wp:inline distT="0" distB="0" distL="114300" distR="114300">
                  <wp:extent cx="503555" cy="239395"/>
                  <wp:effectExtent l="0" t="0" r="0" b="0"/>
                  <wp:docPr id="1058" name="图片 81"/>
                  <wp:cNvGraphicFramePr>
                    <a:graphicFrameLocks noChangeAspect="1"/>
                  </wp:cNvGraphicFramePr>
                  <a:graphic>
                    <a:graphicData uri="http://schemas.openxmlformats.org/drawingml/2006/picture">
                      <pic:pic>
                        <pic:nvPicPr>
                          <pic:cNvPr id="94" name="图片 81 94"/>
                          <pic:cNvPicPr/>
                        </pic:nvPicPr>
                        <pic:blipFill>
                          <a:blip r:embed="rId38"/>
                          <a:stretch>
                            <a:fillRect/>
                          </a:stretch>
                        </pic:blipFill>
                        <pic:spPr>
                          <a:xfrm rot="0">
                            <a:off x="0" y="0"/>
                            <a:ext cx="503555" cy="239395"/>
                          </a:xfrm>
                          <a:prstGeom prst="rect"/>
                          <a:noFill/>
                          <a:ln cmpd="sng" cap="flat">
                            <a:noFill/>
                            <a:prstDash val="solid"/>
                            <a:round/>
                          </a:ln>
                        </pic:spPr>
                      </pic:pic>
                    </a:graphicData>
                  </a:graphic>
                </wp:inline>
              </w:drawing>
            </w:r>
            <w:r>
              <w:rPr>
                <w:rFonts w:hint="eastAsia"/>
                <w:snapToGrid w:val="0"/>
                <w:color w:val="auto"/>
                <w:sz w:val="24"/>
                <w:szCs w:val="22"/>
              </w:rPr>
              <w:t>——靠近围护结构处室外N个声源</w:t>
            </w:r>
            <w:r>
              <w:rPr>
                <w:rFonts w:hint="eastAsia"/>
                <w:snapToGrid w:val="0"/>
                <w:color w:val="auto"/>
                <w:sz w:val="24"/>
                <w:szCs w:val="22"/>
              </w:rPr>
              <w:drawing>
                <wp:inline distT="0" distB="0" distL="114300" distR="114300">
                  <wp:extent cx="83185" cy="171450"/>
                  <wp:effectExtent l="0" t="0" r="1" b="0"/>
                  <wp:docPr id="1059" name="图片 82"/>
                  <wp:cNvGraphicFramePr>
                    <a:graphicFrameLocks noChangeAspect="1"/>
                  </wp:cNvGraphicFramePr>
                  <a:graphic>
                    <a:graphicData uri="http://schemas.openxmlformats.org/drawingml/2006/picture">
                      <pic:pic>
                        <pic:nvPicPr>
                          <pic:cNvPr id="95" name="图片 82 95"/>
                          <pic:cNvPicPr/>
                        </pic:nvPicPr>
                        <pic:blipFill>
                          <a:blip r:embed="rId39"/>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 w:val="24"/>
                <w:szCs w:val="22"/>
              </w:rPr>
              <w:t>倍频带的叠加声压级，dB；</w:t>
            </w:r>
          </w:p>
          <w:p>
            <w:pPr>
              <w:spacing w:line="360" w:lineRule="auto"/>
              <w:ind w:firstLineChars="200" w:firstLine="480"/>
              <w:rPr>
                <w:snapToGrid w:val="0"/>
                <w:color w:val="auto"/>
                <w:sz w:val="24"/>
                <w:szCs w:val="22"/>
              </w:rPr>
            </w:pPr>
            <w:r>
              <w:rPr>
                <w:rFonts w:hint="eastAsia"/>
                <w:snapToGrid w:val="0"/>
                <w:color w:val="auto"/>
                <w:sz w:val="24"/>
                <w:szCs w:val="22"/>
              </w:rPr>
              <w:drawing>
                <wp:inline distT="0" distB="0" distL="114300" distR="114300">
                  <wp:extent cx="239395" cy="239395"/>
                  <wp:effectExtent l="0" t="0" r="1" b="0"/>
                  <wp:docPr id="1060" name="图片 83"/>
                  <wp:cNvGraphicFramePr>
                    <a:graphicFrameLocks noChangeAspect="1"/>
                  </wp:cNvGraphicFramePr>
                  <a:graphic>
                    <a:graphicData uri="http://schemas.openxmlformats.org/drawingml/2006/picture">
                      <pic:pic>
                        <pic:nvPicPr>
                          <pic:cNvPr id="97" name="图片 83 97"/>
                          <pic:cNvPicPr/>
                        </pic:nvPicPr>
                        <pic:blipFill>
                          <a:blip r:embed="rId40"/>
                          <a:stretch>
                            <a:fillRect/>
                          </a:stretch>
                        </pic:blipFill>
                        <pic:spPr>
                          <a:xfrm rot="0">
                            <a:off x="0" y="0"/>
                            <a:ext cx="239395" cy="239395"/>
                          </a:xfrm>
                          <a:prstGeom prst="rect"/>
                          <a:noFill/>
                          <a:ln cmpd="sng" cap="flat">
                            <a:noFill/>
                            <a:prstDash val="solid"/>
                            <a:round/>
                          </a:ln>
                        </pic:spPr>
                      </pic:pic>
                    </a:graphicData>
                  </a:graphic>
                </wp:inline>
              </w:drawing>
            </w:r>
            <w:r>
              <w:rPr>
                <w:rFonts w:hint="eastAsia"/>
                <w:snapToGrid w:val="0"/>
                <w:color w:val="auto"/>
                <w:sz w:val="24"/>
                <w:szCs w:val="22"/>
              </w:rPr>
              <w:t>——围护结构</w:t>
            </w:r>
            <w:r>
              <w:rPr>
                <w:rFonts w:hint="eastAsia"/>
                <w:snapToGrid w:val="0"/>
                <w:color w:val="auto"/>
                <w:sz w:val="24"/>
                <w:szCs w:val="22"/>
              </w:rPr>
              <w:drawing>
                <wp:inline distT="0" distB="0" distL="114300" distR="114300">
                  <wp:extent cx="83185" cy="171450"/>
                  <wp:effectExtent l="0" t="0" r="1" b="0"/>
                  <wp:docPr id="1061" name="图片 84"/>
                  <wp:cNvGraphicFramePr>
                    <a:graphicFrameLocks noChangeAspect="1"/>
                  </wp:cNvGraphicFramePr>
                  <a:graphic>
                    <a:graphicData uri="http://schemas.openxmlformats.org/drawingml/2006/picture">
                      <pic:pic>
                        <pic:nvPicPr>
                          <pic:cNvPr id="98" name="图片 84 98"/>
                          <pic:cNvPicPr/>
                        </pic:nvPicPr>
                        <pic:blipFill>
                          <a:blip r:embed="rId41"/>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 w:val="24"/>
                <w:szCs w:val="22"/>
              </w:rPr>
              <w:t>倍频带的隔声量，dB；</w:t>
            </w:r>
          </w:p>
          <w:p>
            <w:pPr>
              <w:spacing w:line="360" w:lineRule="auto"/>
              <w:ind w:firstLineChars="200" w:firstLine="480"/>
              <w:rPr>
                <w:snapToGrid w:val="0"/>
                <w:color w:val="auto"/>
                <w:sz w:val="24"/>
                <w:szCs w:val="22"/>
              </w:rPr>
            </w:pPr>
            <w:r>
              <w:rPr>
                <w:rFonts w:hint="eastAsia"/>
                <w:snapToGrid w:val="0"/>
                <w:color w:val="auto"/>
                <w:sz w:val="24"/>
                <w:szCs w:val="22"/>
              </w:rPr>
              <w:t>4）将室外声源的声压级和透过面积换算成等效的室外声源，计算出中心位置位于透声面积(S)处的等效声源的倍频带声功率级。</w:t>
            </w:r>
          </w:p>
          <w:p>
            <w:pPr>
              <w:spacing w:line="240" w:lineRule="auto"/>
              <w:ind w:left="0" w:right="0" w:firstLineChars="0" w:firstLine="0"/>
              <w:jc w:val="center"/>
              <w:rPr>
                <w:snapToGrid w:val="0"/>
                <w:color w:val="auto"/>
                <w:sz w:val="24"/>
                <w:szCs w:val="22"/>
              </w:rPr>
            </w:pPr>
            <w:r>
              <w:rPr>
                <w:rFonts w:hint="eastAsia"/>
                <w:snapToGrid w:val="0"/>
                <w:color w:val="auto"/>
                <w:sz w:val="24"/>
                <w:szCs w:val="22"/>
              </w:rPr>
              <w:drawing>
                <wp:inline distT="0" distB="0" distL="114300" distR="114300">
                  <wp:extent cx="1334769" cy="239395"/>
                  <wp:effectExtent l="0" t="0" r="1" b="0"/>
                  <wp:docPr id="1062" name="图片 14"/>
                  <wp:cNvGraphicFramePr>
                    <a:graphicFrameLocks noChangeAspect="1"/>
                  </wp:cNvGraphicFramePr>
                  <a:graphic>
                    <a:graphicData uri="http://schemas.openxmlformats.org/drawingml/2006/picture">
                      <pic:pic>
                        <pic:nvPicPr>
                          <pic:cNvPr id="100" name="图片 14 100"/>
                          <pic:cNvPicPr/>
                        </pic:nvPicPr>
                        <pic:blipFill>
                          <a:blip r:embed="rId42"/>
                          <a:stretch>
                            <a:fillRect/>
                          </a:stretch>
                        </pic:blipFill>
                        <pic:spPr>
                          <a:xfrm rot="0">
                            <a:off x="0" y="0"/>
                            <a:ext cx="1334769" cy="239395"/>
                          </a:xfrm>
                          <a:prstGeom prst="rect"/>
                          <a:noFill/>
                          <a:ln cmpd="sng" cap="flat">
                            <a:noFill/>
                            <a:prstDash val="solid"/>
                            <a:round/>
                          </a:ln>
                        </pic:spPr>
                      </pic:pic>
                    </a:graphicData>
                  </a:graphic>
                </wp:inline>
              </w:drawing>
            </w:r>
          </w:p>
          <w:p>
            <w:pPr>
              <w:spacing w:line="360" w:lineRule="auto"/>
              <w:ind w:firstLineChars="200" w:firstLine="480"/>
              <w:rPr>
                <w:snapToGrid w:val="0"/>
                <w:color w:val="auto"/>
                <w:sz w:val="24"/>
                <w:szCs w:val="22"/>
              </w:rPr>
            </w:pPr>
            <w:r>
              <w:rPr>
                <w:rFonts w:hint="eastAsia"/>
                <w:snapToGrid w:val="0"/>
                <w:color w:val="auto"/>
                <w:sz w:val="24"/>
                <w:szCs w:val="22"/>
              </w:rPr>
              <w:t>5）等效室外声源的位置为围护结构的位置，其倍频带声功率级为</w:t>
            </w:r>
            <w:r>
              <w:rPr>
                <w:rFonts w:hint="eastAsia"/>
                <w:snapToGrid w:val="0"/>
                <w:color w:val="auto"/>
                <w:sz w:val="24"/>
                <w:szCs w:val="22"/>
              </w:rPr>
              <w:drawing>
                <wp:inline distT="0" distB="0" distL="114300" distR="114300">
                  <wp:extent cx="200660" cy="239395"/>
                  <wp:effectExtent l="0" t="0" r="0" b="0"/>
                  <wp:docPr id="1063" name="图片 85"/>
                  <wp:cNvGraphicFramePr>
                    <a:graphicFrameLocks noChangeAspect="1"/>
                  </wp:cNvGraphicFramePr>
                  <a:graphic>
                    <a:graphicData uri="http://schemas.openxmlformats.org/drawingml/2006/picture">
                      <pic:pic>
                        <pic:nvPicPr>
                          <pic:cNvPr id="102" name="图片 85 102"/>
                          <pic:cNvPicPr/>
                        </pic:nvPicPr>
                        <pic:blipFill>
                          <a:blip r:embed="rId43"/>
                          <a:stretch>
                            <a:fillRect/>
                          </a:stretch>
                        </pic:blipFill>
                        <pic:spPr>
                          <a:xfrm rot="0">
                            <a:off x="0" y="0"/>
                            <a:ext cx="200660" cy="239395"/>
                          </a:xfrm>
                          <a:prstGeom prst="rect"/>
                          <a:noFill/>
                          <a:ln cmpd="sng" cap="flat">
                            <a:noFill/>
                            <a:prstDash val="solid"/>
                            <a:round/>
                          </a:ln>
                        </pic:spPr>
                      </pic:pic>
                    </a:graphicData>
                  </a:graphic>
                </wp:inline>
              </w:drawing>
            </w:r>
            <w:r>
              <w:rPr>
                <w:rFonts w:hint="eastAsia"/>
                <w:snapToGrid w:val="0"/>
                <w:color w:val="auto"/>
                <w:sz w:val="24"/>
                <w:szCs w:val="22"/>
              </w:rPr>
              <w:t>，根据厂房结构(门、窗)和预测点的位置关系，分别按照面声源、线声源和点声源的衰减模式，计算预测点处的声级。</w:t>
            </w:r>
          </w:p>
          <w:p>
            <w:pPr>
              <w:spacing w:line="360" w:lineRule="auto"/>
              <w:ind w:firstLineChars="200" w:firstLine="480"/>
              <w:rPr>
                <w:snapToGrid w:val="0"/>
                <w:color w:val="auto"/>
                <w:sz w:val="24"/>
                <w:szCs w:val="22"/>
              </w:rPr>
            </w:pPr>
            <w:r>
              <w:rPr>
                <w:rFonts w:hint="eastAsia"/>
                <w:snapToGrid w:val="0"/>
                <w:color w:val="auto"/>
                <w:sz w:val="24"/>
                <w:szCs w:val="22"/>
              </w:rPr>
              <w:t>假设窗户的宽度为a，高度为b，窗户个数为n；预测点距墙中心的距离为。预测点的声级按照下述公式进行预测：</w:t>
            </w:r>
          </w:p>
          <w:p>
            <w:pPr>
              <w:keepNext w:val="0"/>
              <w:keepLines w:val="0"/>
              <w:pageBreakBefore w:val="0"/>
              <w:widowControl w:val="0"/>
              <w:kinsoku/>
              <w:wordWrap/>
              <w:overflowPunct/>
              <w:topLinePunct w:val="0"/>
              <w:autoSpaceDE/>
              <w:autoSpaceDN/>
              <w:bidi w:val="0"/>
              <w:adjustRightInd/>
              <w:snapToGrid/>
              <w:spacing w:line="360" w:lineRule="auto"/>
              <w:ind w:firstLineChars="0" w:firstLine="0"/>
              <w:jc w:val="center"/>
              <w:textAlignment w:val="auto"/>
              <w:rPr>
                <w:snapToGrid w:val="0"/>
                <w:color w:val="auto"/>
                <w:sz w:val="24"/>
                <w:szCs w:val="22"/>
              </w:rPr>
            </w:pPr>
            <w:r>
              <w:rPr>
                <w:rFonts w:hint="eastAsia"/>
                <w:snapToGrid w:val="0"/>
                <w:color w:val="auto"/>
                <w:sz w:val="24"/>
                <w:szCs w:val="22"/>
              </w:rPr>
              <w:drawing>
                <wp:inline distT="0" distB="0" distL="114300" distR="114300">
                  <wp:extent cx="4133215" cy="1666875"/>
                  <wp:effectExtent l="0" t="0" r="0" b="0"/>
                  <wp:docPr id="1064" name="图片 15"/>
                  <wp:cNvGraphicFramePr>
                    <a:graphicFrameLocks noChangeAspect="1"/>
                  </wp:cNvGraphicFramePr>
                  <a:graphic>
                    <a:graphicData uri="http://schemas.openxmlformats.org/drawingml/2006/picture">
                      <pic:pic>
                        <pic:nvPicPr>
                          <pic:cNvPr id="104" name="图片 15 104"/>
                          <pic:cNvPicPr/>
                        </pic:nvPicPr>
                        <pic:blipFill>
                          <a:blip r:embed="rId44"/>
                          <a:stretch>
                            <a:fillRect/>
                          </a:stretch>
                        </pic:blipFill>
                        <pic:spPr>
                          <a:xfrm rot="0">
                            <a:off x="0" y="0"/>
                            <a:ext cx="4133215" cy="1666875"/>
                          </a:xfrm>
                          <a:prstGeom prst="rect"/>
                          <a:noFill/>
                          <a:ln cmpd="sng" cap="flat">
                            <a:noFill/>
                            <a:prstDash val="solid"/>
                            <a:round/>
                          </a:ln>
                        </pic:spPr>
                      </pic:pic>
                    </a:graphicData>
                  </a:graphic>
                </wp:inline>
              </w:drawing>
            </w:r>
          </w:p>
          <w:p>
            <w:pPr>
              <w:spacing w:line="360" w:lineRule="auto"/>
              <w:ind w:firstLineChars="200" w:firstLine="480"/>
              <w:rPr>
                <w:snapToGrid w:val="0"/>
                <w:color w:val="auto"/>
                <w:sz w:val="24"/>
                <w:szCs w:val="22"/>
              </w:rPr>
            </w:pPr>
            <w:r>
              <w:rPr>
                <w:rFonts w:hint="eastAsia"/>
                <w:snapToGrid w:val="0"/>
                <w:color w:val="auto"/>
                <w:sz w:val="24"/>
                <w:szCs w:val="22"/>
              </w:rPr>
              <w:t>（4）预测步骤</w:t>
            </w:r>
          </w:p>
          <w:p>
            <w:pPr>
              <w:spacing w:line="360" w:lineRule="auto"/>
              <w:ind w:firstLineChars="200" w:firstLine="480"/>
              <w:rPr>
                <w:snapToGrid w:val="0"/>
                <w:color w:val="auto"/>
                <w:sz w:val="24"/>
                <w:szCs w:val="22"/>
              </w:rPr>
            </w:pPr>
            <w:r>
              <w:rPr>
                <w:rFonts w:hint="eastAsia"/>
                <w:snapToGrid w:val="0"/>
                <w:color w:val="auto"/>
                <w:sz w:val="24"/>
                <w:szCs w:val="22"/>
              </w:rPr>
              <w:t>1）</w:t>
            </w:r>
            <w:r>
              <w:rPr>
                <w:rFonts w:hint="eastAsia"/>
                <w:snapToGrid w:val="0"/>
                <w:color w:val="auto"/>
                <w:sz w:val="24"/>
                <w:szCs w:val="22"/>
                <w:lang w:val="en-US" w:eastAsia="zh-CN"/>
              </w:rPr>
              <w:t>室内声源</w:t>
            </w:r>
            <w:r>
              <w:rPr>
                <w:rFonts w:hint="eastAsia"/>
                <w:snapToGrid w:val="0"/>
                <w:color w:val="auto"/>
                <w:sz w:val="24"/>
                <w:szCs w:val="22"/>
              </w:rPr>
              <w:t>以项目车间中心为坐标原点，</w:t>
            </w:r>
            <w:r>
              <w:rPr>
                <w:rFonts w:hint="eastAsia"/>
                <w:snapToGrid w:val="0"/>
                <w:color w:val="auto"/>
                <w:sz w:val="24"/>
                <w:szCs w:val="22"/>
                <w:lang w:val="en-US" w:eastAsia="zh-CN"/>
              </w:rPr>
              <w:t>室外噪声以项目厂区中心为坐标原点</w:t>
            </w:r>
            <w:r>
              <w:rPr>
                <w:rFonts w:hint="eastAsia"/>
                <w:snapToGrid w:val="0"/>
                <w:color w:val="auto"/>
                <w:sz w:val="24"/>
                <w:szCs w:val="22"/>
                <w:lang w:eastAsia="zh-CN"/>
              </w:rPr>
              <w:t>，</w:t>
            </w:r>
            <w:r>
              <w:rPr>
                <w:rFonts w:hint="eastAsia"/>
                <w:snapToGrid w:val="0"/>
                <w:color w:val="auto"/>
                <w:sz w:val="24"/>
                <w:szCs w:val="22"/>
              </w:rPr>
              <w:t>建立一个坐标系，确定各噪声源及厂界预测点坐标。</w:t>
            </w:r>
          </w:p>
          <w:p>
            <w:pPr>
              <w:spacing w:line="360" w:lineRule="auto"/>
              <w:ind w:firstLineChars="200" w:firstLine="480"/>
              <w:rPr>
                <w:snapToGrid w:val="0"/>
                <w:color w:val="auto"/>
                <w:sz w:val="24"/>
                <w:szCs w:val="22"/>
              </w:rPr>
            </w:pPr>
            <w:r>
              <w:rPr>
                <w:rFonts w:hint="eastAsia"/>
                <w:snapToGrid w:val="0"/>
                <w:color w:val="auto"/>
                <w:sz w:val="24"/>
                <w:szCs w:val="22"/>
              </w:rPr>
              <w:t>2）根据已获得的声源参数和声波从声源到预测点的传播条件，计算出各声源单独作用在预测点时产生的A声级Li：</w:t>
            </w:r>
          </w:p>
          <w:p>
            <w:pPr>
              <w:spacing w:line="360" w:lineRule="auto"/>
              <w:ind w:firstLineChars="200" w:firstLine="480"/>
              <w:rPr>
                <w:snapToGrid w:val="0"/>
                <w:color w:val="auto"/>
                <w:sz w:val="24"/>
                <w:szCs w:val="22"/>
              </w:rPr>
            </w:pPr>
            <w:r>
              <w:rPr>
                <w:rFonts w:hint="eastAsia"/>
                <w:snapToGrid w:val="0"/>
                <w:color w:val="auto"/>
                <w:sz w:val="24"/>
                <w:szCs w:val="22"/>
              </w:rPr>
              <w:t>3）将各声源对某预测点产生的A声级按下式叠加，得到该预测点的声级值L1：</w:t>
            </w:r>
          </w:p>
          <w:p>
            <w:pPr>
              <w:spacing w:line="240" w:lineRule="auto"/>
              <w:ind w:firstLineChars="200" w:firstLine="480"/>
              <w:jc w:val="center"/>
              <w:rPr>
                <w:rFonts w:eastAsia="宋体" w:hint="eastAsia"/>
                <w:snapToGrid w:val="0"/>
                <w:color w:val="auto"/>
                <w:sz w:val="24"/>
                <w:szCs w:val="22"/>
                <w:lang w:eastAsia="zh-CN"/>
              </w:rPr>
            </w:pPr>
            <w:r>
              <w:rPr>
                <w:rFonts w:eastAsia="宋体" w:hint="eastAsia"/>
                <w:snapToGrid w:val="0"/>
                <w:color w:val="auto"/>
                <w:position w:val="-28"/>
                <w:sz w:val="24"/>
                <w:szCs w:val="22"/>
                <w:lang w:eastAsia="zh-CN"/>
              </w:rPr>
              <w:object>
                <v:shape id="_x0000_i1027" type="#_x0000_t75" filled="f" style="width:102.0pt;height:34.0pt;" o:ole="">
                  <v:imagedata r:id="rId45" o:title="image35"/>
                  <o:lock aspectratio="t"/>
                  <w10:anchorLock/>
                </v:shape>
                <o:OLEObject Type="Embed" ProgID="Equation.KSEE3" ShapeID="_x0000_i1027" DrawAspect="Content" ObjectID="_1393063353" r:id="rId46"/>
              </w:object>
            </w:r>
          </w:p>
          <w:p>
            <w:pPr>
              <w:spacing w:line="360" w:lineRule="auto"/>
              <w:ind w:firstLineChars="200" w:firstLine="480"/>
              <w:rPr>
                <w:snapToGrid w:val="0"/>
                <w:color w:val="auto"/>
                <w:sz w:val="24"/>
                <w:szCs w:val="22"/>
              </w:rPr>
            </w:pPr>
            <w:r>
              <w:rPr>
                <w:rFonts w:hint="eastAsia"/>
                <w:snapToGrid w:val="0"/>
                <w:color w:val="auto"/>
                <w:sz w:val="24"/>
                <w:szCs w:val="22"/>
              </w:rPr>
              <w:t>4）将厂界噪声现状监测值与工程噪声贡献值叠加，即得噪声预测值。</w:t>
            </w:r>
          </w:p>
          <w:p>
            <w:pPr>
              <w:spacing w:line="240" w:lineRule="auto"/>
              <w:ind w:firstLineChars="200" w:firstLine="480"/>
              <w:jc w:val="center"/>
              <w:rPr>
                <w:rFonts w:eastAsia="宋体" w:hint="eastAsia"/>
                <w:snapToGrid w:val="0"/>
                <w:color w:val="auto"/>
                <w:sz w:val="24"/>
                <w:szCs w:val="22"/>
                <w:lang w:eastAsia="zh-CN"/>
              </w:rPr>
            </w:pPr>
            <w:r>
              <w:rPr>
                <w:rFonts w:eastAsia="宋体" w:hint="eastAsia"/>
                <w:snapToGrid w:val="0"/>
                <w:color w:val="auto"/>
                <w:position w:val="-12"/>
                <w:sz w:val="24"/>
                <w:szCs w:val="22"/>
                <w:lang w:eastAsia="zh-CN"/>
              </w:rPr>
              <w:object>
                <v:shape id="_x0000_i1028" type="#_x0000_t75" filled="f" style="width:177.0pt;height:20.0pt;" o:ole="">
                  <v:imagedata r:id="rId47" o:title="image36"/>
                  <o:lock aspectratio="t"/>
                  <w10:anchorLock/>
                </v:shape>
                <o:OLEObject Type="Embed" ProgID="Equation.KSEE3" ShapeID="_x0000_i1028" DrawAspect="Content" ObjectID="_1393063354" r:id="rId48"/>
              </w:object>
            </w:r>
          </w:p>
          <w:p>
            <w:pPr>
              <w:spacing w:line="360" w:lineRule="auto"/>
              <w:ind w:firstLineChars="200" w:firstLine="480"/>
              <w:rPr>
                <w:snapToGrid w:val="0"/>
                <w:color w:val="auto"/>
                <w:sz w:val="24"/>
                <w:szCs w:val="22"/>
              </w:rPr>
            </w:pPr>
            <w:r>
              <w:rPr>
                <w:rFonts w:hint="eastAsia"/>
                <w:snapToGrid w:val="0"/>
                <w:color w:val="auto"/>
                <w:sz w:val="24"/>
                <w:szCs w:val="22"/>
              </w:rPr>
              <w:t>（5）预测结果与评价</w:t>
            </w:r>
          </w:p>
          <w:p>
            <w:pPr>
              <w:spacing w:line="360" w:lineRule="auto"/>
              <w:ind w:firstLineChars="200" w:firstLine="480"/>
              <w:rPr>
                <w:snapToGrid w:val="0"/>
                <w:color w:val="auto"/>
                <w:sz w:val="24"/>
                <w:szCs w:val="22"/>
              </w:rPr>
            </w:pPr>
            <w:r>
              <w:rPr>
                <w:rFonts w:hint="eastAsia"/>
                <w:snapToGrid w:val="0"/>
                <w:color w:val="auto"/>
                <w:sz w:val="24"/>
                <w:szCs w:val="22"/>
              </w:rPr>
              <w:t>厂界噪声预测结果见表4-1</w:t>
            </w:r>
            <w:r>
              <w:rPr>
                <w:rFonts w:hint="eastAsia"/>
                <w:snapToGrid w:val="0"/>
                <w:color w:val="auto"/>
                <w:sz w:val="24"/>
                <w:szCs w:val="22"/>
                <w:lang w:val="en-US" w:eastAsia="zh-CN"/>
              </w:rPr>
              <w:t>7</w:t>
            </w:r>
            <w:r>
              <w:rPr>
                <w:rFonts w:hint="eastAsia"/>
                <w:snapToGrid w:val="0"/>
                <w:color w:val="auto"/>
                <w:sz w:val="24"/>
                <w:szCs w:val="22"/>
              </w:rPr>
              <w:t>。</w:t>
            </w:r>
          </w:p>
          <w:p>
            <w:pPr>
              <w:pStyle w:val="24"/>
              <w:bidi w:val="0"/>
              <w:rPr>
                <w:color w:val="auto"/>
              </w:rPr>
            </w:pPr>
            <w:r>
              <w:rPr>
                <w:color w:val="auto"/>
              </w:rPr>
              <w:t>表4-1</w:t>
            </w:r>
            <w:r>
              <w:rPr>
                <w:rFonts w:hint="eastAsia"/>
                <w:color w:val="auto"/>
                <w:lang w:val="en-US" w:eastAsia="zh-CN"/>
              </w:rPr>
              <w:t>7</w:t>
            </w:r>
            <w:r>
              <w:rPr>
                <w:rFonts w:hint="eastAsia"/>
                <w:color w:val="auto"/>
              </w:rPr>
              <w:t xml:space="preserve">  </w:t>
            </w:r>
            <w:r>
              <w:rPr>
                <w:rFonts w:hint="eastAsia"/>
                <w:color w:val="auto"/>
                <w:lang w:val="en-US" w:eastAsia="zh-CN"/>
              </w:rPr>
              <w:t>本项目完成后</w:t>
            </w:r>
            <w:r>
              <w:rPr>
                <w:color w:val="auto"/>
              </w:rPr>
              <w:t>厂界噪声</w:t>
            </w:r>
            <w:r>
              <w:rPr>
                <w:rFonts w:hint="eastAsia"/>
                <w:color w:val="auto"/>
              </w:rPr>
              <w:t>预测</w:t>
            </w:r>
            <w:r>
              <w:rPr>
                <w:color w:val="auto"/>
              </w:rPr>
              <w:t>值结果一览表</w:t>
            </w:r>
            <w:r>
              <w:rPr>
                <w:rFonts w:hint="eastAsia"/>
                <w:color w:val="auto"/>
              </w:rPr>
              <w:t xml:space="preserve">        </w:t>
            </w:r>
            <w:r>
              <w:rPr>
                <w:color w:val="auto"/>
              </w:rPr>
              <w:t>单位：dB(A)</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380"/>
              <w:gridCol w:w="1513"/>
              <w:gridCol w:w="1493"/>
              <w:gridCol w:w="1454"/>
              <w:gridCol w:w="1580"/>
            </w:tblGrid>
            <w:tr>
              <w:trPr>
                <w:trHeight w:val="23"/>
              </w:trPr>
              <w:tc>
                <w:tcPr>
                  <w:tcW w:w="565" w:type="dxa"/>
                  <w:vMerge w:val="restart"/>
                  <w:vAlign w:val="center"/>
                </w:tcPr>
                <w:p>
                  <w:pPr>
                    <w:pStyle w:val="23"/>
                    <w:bidi w:val="0"/>
                    <w:rPr>
                      <w:color w:val="auto"/>
                    </w:rPr>
                  </w:pPr>
                  <w:r>
                    <w:rPr>
                      <w:color w:val="auto"/>
                    </w:rPr>
                    <w:t>预测点</w:t>
                  </w:r>
                </w:p>
              </w:tc>
              <w:tc>
                <w:tcPr>
                  <w:tcW w:w="359" w:type="dxa"/>
                  <w:vAlign w:val="center"/>
                </w:tcPr>
                <w:p>
                  <w:pPr>
                    <w:pStyle w:val="23"/>
                    <w:bidi w:val="0"/>
                    <w:rPr>
                      <w:color w:val="auto"/>
                    </w:rPr>
                  </w:pPr>
                  <w:r>
                    <w:rPr>
                      <w:color w:val="auto"/>
                    </w:rPr>
                    <w:t>东厂界</w:t>
                  </w:r>
                </w:p>
              </w:tc>
              <w:tc>
                <w:tcPr>
                  <w:tcW w:w="354" w:type="dxa"/>
                  <w:vAlign w:val="center"/>
                </w:tcPr>
                <w:p>
                  <w:pPr>
                    <w:pStyle w:val="23"/>
                    <w:bidi w:val="0"/>
                    <w:rPr>
                      <w:color w:val="auto"/>
                    </w:rPr>
                  </w:pPr>
                  <w:r>
                    <w:rPr>
                      <w:rFonts w:hint="eastAsia"/>
                      <w:color w:val="auto"/>
                    </w:rPr>
                    <w:t>南</w:t>
                  </w:r>
                  <w:r>
                    <w:rPr>
                      <w:color w:val="auto"/>
                    </w:rPr>
                    <w:t>厂界</w:t>
                  </w:r>
                </w:p>
              </w:tc>
              <w:tc>
                <w:tcPr>
                  <w:tcW w:w="345" w:type="dxa"/>
                  <w:vAlign w:val="center"/>
                </w:tcPr>
                <w:p>
                  <w:pPr>
                    <w:pStyle w:val="23"/>
                    <w:bidi w:val="0"/>
                    <w:rPr>
                      <w:color w:val="auto"/>
                    </w:rPr>
                  </w:pPr>
                  <w:r>
                    <w:rPr>
                      <w:rFonts w:hint="eastAsia"/>
                      <w:color w:val="auto"/>
                    </w:rPr>
                    <w:t>西</w:t>
                  </w:r>
                  <w:r>
                    <w:rPr>
                      <w:color w:val="auto"/>
                    </w:rPr>
                    <w:t>厂界</w:t>
                  </w:r>
                </w:p>
              </w:tc>
              <w:tc>
                <w:tcPr>
                  <w:tcW w:w="375" w:type="dxa"/>
                  <w:vAlign w:val="center"/>
                </w:tcPr>
                <w:p>
                  <w:pPr>
                    <w:pStyle w:val="23"/>
                    <w:bidi w:val="0"/>
                    <w:rPr>
                      <w:color w:val="auto"/>
                    </w:rPr>
                  </w:pPr>
                  <w:r>
                    <w:rPr>
                      <w:rFonts w:hint="eastAsia"/>
                      <w:color w:val="auto"/>
                    </w:rPr>
                    <w:t>北</w:t>
                  </w:r>
                  <w:r>
                    <w:rPr>
                      <w:color w:val="auto"/>
                    </w:rPr>
                    <w:t>厂界</w:t>
                  </w:r>
                </w:p>
              </w:tc>
            </w:tr>
            <w:tr>
              <w:trPr>
                <w:trHeight w:val="23"/>
              </w:trPr>
              <w:tc>
                <w:tcPr>
                  <w:tcW w:w="565" w:type="dxa"/>
                  <w:vMerge/>
                  <w:vAlign w:val="center"/>
                </w:tcPr>
                <w:p/>
              </w:tc>
              <w:tc>
                <w:tcPr>
                  <w:tcW w:w="359" w:type="dxa"/>
                  <w:tcBorders>
                    <w:left w:val="single" w:sz="4" w:space="0" w:color="auto"/>
                  </w:tcBorders>
                  <w:vAlign w:val="center"/>
                </w:tcPr>
                <w:p>
                  <w:pPr>
                    <w:pStyle w:val="23"/>
                    <w:bidi w:val="0"/>
                    <w:rPr>
                      <w:color w:val="auto"/>
                    </w:rPr>
                  </w:pPr>
                  <w:r>
                    <w:rPr>
                      <w:color w:val="auto"/>
                    </w:rPr>
                    <w:t>昼间</w:t>
                  </w:r>
                </w:p>
              </w:tc>
              <w:tc>
                <w:tcPr>
                  <w:tcW w:w="354" w:type="dxa"/>
                  <w:tcBorders>
                    <w:left w:val="single" w:sz="4" w:space="0" w:color="auto"/>
                  </w:tcBorders>
                  <w:vAlign w:val="center"/>
                </w:tcPr>
                <w:p>
                  <w:pPr>
                    <w:pStyle w:val="23"/>
                    <w:bidi w:val="0"/>
                    <w:rPr>
                      <w:color w:val="auto"/>
                    </w:rPr>
                  </w:pPr>
                  <w:r>
                    <w:rPr>
                      <w:color w:val="auto"/>
                    </w:rPr>
                    <w:t>昼间</w:t>
                  </w:r>
                </w:p>
              </w:tc>
              <w:tc>
                <w:tcPr>
                  <w:tcW w:w="345" w:type="dxa"/>
                  <w:tcBorders>
                    <w:left w:val="single" w:sz="4" w:space="0" w:color="auto"/>
                  </w:tcBorders>
                  <w:vAlign w:val="center"/>
                </w:tcPr>
                <w:p>
                  <w:pPr>
                    <w:pStyle w:val="23"/>
                    <w:bidi w:val="0"/>
                    <w:rPr>
                      <w:color w:val="auto"/>
                    </w:rPr>
                  </w:pPr>
                  <w:r>
                    <w:rPr>
                      <w:color w:val="auto"/>
                    </w:rPr>
                    <w:t>昼间</w:t>
                  </w:r>
                </w:p>
              </w:tc>
              <w:tc>
                <w:tcPr>
                  <w:tcW w:w="375" w:type="dxa"/>
                  <w:tcBorders>
                    <w:left w:val="single" w:sz="4" w:space="0" w:color="auto"/>
                  </w:tcBorders>
                  <w:vAlign w:val="center"/>
                </w:tcPr>
                <w:p>
                  <w:pPr>
                    <w:pStyle w:val="23"/>
                    <w:bidi w:val="0"/>
                    <w:rPr>
                      <w:color w:val="auto"/>
                    </w:rPr>
                  </w:pPr>
                  <w:r>
                    <w:rPr>
                      <w:color w:val="auto"/>
                    </w:rPr>
                    <w:t>昼间</w:t>
                  </w:r>
                </w:p>
              </w:tc>
            </w:tr>
            <w:tr>
              <w:trPr>
                <w:trHeight w:val="23"/>
              </w:trPr>
              <w:tc>
                <w:tcPr>
                  <w:tcW w:w="565" w:type="dxa"/>
                  <w:vAlign w:val="center"/>
                </w:tcPr>
                <w:p>
                  <w:pPr>
                    <w:pStyle w:val="23"/>
                    <w:bidi w:val="0"/>
                    <w:rPr>
                      <w:color w:val="auto"/>
                    </w:rPr>
                  </w:pPr>
                  <w:r>
                    <w:rPr>
                      <w:color w:val="auto"/>
                    </w:rPr>
                    <w:t>贡献值</w:t>
                  </w:r>
                </w:p>
              </w:tc>
              <w:tc>
                <w:tcPr>
                  <w:tcW w:w="359" w:type="dxa"/>
                  <w:tcBorders>
                    <w:left w:val="single" w:sz="4" w:space="0" w:color="auto"/>
                  </w:tcBorders>
                  <w:vAlign w:val="center"/>
                </w:tcPr>
                <w:p>
                  <w:pPr>
                    <w:pStyle w:val="23"/>
                    <w:bidi w:val="0"/>
                    <w:rPr>
                      <w:color w:val="auto"/>
                      <w:lang w:val="en-US" w:eastAsia="zh-CN"/>
                    </w:rPr>
                  </w:pPr>
                  <w:r>
                    <w:rPr>
                      <w:rFonts w:hint="eastAsia"/>
                      <w:color w:val="auto"/>
                      <w:lang w:val="en-US" w:eastAsia="zh-CN"/>
                    </w:rPr>
                    <w:t>50.9</w:t>
                  </w:r>
                </w:p>
              </w:tc>
              <w:tc>
                <w:tcPr>
                  <w:tcW w:w="354" w:type="dxa"/>
                  <w:tcBorders>
                    <w:left w:val="single" w:sz="4" w:space="0" w:color="auto"/>
                  </w:tcBorders>
                  <w:vAlign w:val="center"/>
                </w:tcPr>
                <w:p>
                  <w:pPr>
                    <w:pStyle w:val="23"/>
                    <w:bidi w:val="0"/>
                    <w:rPr>
                      <w:color w:val="auto"/>
                      <w:lang w:val="en-US" w:eastAsia="zh-CN"/>
                    </w:rPr>
                  </w:pPr>
                  <w:r>
                    <w:rPr>
                      <w:rFonts w:hint="eastAsia"/>
                      <w:color w:val="auto"/>
                      <w:lang w:val="en-US" w:eastAsia="zh-CN"/>
                    </w:rPr>
                    <w:t>52.3</w:t>
                  </w:r>
                </w:p>
              </w:tc>
              <w:tc>
                <w:tcPr>
                  <w:tcW w:w="345" w:type="dxa"/>
                  <w:tcBorders>
                    <w:left w:val="single" w:sz="4" w:space="0" w:color="auto"/>
                  </w:tcBorders>
                  <w:vAlign w:val="center"/>
                </w:tcPr>
                <w:p>
                  <w:pPr>
                    <w:pStyle w:val="23"/>
                    <w:bidi w:val="0"/>
                    <w:rPr>
                      <w:color w:val="auto"/>
                      <w:lang w:val="en-US" w:eastAsia="zh-CN"/>
                    </w:rPr>
                  </w:pPr>
                  <w:r>
                    <w:rPr>
                      <w:rFonts w:hint="eastAsia"/>
                      <w:color w:val="auto"/>
                      <w:lang w:val="en-US" w:eastAsia="zh-CN"/>
                    </w:rPr>
                    <w:t>63.2</w:t>
                  </w:r>
                </w:p>
              </w:tc>
              <w:tc>
                <w:tcPr>
                  <w:tcW w:w="375" w:type="dxa"/>
                  <w:tcBorders>
                    <w:left w:val="single" w:sz="4" w:space="0" w:color="auto"/>
                  </w:tcBorders>
                  <w:vAlign w:val="center"/>
                </w:tcPr>
                <w:p>
                  <w:pPr>
                    <w:pStyle w:val="23"/>
                    <w:bidi w:val="0"/>
                    <w:rPr>
                      <w:color w:val="auto"/>
                      <w:lang w:val="en-US" w:eastAsia="zh-CN"/>
                    </w:rPr>
                  </w:pPr>
                  <w:r>
                    <w:rPr>
                      <w:rFonts w:hint="eastAsia"/>
                      <w:color w:val="auto"/>
                      <w:lang w:val="en-US" w:eastAsia="zh-CN"/>
                    </w:rPr>
                    <w:t>60.3</w:t>
                  </w:r>
                </w:p>
              </w:tc>
            </w:tr>
            <w:tr>
              <w:trPr>
                <w:trHeight w:val="23"/>
              </w:trPr>
              <w:tc>
                <w:tcPr>
                  <w:tcW w:w="565" w:type="dxa"/>
                  <w:vAlign w:val="center"/>
                </w:tcPr>
                <w:p>
                  <w:pPr>
                    <w:pStyle w:val="23"/>
                    <w:bidi w:val="0"/>
                    <w:rPr>
                      <w:color w:val="auto"/>
                    </w:rPr>
                  </w:pPr>
                  <w:r>
                    <w:rPr>
                      <w:rFonts w:hint="eastAsia"/>
                      <w:color w:val="auto"/>
                    </w:rPr>
                    <w:t>标准值</w:t>
                  </w:r>
                </w:p>
              </w:tc>
              <w:tc>
                <w:tcPr>
                  <w:tcW w:w="359" w:type="dxa"/>
                  <w:tcBorders>
                    <w:left w:val="single" w:sz="4" w:space="0" w:color="auto"/>
                  </w:tcBorders>
                  <w:vAlign w:val="center"/>
                </w:tcPr>
                <w:p>
                  <w:pPr>
                    <w:pStyle w:val="23"/>
                    <w:bidi w:val="0"/>
                    <w:rPr>
                      <w:color w:val="auto"/>
                    </w:rPr>
                  </w:pPr>
                  <w:r>
                    <w:rPr>
                      <w:rFonts w:hint="eastAsia"/>
                      <w:color w:val="auto"/>
                    </w:rPr>
                    <w:t>65</w:t>
                  </w:r>
                </w:p>
              </w:tc>
              <w:tc>
                <w:tcPr>
                  <w:tcW w:w="354" w:type="dxa"/>
                  <w:tcBorders>
                    <w:left w:val="single" w:sz="4" w:space="0" w:color="auto"/>
                  </w:tcBorders>
                  <w:vAlign w:val="center"/>
                </w:tcPr>
                <w:p>
                  <w:pPr>
                    <w:pStyle w:val="23"/>
                    <w:bidi w:val="0"/>
                    <w:rPr>
                      <w:color w:val="auto"/>
                    </w:rPr>
                  </w:pPr>
                  <w:r>
                    <w:rPr>
                      <w:rFonts w:hint="eastAsia"/>
                      <w:color w:val="auto"/>
                    </w:rPr>
                    <w:t>65</w:t>
                  </w:r>
                </w:p>
              </w:tc>
              <w:tc>
                <w:tcPr>
                  <w:tcW w:w="345" w:type="dxa"/>
                  <w:tcBorders>
                    <w:left w:val="single" w:sz="4" w:space="0" w:color="auto"/>
                  </w:tcBorders>
                  <w:vAlign w:val="center"/>
                </w:tcPr>
                <w:p>
                  <w:pPr>
                    <w:pStyle w:val="23"/>
                    <w:bidi w:val="0"/>
                    <w:rPr>
                      <w:color w:val="auto"/>
                      <w:lang w:val="en-US" w:eastAsia="zh-CN"/>
                    </w:rPr>
                  </w:pPr>
                  <w:r>
                    <w:rPr>
                      <w:rFonts w:hint="eastAsia"/>
                      <w:color w:val="auto"/>
                      <w:lang w:val="en-US" w:eastAsia="zh-CN"/>
                    </w:rPr>
                    <w:t>65</w:t>
                  </w:r>
                </w:p>
              </w:tc>
              <w:tc>
                <w:tcPr>
                  <w:tcW w:w="375" w:type="dxa"/>
                  <w:tcBorders>
                    <w:left w:val="single" w:sz="4" w:space="0" w:color="auto"/>
                  </w:tcBorders>
                  <w:vAlign w:val="center"/>
                </w:tcPr>
                <w:p>
                  <w:pPr>
                    <w:pStyle w:val="23"/>
                    <w:bidi w:val="0"/>
                    <w:rPr>
                      <w:color w:val="auto"/>
                    </w:rPr>
                  </w:pPr>
                  <w:r>
                    <w:rPr>
                      <w:rFonts w:hint="eastAsia"/>
                      <w:color w:val="auto"/>
                    </w:rPr>
                    <w:t>65</w:t>
                  </w:r>
                </w:p>
              </w:tc>
            </w:tr>
          </w:tbl>
          <w:p>
            <w:pPr>
              <w:spacing w:line="360" w:lineRule="auto"/>
              <w:ind w:firstLineChars="195" w:firstLine="468"/>
              <w:rPr>
                <w:color w:val="auto"/>
                <w:szCs w:val="24"/>
              </w:rPr>
            </w:pPr>
            <w:r>
              <w:rPr>
                <w:color w:val="auto"/>
              </w:rPr>
              <w:t>经采取以上措施，项目运营期厂界昼间</w:t>
            </w:r>
            <w:r>
              <w:rPr>
                <w:color w:val="auto"/>
                <w:szCs w:val="24"/>
              </w:rPr>
              <w:t>噪声</w:t>
            </w:r>
            <w:r>
              <w:rPr>
                <w:rFonts w:hint="eastAsia"/>
                <w:color w:val="auto"/>
                <w:szCs w:val="24"/>
                <w:lang w:val="en-US" w:eastAsia="zh-CN"/>
              </w:rPr>
              <w:t>贡献</w:t>
            </w:r>
            <w:r>
              <w:rPr>
                <w:color w:val="auto"/>
                <w:szCs w:val="24"/>
              </w:rPr>
              <w:t>值为</w:t>
            </w:r>
            <w:r>
              <w:rPr>
                <w:rFonts w:hint="eastAsia"/>
                <w:color w:val="auto"/>
                <w:szCs w:val="24"/>
                <w:lang w:val="en-US" w:eastAsia="zh-CN"/>
                <w:highlight w:val="none"/>
              </w:rPr>
              <w:t>50.9-63.2</w:t>
            </w:r>
            <w:r>
              <w:rPr>
                <w:color w:val="auto"/>
                <w:szCs w:val="24"/>
                <w:highlight w:val="none"/>
              </w:rPr>
              <w:t>dB(A)</w:t>
            </w:r>
            <w:r>
              <w:rPr>
                <w:rFonts w:hint="eastAsia"/>
                <w:color w:val="auto"/>
                <w:szCs w:val="24"/>
                <w:lang w:eastAsia="zh-CN"/>
                <w:highlight w:val="none"/>
              </w:rPr>
              <w:t>，</w:t>
            </w:r>
            <w:r>
              <w:rPr>
                <w:color w:val="auto"/>
              </w:rPr>
              <w:t>满足《工业企业厂界环境噪声排放标准》（GB12348-2008）3类标准</w:t>
            </w:r>
            <w:r>
              <w:rPr>
                <w:rFonts w:hint="eastAsia"/>
                <w:color w:val="auto"/>
                <w:lang w:eastAsia="zh-CN"/>
              </w:rPr>
              <w:t>，</w:t>
            </w:r>
            <w:r>
              <w:rPr>
                <w:color w:val="auto"/>
                <w:szCs w:val="24"/>
              </w:rPr>
              <w:t>综上，</w:t>
            </w:r>
            <w:r>
              <w:rPr>
                <w:color w:val="auto"/>
              </w:rPr>
              <w:t>项目对周围声环境影响较小</w:t>
            </w:r>
            <w:r>
              <w:rPr>
                <w:color w:val="auto"/>
                <w:szCs w:val="24"/>
              </w:rPr>
              <w:t>。</w:t>
            </w:r>
          </w:p>
          <w:p>
            <w:pPr>
              <w:spacing w:line="360" w:lineRule="auto"/>
              <w:ind w:firstLineChars="195" w:firstLine="468"/>
              <w:rPr>
                <w:color w:val="auto"/>
                <w:szCs w:val="24"/>
              </w:rPr>
            </w:pPr>
          </w:p>
          <w:p>
            <w:pPr>
              <w:spacing w:line="360" w:lineRule="auto"/>
              <w:ind w:firstLineChars="200" w:firstLine="480"/>
              <w:rPr>
                <w:color w:val="auto"/>
                <w:sz w:val="24"/>
              </w:rPr>
            </w:pPr>
            <w:r>
              <w:rPr>
                <w:color w:val="auto"/>
                <w:sz w:val="24"/>
              </w:rPr>
              <w:t>根据《排污单位自行监测技术指南</w:t>
            </w:r>
            <w:r>
              <w:rPr>
                <w:rFonts w:hint="eastAsia"/>
                <w:color w:val="auto"/>
                <w:sz w:val="24"/>
                <w:lang w:val="en-US" w:eastAsia="zh-CN"/>
              </w:rPr>
              <w:t xml:space="preserve"> </w:t>
            </w:r>
            <w:r>
              <w:rPr>
                <w:color w:val="auto"/>
                <w:sz w:val="24"/>
              </w:rPr>
              <w:t>总则》</w:t>
            </w:r>
            <w:r>
              <w:rPr>
                <w:rFonts w:hint="eastAsia"/>
                <w:color w:val="auto"/>
                <w:sz w:val="24"/>
                <w:lang w:eastAsia="zh-CN"/>
              </w:rPr>
              <w:t>（</w:t>
            </w:r>
            <w:r>
              <w:rPr>
                <w:color w:val="auto"/>
                <w:sz w:val="24"/>
              </w:rPr>
              <w:t>HJ819-2017</w:t>
            </w:r>
            <w:r>
              <w:rPr>
                <w:rFonts w:hint="eastAsia"/>
                <w:color w:val="auto"/>
                <w:sz w:val="24"/>
                <w:lang w:eastAsia="zh-CN"/>
              </w:rPr>
              <w:t>）</w:t>
            </w:r>
            <w:r>
              <w:rPr>
                <w:color w:val="auto"/>
                <w:sz w:val="24"/>
              </w:rPr>
              <w:t>可知，厂界环境噪声每季度至少开展一次监测，监测方案见下表。</w:t>
            </w:r>
          </w:p>
          <w:p>
            <w:pPr>
              <w:pStyle w:val="24"/>
              <w:bidi w:val="0"/>
              <w:spacing w:line="240" w:lineRule="auto"/>
              <w:rPr>
                <w:color w:val="auto"/>
              </w:rPr>
            </w:pPr>
            <w:r>
              <w:rPr>
                <w:color w:val="auto"/>
              </w:rPr>
              <w:t>表4-1</w:t>
            </w:r>
            <w:r>
              <w:rPr>
                <w:rFonts w:hint="eastAsia"/>
                <w:color w:val="auto"/>
                <w:lang w:val="en-US" w:eastAsia="zh-CN"/>
              </w:rPr>
              <w:t>8</w:t>
            </w:r>
            <w:r>
              <w:rPr>
                <w:rFonts w:hint="eastAsia"/>
                <w:color w:val="auto"/>
              </w:rPr>
              <w:t xml:space="preserve">   </w:t>
            </w:r>
            <w:r>
              <w:rPr>
                <w:color w:val="auto"/>
              </w:rPr>
              <w:t>噪声监测要求</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53"/>
              <w:gridCol w:w="1665"/>
              <w:gridCol w:w="1266"/>
              <w:gridCol w:w="1335"/>
              <w:gridCol w:w="3396"/>
            </w:tblGrid>
            <w:tr>
              <w:tc>
                <w:tcPr>
                  <w:tcW w:w="447" w:type="pct"/>
                  <w:tcBorders>
                    <w:tl2br w:val="nil"/>
                    <w:tr2bl w:val="nil"/>
                  </w:tcBorders>
                  <w:vAlign w:val="center"/>
                </w:tcPr>
                <w:p>
                  <w:pPr>
                    <w:pStyle w:val="23"/>
                    <w:bidi w:val="0"/>
                    <w:rPr>
                      <w:color w:val="auto"/>
                    </w:rPr>
                  </w:pPr>
                  <w:r>
                    <w:rPr>
                      <w:color w:val="auto"/>
                    </w:rPr>
                    <w:t>类别</w:t>
                  </w:r>
                </w:p>
              </w:tc>
              <w:tc>
                <w:tcPr>
                  <w:tcW w:w="989" w:type="pct"/>
                  <w:tcBorders>
                    <w:tl2br w:val="nil"/>
                    <w:tr2bl w:val="nil"/>
                  </w:tcBorders>
                  <w:vAlign w:val="center"/>
                </w:tcPr>
                <w:p>
                  <w:pPr>
                    <w:pStyle w:val="23"/>
                    <w:bidi w:val="0"/>
                    <w:rPr>
                      <w:color w:val="auto"/>
                    </w:rPr>
                  </w:pPr>
                  <w:r>
                    <w:rPr>
                      <w:color w:val="auto"/>
                    </w:rPr>
                    <w:t>监测点位</w:t>
                  </w:r>
                </w:p>
              </w:tc>
              <w:tc>
                <w:tcPr>
                  <w:tcW w:w="752" w:type="pct"/>
                  <w:tcBorders>
                    <w:tl2br w:val="nil"/>
                    <w:tr2bl w:val="nil"/>
                  </w:tcBorders>
                  <w:vAlign w:val="center"/>
                </w:tcPr>
                <w:p>
                  <w:pPr>
                    <w:pStyle w:val="23"/>
                    <w:bidi w:val="0"/>
                    <w:rPr>
                      <w:color w:val="auto"/>
                    </w:rPr>
                  </w:pPr>
                  <w:r>
                    <w:rPr>
                      <w:color w:val="auto"/>
                    </w:rPr>
                    <w:t>监测指标</w:t>
                  </w:r>
                </w:p>
              </w:tc>
              <w:tc>
                <w:tcPr>
                  <w:tcW w:w="793" w:type="pct"/>
                  <w:tcBorders>
                    <w:tl2br w:val="nil"/>
                    <w:tr2bl w:val="nil"/>
                  </w:tcBorders>
                  <w:vAlign w:val="center"/>
                </w:tcPr>
                <w:p>
                  <w:pPr>
                    <w:pStyle w:val="23"/>
                    <w:bidi w:val="0"/>
                    <w:rPr>
                      <w:color w:val="auto"/>
                    </w:rPr>
                  </w:pPr>
                  <w:r>
                    <w:rPr>
                      <w:color w:val="auto"/>
                    </w:rPr>
                    <w:t>监测频次</w:t>
                  </w:r>
                </w:p>
              </w:tc>
              <w:tc>
                <w:tcPr>
                  <w:tcW w:w="2017" w:type="pct"/>
                  <w:tcBorders>
                    <w:tl2br w:val="nil"/>
                    <w:tr2bl w:val="nil"/>
                  </w:tcBorders>
                  <w:vAlign w:val="center"/>
                </w:tcPr>
                <w:p>
                  <w:pPr>
                    <w:pStyle w:val="23"/>
                    <w:bidi w:val="0"/>
                    <w:rPr>
                      <w:color w:val="auto"/>
                    </w:rPr>
                  </w:pPr>
                  <w:r>
                    <w:rPr>
                      <w:color w:val="auto"/>
                    </w:rPr>
                    <w:t>执行排放标准</w:t>
                  </w:r>
                </w:p>
              </w:tc>
            </w:tr>
            <w:tr>
              <w:trPr>
                <w:trHeight w:val="775"/>
              </w:trPr>
              <w:tc>
                <w:tcPr>
                  <w:tcW w:w="447" w:type="pct"/>
                  <w:tcBorders>
                    <w:tl2br w:val="nil"/>
                    <w:tr2bl w:val="nil"/>
                  </w:tcBorders>
                  <w:vAlign w:val="center"/>
                </w:tcPr>
                <w:p>
                  <w:pPr>
                    <w:pStyle w:val="23"/>
                    <w:bidi w:val="0"/>
                    <w:rPr>
                      <w:color w:val="auto"/>
                    </w:rPr>
                  </w:pPr>
                  <w:r>
                    <w:rPr>
                      <w:color w:val="auto"/>
                    </w:rPr>
                    <w:t>噪声</w:t>
                  </w:r>
                </w:p>
              </w:tc>
              <w:tc>
                <w:tcPr>
                  <w:tcW w:w="989"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厂界</w:t>
                  </w:r>
                </w:p>
              </w:tc>
              <w:tc>
                <w:tcPr>
                  <w:tcW w:w="752" w:type="pct"/>
                  <w:tcBorders>
                    <w:tl2br w:val="nil"/>
                    <w:tr2bl w:val="nil"/>
                  </w:tcBorders>
                  <w:vAlign w:val="center"/>
                </w:tcPr>
                <w:p>
                  <w:pPr>
                    <w:pStyle w:val="23"/>
                    <w:bidi w:val="0"/>
                    <w:rPr>
                      <w:color w:val="auto"/>
                    </w:rPr>
                  </w:pPr>
                  <w:r>
                    <w:rPr>
                      <w:color w:val="auto"/>
                    </w:rPr>
                    <w:t>等效连续A声级</w:t>
                  </w:r>
                </w:p>
              </w:tc>
              <w:tc>
                <w:tcPr>
                  <w:tcW w:w="793" w:type="pct"/>
                  <w:tcBorders>
                    <w:tl2br w:val="nil"/>
                    <w:tr2bl w:val="nil"/>
                  </w:tcBorders>
                  <w:vAlign w:val="center"/>
                </w:tcPr>
                <w:p>
                  <w:pPr>
                    <w:pStyle w:val="23"/>
                    <w:bidi w:val="0"/>
                    <w:rPr>
                      <w:color w:val="auto"/>
                    </w:rPr>
                  </w:pPr>
                  <w:r>
                    <w:rPr>
                      <w:color w:val="auto"/>
                    </w:rPr>
                    <w:t>1次/季度</w:t>
                  </w:r>
                </w:p>
              </w:tc>
              <w:tc>
                <w:tcPr>
                  <w:tcW w:w="2017" w:type="pct"/>
                  <w:tcBorders>
                    <w:tl2br w:val="nil"/>
                    <w:tr2bl w:val="nil"/>
                  </w:tcBorders>
                  <w:vAlign w:val="center"/>
                </w:tcPr>
                <w:p>
                  <w:pPr>
                    <w:pStyle w:val="23"/>
                    <w:bidi w:val="0"/>
                    <w:rPr>
                      <w:color w:val="auto"/>
                    </w:rPr>
                  </w:pPr>
                  <w:r>
                    <w:rPr>
                      <w:color w:val="auto"/>
                    </w:rPr>
                    <w:t>《工业企业厂界环境噪声排放标准》（GB12348-2008）3类标准</w:t>
                  </w:r>
                </w:p>
              </w:tc>
            </w:tr>
          </w:tbl>
          <w:p>
            <w:pPr>
              <w:spacing w:line="360" w:lineRule="auto"/>
              <w:ind w:firstLineChars="200" w:firstLine="480"/>
              <w:rPr>
                <w:b/>
                <w:bCs/>
                <w:snapToGrid w:val="0"/>
                <w:color w:val="auto"/>
                <w:kern w:val="0"/>
                <w:sz w:val="24"/>
              </w:rPr>
            </w:pPr>
            <w:r>
              <w:rPr>
                <w:rFonts w:hint="eastAsia"/>
                <w:b/>
                <w:bCs/>
                <w:snapToGrid w:val="0"/>
                <w:color w:val="auto"/>
                <w:kern w:val="0"/>
                <w:sz w:val="24"/>
                <w:lang w:val="en-US" w:eastAsia="zh-CN"/>
              </w:rPr>
              <w:t>四</w:t>
            </w:r>
            <w:r>
              <w:rPr>
                <w:b/>
                <w:bCs/>
                <w:snapToGrid w:val="0"/>
                <w:color w:val="auto"/>
                <w:kern w:val="0"/>
                <w:sz w:val="24"/>
              </w:rPr>
              <w:t>、固体废物</w:t>
            </w:r>
          </w:p>
          <w:p>
            <w:pPr>
              <w:spacing w:line="360" w:lineRule="auto"/>
              <w:ind w:firstLineChars="200" w:firstLine="480"/>
              <w:rPr>
                <w:color w:val="auto"/>
                <w:kern w:val="0"/>
                <w:sz w:val="24"/>
              </w:rPr>
            </w:pPr>
            <w:r>
              <w:rPr>
                <w:rFonts w:hint="eastAsia"/>
                <w:color w:val="auto"/>
                <w:sz w:val="24"/>
                <w:szCs w:val="32"/>
                <w:highlight w:val="none"/>
              </w:rPr>
              <w:t>本项目</w:t>
            </w:r>
            <w:r>
              <w:rPr>
                <w:color w:val="auto"/>
                <w:kern w:val="0"/>
                <w:sz w:val="24"/>
                <w:highlight w:val="none"/>
              </w:rPr>
              <w:t>运营期固体废物主要有</w:t>
            </w:r>
            <w:r>
              <w:rPr>
                <w:rFonts w:hint="eastAsia"/>
                <w:color w:val="auto"/>
                <w:kern w:val="0"/>
                <w:sz w:val="24"/>
                <w:lang w:val="en-US" w:eastAsia="zh-CN"/>
                <w:highlight w:val="none"/>
              </w:rPr>
              <w:t>废包装</w:t>
            </w:r>
            <w:r>
              <w:rPr>
                <w:rFonts w:hint="eastAsia"/>
                <w:color w:val="auto"/>
                <w:kern w:val="0"/>
                <w:sz w:val="24"/>
                <w:lang w:eastAsia="zh-CN"/>
                <w:highlight w:val="none"/>
              </w:rPr>
              <w:t>、</w:t>
            </w:r>
            <w:r>
              <w:rPr>
                <w:rFonts w:hint="eastAsia"/>
                <w:color w:val="auto"/>
                <w:kern w:val="0"/>
                <w:sz w:val="24"/>
                <w:lang w:val="en-US" w:eastAsia="zh-CN"/>
                <w:highlight w:val="none"/>
              </w:rPr>
              <w:t>过滤产生的果蔬渣</w:t>
            </w:r>
            <w:r>
              <w:rPr>
                <w:rFonts w:hint="eastAsia"/>
                <w:color w:val="auto"/>
                <w:kern w:val="0"/>
                <w:sz w:val="24"/>
                <w:lang w:eastAsia="zh-CN"/>
                <w:highlight w:val="none"/>
              </w:rPr>
              <w:t>、</w:t>
            </w:r>
            <w:r>
              <w:rPr>
                <w:rFonts w:hint="eastAsia"/>
                <w:color w:val="auto"/>
                <w:kern w:val="0"/>
                <w:sz w:val="24"/>
                <w:lang w:val="en-US" w:eastAsia="zh-CN"/>
                <w:highlight w:val="none"/>
              </w:rPr>
              <w:t>布袋除尘器产生的除尘灰</w:t>
            </w:r>
            <w:r>
              <w:rPr>
                <w:rFonts w:hint="eastAsia"/>
                <w:color w:val="auto"/>
                <w:kern w:val="0"/>
                <w:sz w:val="24"/>
                <w:lang w:eastAsia="zh-CN"/>
                <w:highlight w:val="none"/>
              </w:rPr>
              <w:t>、</w:t>
            </w:r>
            <w:r>
              <w:rPr>
                <w:rFonts w:hint="eastAsia"/>
                <w:color w:val="auto"/>
                <w:kern w:val="0"/>
                <w:sz w:val="24"/>
                <w:lang w:val="en-US" w:eastAsia="zh-CN"/>
                <w:highlight w:val="none"/>
              </w:rPr>
              <w:t>废布袋、纯水机产生的废反渗透膜、</w:t>
            </w:r>
            <w:r>
              <w:rPr>
                <w:color w:val="auto"/>
                <w:kern w:val="0"/>
                <w:sz w:val="24"/>
                <w:highlight w:val="none"/>
              </w:rPr>
              <w:t>污水处理站产生的</w:t>
            </w:r>
            <w:r>
              <w:rPr>
                <w:rFonts w:hint="eastAsia"/>
                <w:color w:val="auto"/>
                <w:kern w:val="0"/>
                <w:sz w:val="24"/>
                <w:lang w:val="en-US" w:eastAsia="zh-CN"/>
                <w:highlight w:val="none"/>
              </w:rPr>
              <w:t>浮油和</w:t>
            </w:r>
            <w:r>
              <w:rPr>
                <w:color w:val="auto"/>
                <w:kern w:val="0"/>
                <w:sz w:val="24"/>
                <w:highlight w:val="none"/>
              </w:rPr>
              <w:t>污泥</w:t>
            </w:r>
            <w:r>
              <w:rPr>
                <w:rFonts w:hint="eastAsia"/>
                <w:color w:val="auto"/>
                <w:kern w:val="0"/>
                <w:sz w:val="24"/>
                <w:lang w:eastAsia="zh-CN"/>
                <w:highlight w:val="none"/>
              </w:rPr>
              <w:t>、</w:t>
            </w:r>
            <w:r>
              <w:rPr>
                <w:rFonts w:hint="eastAsia"/>
                <w:color w:val="auto"/>
                <w:kern w:val="0"/>
                <w:sz w:val="24"/>
                <w:lang w:val="en-US" w:eastAsia="zh-CN"/>
                <w:highlight w:val="none"/>
              </w:rPr>
              <w:t>有机废气治理设施</w:t>
            </w:r>
            <w:r>
              <w:rPr>
                <w:color w:val="auto"/>
                <w:kern w:val="0"/>
                <w:sz w:val="24"/>
                <w:highlight w:val="none"/>
              </w:rPr>
              <w:t>产生的废活性炭</w:t>
            </w:r>
            <w:r>
              <w:rPr>
                <w:rFonts w:hint="eastAsia"/>
                <w:color w:val="auto"/>
                <w:kern w:val="0"/>
                <w:sz w:val="24"/>
                <w:lang w:val="en-US" w:eastAsia="zh-CN"/>
                <w:highlight w:val="none"/>
              </w:rPr>
              <w:t>和废过滤棉</w:t>
            </w:r>
            <w:r>
              <w:rPr>
                <w:rFonts w:hint="eastAsia"/>
                <w:color w:val="auto"/>
                <w:kern w:val="0"/>
                <w:sz w:val="24"/>
                <w:lang w:eastAsia="zh-CN"/>
                <w:highlight w:val="none"/>
              </w:rPr>
              <w:t>、</w:t>
            </w:r>
            <w:r>
              <w:rPr>
                <w:rFonts w:hint="eastAsia"/>
                <w:color w:val="auto"/>
                <w:kern w:val="0"/>
                <w:sz w:val="24"/>
                <w:lang w:val="en-US" w:eastAsia="zh-CN"/>
                <w:highlight w:val="none"/>
              </w:rPr>
              <w:t>检测实验室产生的废试剂瓶、实验室废液、废UV灯管</w:t>
            </w:r>
            <w:r>
              <w:rPr>
                <w:rFonts w:hint="eastAsia"/>
                <w:color w:val="auto"/>
                <w:kern w:val="0"/>
                <w:sz w:val="24"/>
                <w:lang w:eastAsia="zh-CN"/>
                <w:highlight w:val="none"/>
              </w:rPr>
              <w:t>、</w:t>
            </w:r>
            <w:r>
              <w:rPr>
                <w:rFonts w:hint="eastAsia"/>
                <w:color w:val="auto"/>
                <w:kern w:val="0"/>
                <w:sz w:val="24"/>
                <w:lang w:val="en-US" w:eastAsia="zh-CN"/>
                <w:highlight w:val="none"/>
              </w:rPr>
              <w:t>研发实验室产生的废研发样品</w:t>
            </w:r>
            <w:r>
              <w:rPr>
                <w:rFonts w:hint="eastAsia"/>
                <w:color w:val="auto"/>
                <w:kern w:val="0"/>
                <w:sz w:val="24"/>
                <w:lang w:eastAsia="zh-CN"/>
                <w:highlight w:val="none"/>
              </w:rPr>
              <w:t>、</w:t>
            </w:r>
            <w:r>
              <w:rPr>
                <w:rFonts w:hint="eastAsia"/>
                <w:color w:val="auto"/>
                <w:kern w:val="0"/>
                <w:sz w:val="24"/>
                <w:lang w:val="en-US" w:eastAsia="zh-CN"/>
                <w:highlight w:val="none"/>
              </w:rPr>
              <w:t>设备维护时产生的废润滑油和废润滑油桶</w:t>
            </w:r>
            <w:r>
              <w:rPr>
                <w:color w:val="auto"/>
                <w:kern w:val="0"/>
                <w:sz w:val="24"/>
                <w:highlight w:val="none"/>
              </w:rPr>
              <w:t>。</w:t>
            </w:r>
          </w:p>
          <w:p>
            <w:pPr>
              <w:bidi w:val="0"/>
              <w:spacing w:line="360" w:lineRule="auto"/>
              <w:rPr>
                <w:rFonts w:hint="eastAsia"/>
                <w:color w:val="auto"/>
                <w:lang w:val="en-US" w:eastAsia="zh-CN"/>
              </w:rPr>
            </w:pPr>
            <w:r>
              <w:rPr>
                <w:rFonts w:hint="eastAsia"/>
                <w:color w:val="auto"/>
                <w:lang w:val="en-US" w:eastAsia="zh-CN"/>
              </w:rPr>
              <w:t>1、</w:t>
            </w:r>
            <w:r>
              <w:rPr>
                <w:color w:val="auto"/>
              </w:rPr>
              <w:t>一般</w:t>
            </w:r>
            <w:r>
              <w:rPr>
                <w:rFonts w:hint="eastAsia"/>
                <w:color w:val="auto"/>
                <w:lang w:val="en-US" w:eastAsia="zh-CN"/>
              </w:rPr>
              <w:t>固体废物</w:t>
            </w:r>
          </w:p>
          <w:p>
            <w:pPr>
              <w:bidi w:val="0"/>
              <w:spacing w:line="360" w:lineRule="auto"/>
              <w:rPr>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一般固体废物产生情况</w:t>
            </w:r>
          </w:p>
          <w:p>
            <w:pPr>
              <w:bidi w:val="0"/>
              <w:spacing w:line="360" w:lineRule="auto"/>
              <w:rPr>
                <w:color w:val="auto"/>
              </w:rPr>
            </w:pPr>
            <w:r>
              <w:rPr>
                <w:color w:val="auto"/>
              </w:rPr>
              <w:t>①</w:t>
            </w:r>
            <w:r>
              <w:rPr>
                <w:rFonts w:hint="eastAsia"/>
                <w:color w:val="auto"/>
                <w:lang w:val="en-US" w:eastAsia="zh-CN"/>
              </w:rPr>
              <w:t>果蔬渣</w:t>
            </w:r>
          </w:p>
          <w:p>
            <w:pPr>
              <w:spacing w:line="360" w:lineRule="auto"/>
              <w:ind w:firstLineChars="200" w:firstLine="480"/>
              <w:rPr>
                <w:color w:val="auto"/>
                <w:kern w:val="0"/>
                <w:sz w:val="24"/>
              </w:rPr>
            </w:pPr>
            <w:r>
              <w:rPr>
                <w:rFonts w:hint="eastAsia"/>
                <w:color w:val="auto"/>
                <w:sz w:val="24"/>
                <w:szCs w:val="32"/>
                <w:lang w:val="en-US" w:eastAsia="zh-CN"/>
              </w:rPr>
              <w:t>根据企业设计，</w:t>
            </w:r>
            <w:r>
              <w:rPr>
                <w:rFonts w:hint="eastAsia"/>
                <w:color w:val="auto"/>
                <w:kern w:val="0"/>
                <w:sz w:val="24"/>
                <w:lang w:val="en-US" w:eastAsia="zh-CN"/>
              </w:rPr>
              <w:t>过滤</w:t>
            </w:r>
            <w:r>
              <w:rPr>
                <w:color w:val="auto"/>
                <w:kern w:val="0"/>
                <w:sz w:val="24"/>
              </w:rPr>
              <w:t>产生的</w:t>
            </w:r>
            <w:r>
              <w:rPr>
                <w:rFonts w:hint="eastAsia"/>
                <w:color w:val="auto"/>
                <w:kern w:val="0"/>
                <w:sz w:val="24"/>
                <w:lang w:val="en-US" w:eastAsia="zh-CN"/>
              </w:rPr>
              <w:t>果蔬渣</w:t>
            </w:r>
            <w:r>
              <w:rPr>
                <w:color w:val="auto"/>
                <w:kern w:val="0"/>
                <w:sz w:val="24"/>
              </w:rPr>
              <w:t>产生量约为</w:t>
            </w:r>
            <w:r>
              <w:rPr>
                <w:rFonts w:hint="eastAsia"/>
                <w:color w:val="auto"/>
                <w:kern w:val="0"/>
                <w:sz w:val="24"/>
                <w:lang w:val="en-US" w:eastAsia="zh-CN"/>
              </w:rPr>
              <w:t>100t</w:t>
            </w:r>
            <w:r>
              <w:rPr>
                <w:color w:val="auto"/>
                <w:kern w:val="0"/>
                <w:sz w:val="24"/>
              </w:rPr>
              <w:t>，</w:t>
            </w:r>
            <w:r>
              <w:rPr>
                <w:rFonts w:hint="eastAsia"/>
                <w:color w:val="auto"/>
                <w:kern w:val="0"/>
                <w:sz w:val="24"/>
              </w:rPr>
              <w:t>统一收集后</w:t>
            </w:r>
            <w:r>
              <w:rPr>
                <w:rFonts w:hint="eastAsia"/>
                <w:color w:val="auto"/>
                <w:kern w:val="0"/>
                <w:sz w:val="24"/>
                <w:lang w:val="en-US" w:eastAsia="zh-CN"/>
              </w:rPr>
              <w:t>送环卫部门处置</w:t>
            </w:r>
            <w:r>
              <w:rPr>
                <w:color w:val="auto"/>
                <w:kern w:val="0"/>
                <w:sz w:val="24"/>
              </w:rPr>
              <w:t>。</w:t>
            </w:r>
          </w:p>
          <w:p>
            <w:pPr>
              <w:spacing w:line="360" w:lineRule="auto"/>
              <w:ind w:firstLineChars="200" w:firstLine="480"/>
              <w:rPr>
                <w:rFonts w:eastAsia="宋体"/>
                <w:color w:val="auto"/>
                <w:kern w:val="0"/>
                <w:sz w:val="24"/>
                <w:lang w:val="en-US" w:eastAsia="zh-CN"/>
              </w:rPr>
            </w:pPr>
            <w:r>
              <w:rPr>
                <w:color w:val="auto"/>
                <w:kern w:val="0"/>
                <w:sz w:val="24"/>
              </w:rPr>
              <w:t>②</w:t>
            </w:r>
            <w:r>
              <w:rPr>
                <w:rFonts w:hint="eastAsia"/>
                <w:color w:val="auto"/>
                <w:kern w:val="0"/>
                <w:sz w:val="24"/>
                <w:lang w:val="en-US" w:eastAsia="zh-CN"/>
              </w:rPr>
              <w:t>废反渗透膜</w:t>
            </w:r>
          </w:p>
          <w:p>
            <w:pPr>
              <w:spacing w:line="360" w:lineRule="auto"/>
              <w:ind w:firstLineChars="200" w:firstLine="480"/>
              <w:rPr>
                <w:color w:val="auto"/>
                <w:kern w:val="0"/>
                <w:sz w:val="24"/>
              </w:rPr>
            </w:pPr>
            <w:r>
              <w:rPr>
                <w:rFonts w:hint="eastAsia"/>
                <w:color w:val="auto"/>
                <w:kern w:val="0"/>
                <w:sz w:val="24"/>
                <w:lang w:val="en-US" w:eastAsia="zh-CN"/>
              </w:rPr>
              <w:t>纯水机会产生废反渗透膜，根据企业提供资料，废反渗透膜产生量为</w:t>
            </w:r>
            <w:r>
              <w:rPr>
                <w:color w:val="auto"/>
                <w:kern w:val="0"/>
                <w:sz w:val="24"/>
                <w:lang w:val="en-US" w:eastAsia="zh-CN"/>
              </w:rPr>
              <w:t>0.</w:t>
            </w:r>
            <w:r>
              <w:rPr>
                <w:rFonts w:hint="eastAsia"/>
                <w:color w:val="auto"/>
                <w:kern w:val="0"/>
                <w:sz w:val="24"/>
                <w:lang w:val="en-US" w:eastAsia="zh-CN"/>
              </w:rPr>
              <w:t>1</w:t>
            </w:r>
            <w:r>
              <w:rPr>
                <w:color w:val="auto"/>
                <w:kern w:val="0"/>
                <w:sz w:val="24"/>
                <w:lang w:val="en-US" w:eastAsia="zh-CN"/>
              </w:rPr>
              <w:t>t/a</w:t>
            </w:r>
            <w:r>
              <w:rPr>
                <w:color w:val="auto"/>
                <w:kern w:val="0"/>
                <w:sz w:val="24"/>
              </w:rPr>
              <w:t>，收集后</w:t>
            </w:r>
            <w:r>
              <w:rPr>
                <w:rFonts w:hint="eastAsia"/>
                <w:color w:val="auto"/>
                <w:kern w:val="0"/>
                <w:sz w:val="24"/>
                <w:lang w:val="en-US" w:eastAsia="zh-CN"/>
              </w:rPr>
              <w:t>暂存一般固废间，由厂家回收处理</w:t>
            </w:r>
            <w:r>
              <w:rPr>
                <w:color w:val="auto"/>
                <w:kern w:val="0"/>
                <w:sz w:val="24"/>
              </w:rPr>
              <w:t>。</w:t>
            </w:r>
          </w:p>
          <w:p>
            <w:pPr>
              <w:spacing w:line="360" w:lineRule="auto"/>
              <w:ind w:firstLineChars="200" w:firstLine="480"/>
              <w:rPr>
                <w:rFonts w:eastAsia="宋体"/>
                <w:color w:val="auto"/>
                <w:kern w:val="0"/>
                <w:sz w:val="24"/>
                <w:lang w:val="en-US" w:eastAsia="zh-CN"/>
              </w:rPr>
            </w:pPr>
            <w:r>
              <w:rPr>
                <w:color w:val="auto"/>
                <w:kern w:val="0"/>
                <w:sz w:val="24"/>
              </w:rPr>
              <w:t>③</w:t>
            </w:r>
            <w:r>
              <w:rPr>
                <w:rFonts w:hint="eastAsia"/>
                <w:color w:val="auto"/>
                <w:kern w:val="0"/>
                <w:sz w:val="24"/>
                <w:lang w:val="en-US" w:eastAsia="zh-CN"/>
              </w:rPr>
              <w:t>废包装</w:t>
            </w:r>
          </w:p>
          <w:p>
            <w:pPr>
              <w:spacing w:line="360" w:lineRule="auto"/>
              <w:ind w:firstLineChars="200" w:firstLine="480"/>
              <w:rPr>
                <w:color w:val="auto"/>
                <w:kern w:val="0"/>
                <w:sz w:val="24"/>
              </w:rPr>
            </w:pPr>
            <w:r>
              <w:rPr>
                <w:rFonts w:hint="eastAsia"/>
                <w:color w:val="auto"/>
                <w:sz w:val="24"/>
                <w:szCs w:val="32"/>
              </w:rPr>
              <w:t>本项目废包装主要为</w:t>
            </w:r>
            <w:r>
              <w:rPr>
                <w:rFonts w:hint="eastAsia"/>
                <w:color w:val="auto"/>
                <w:sz w:val="24"/>
                <w:szCs w:val="32"/>
                <w:lang w:val="en-US" w:eastAsia="zh-CN"/>
              </w:rPr>
              <w:t>废包装袋、废纸箱等</w:t>
            </w:r>
            <w:r>
              <w:rPr>
                <w:rFonts w:hint="eastAsia"/>
                <w:color w:val="auto"/>
                <w:sz w:val="24"/>
                <w:szCs w:val="32"/>
              </w:rPr>
              <w:t>，</w:t>
            </w:r>
            <w:r>
              <w:rPr>
                <w:rFonts w:hint="eastAsia"/>
                <w:color w:val="auto"/>
                <w:sz w:val="24"/>
                <w:szCs w:val="32"/>
                <w:lang w:val="en-US" w:eastAsia="zh-CN"/>
              </w:rPr>
              <w:t>根据企业提供资料</w:t>
            </w:r>
            <w:r>
              <w:rPr>
                <w:rFonts w:hint="eastAsia"/>
                <w:color w:val="auto"/>
                <w:sz w:val="24"/>
                <w:szCs w:val="32"/>
              </w:rPr>
              <w:t>产生量为</w:t>
            </w:r>
            <w:r>
              <w:rPr>
                <w:rFonts w:hint="eastAsia"/>
                <w:color w:val="auto"/>
                <w:sz w:val="24"/>
                <w:szCs w:val="32"/>
                <w:lang w:val="en-US" w:eastAsia="zh-CN"/>
              </w:rPr>
              <w:t>1</w:t>
            </w:r>
            <w:r>
              <w:rPr>
                <w:rFonts w:hint="eastAsia"/>
                <w:color w:val="auto"/>
                <w:sz w:val="24"/>
                <w:szCs w:val="32"/>
              </w:rPr>
              <w:t>t/a，统一收集后</w:t>
            </w:r>
            <w:r>
              <w:rPr>
                <w:rFonts w:hint="eastAsia"/>
                <w:color w:val="auto"/>
                <w:sz w:val="24"/>
                <w:szCs w:val="32"/>
                <w:lang w:val="en-US" w:eastAsia="zh-CN"/>
              </w:rPr>
              <w:t>暂存一般固废间，</w:t>
            </w:r>
            <w:r>
              <w:rPr>
                <w:rFonts w:hint="eastAsia"/>
                <w:color w:val="auto"/>
                <w:sz w:val="24"/>
                <w:szCs w:val="32"/>
              </w:rPr>
              <w:t>外售</w:t>
            </w:r>
            <w:r>
              <w:rPr>
                <w:rFonts w:hint="eastAsia"/>
                <w:color w:val="auto"/>
                <w:sz w:val="24"/>
                <w:szCs w:val="32"/>
                <w:lang w:val="en-US" w:eastAsia="zh-CN"/>
              </w:rPr>
              <w:t>综合利用</w:t>
            </w:r>
            <w:r>
              <w:rPr>
                <w:rFonts w:hint="eastAsia"/>
                <w:color w:val="auto"/>
                <w:sz w:val="24"/>
                <w:szCs w:val="32"/>
              </w:rPr>
              <w:t>。</w:t>
            </w:r>
          </w:p>
          <w:p>
            <w:pPr>
              <w:spacing w:line="360" w:lineRule="auto"/>
              <w:ind w:firstLineChars="200" w:firstLine="480"/>
              <w:rPr>
                <w:rFonts w:eastAsia="宋体" w:hint="eastAsia"/>
                <w:color w:val="auto"/>
                <w:kern w:val="0"/>
                <w:sz w:val="24"/>
                <w:lang w:eastAsia="zh-CN"/>
              </w:rPr>
            </w:pPr>
            <w:r>
              <w:rPr>
                <w:color w:val="auto"/>
                <w:kern w:val="0"/>
                <w:sz w:val="24"/>
              </w:rPr>
              <w:t>④</w:t>
            </w:r>
            <w:r>
              <w:rPr>
                <w:rFonts w:hint="eastAsia"/>
                <w:color w:val="auto"/>
                <w:kern w:val="0"/>
                <w:sz w:val="24"/>
                <w:lang w:val="en-US" w:eastAsia="zh-CN"/>
              </w:rPr>
              <w:t>污泥</w:t>
            </w:r>
          </w:p>
          <w:p>
            <w:pPr>
              <w:spacing w:line="360" w:lineRule="auto"/>
              <w:ind w:firstLineChars="200" w:firstLine="480"/>
              <w:rPr>
                <w:color w:val="auto"/>
                <w:kern w:val="0"/>
                <w:sz w:val="24"/>
                <w:lang w:val="en-US" w:eastAsia="zh-CN"/>
              </w:rPr>
            </w:pPr>
            <w:r>
              <w:rPr>
                <w:color w:val="auto"/>
                <w:kern w:val="0"/>
                <w:sz w:val="24"/>
                <w:lang w:val="en-US" w:eastAsia="zh-CN"/>
              </w:rPr>
              <w:t>污水处理站产生的污泥</w:t>
            </w:r>
            <w:r>
              <w:rPr>
                <w:rFonts w:hint="eastAsia"/>
                <w:color w:val="auto"/>
                <w:kern w:val="0"/>
                <w:sz w:val="24"/>
                <w:lang w:val="en-US" w:eastAsia="zh-CN"/>
              </w:rPr>
              <w:t>参考《排污许可证申请与核发技术规范 水处理》（HJ 978-2018）污泥产生量计算公式：</w:t>
            </w:r>
          </w:p>
          <w:p>
            <w:pPr>
              <w:spacing w:line="240" w:lineRule="auto"/>
              <w:ind w:left="0" w:right="0" w:firstLineChars="0" w:firstLine="0"/>
              <w:jc w:val="center"/>
              <w:rPr>
                <w:color w:val="auto"/>
                <w:kern w:val="0"/>
                <w:sz w:val="24"/>
                <w:lang w:val="en-US" w:eastAsia="zh-CN"/>
              </w:rPr>
            </w:pPr>
            <w:r>
              <w:rPr>
                <w:color w:val="auto"/>
                <w:kern w:val="0"/>
                <w:sz w:val="24"/>
                <w:lang w:val="en-US" w:eastAsia="zh-CN"/>
              </w:rPr>
              <w:drawing>
                <wp:inline distT="0" distB="0" distL="114300" distR="114300">
                  <wp:extent cx="5458459" cy="1099819"/>
                  <wp:effectExtent l="0" t="0" r="1" b="1"/>
                  <wp:docPr id="1065" name="图片 6"/>
                  <wp:cNvGraphicFramePr>
                    <a:graphicFrameLocks noChangeAspect="1"/>
                  </wp:cNvGraphicFramePr>
                  <a:graphic>
                    <a:graphicData uri="http://schemas.openxmlformats.org/drawingml/2006/picture">
                      <pic:pic>
                        <pic:nvPicPr>
                          <pic:cNvPr id="110" name="图片 6 110"/>
                          <pic:cNvPicPr/>
                        </pic:nvPicPr>
                        <pic:blipFill>
                          <a:blip r:embed="rId49"/>
                          <a:stretch>
                            <a:fillRect/>
                          </a:stretch>
                        </pic:blipFill>
                        <pic:spPr>
                          <a:xfrm rot="0">
                            <a:off x="0" y="0"/>
                            <a:ext cx="5458459" cy="1099819"/>
                          </a:xfrm>
                          <a:prstGeom prst="rect"/>
                          <a:noFill/>
                          <a:ln cmpd="sng" cap="flat">
                            <a:noFill/>
                            <a:prstDash val="solid"/>
                            <a:round/>
                          </a:ln>
                        </pic:spPr>
                      </pic:pic>
                    </a:graphicData>
                  </a:graphic>
                </wp:inline>
              </w:drawing>
            </w:r>
          </w:p>
          <w:p>
            <w:pPr>
              <w:spacing w:line="360" w:lineRule="auto"/>
              <w:ind w:firstLineChars="200" w:firstLine="480"/>
              <w:rPr>
                <w:color w:val="auto"/>
                <w:kern w:val="0"/>
                <w:sz w:val="24"/>
              </w:rPr>
            </w:pPr>
            <w:r>
              <w:rPr>
                <w:rFonts w:hint="eastAsia"/>
                <w:color w:val="auto"/>
                <w:kern w:val="0"/>
                <w:sz w:val="24"/>
                <w:lang w:val="en-US" w:eastAsia="zh-CN"/>
              </w:rPr>
              <w:t>根据计算本项目污泥产生量为1.7×21220.68m³×2×10</w:t>
            </w:r>
            <w:r>
              <w:rPr>
                <w:rFonts w:hint="eastAsia"/>
                <w:color w:val="auto"/>
                <w:kern w:val="0"/>
                <w:sz w:val="24"/>
                <w:vertAlign w:val="superscript"/>
                <w:lang w:val="en-US" w:eastAsia="zh-CN"/>
              </w:rPr>
              <w:t>-4</w:t>
            </w:r>
            <w:r>
              <w:rPr>
                <w:rFonts w:hint="eastAsia"/>
                <w:color w:val="auto"/>
                <w:kern w:val="0"/>
                <w:sz w:val="24"/>
                <w:lang w:val="en-US" w:eastAsia="zh-CN"/>
              </w:rPr>
              <w:t>=7.215t，经压滤后送环卫部门处置</w:t>
            </w:r>
            <w:r>
              <w:rPr>
                <w:color w:val="auto"/>
                <w:kern w:val="0"/>
                <w:sz w:val="24"/>
              </w:rPr>
              <w:t>。</w:t>
            </w:r>
          </w:p>
          <w:p>
            <w:pPr>
              <w:spacing w:line="360" w:lineRule="auto"/>
              <w:ind w:firstLineChars="200" w:firstLine="480"/>
              <w:rPr>
                <w:rFonts w:hint="eastAsia"/>
                <w:color w:val="auto"/>
                <w:kern w:val="0"/>
                <w:sz w:val="24"/>
                <w:lang w:val="en-US" w:eastAsia="zh-CN"/>
              </w:rPr>
            </w:pPr>
            <w:r>
              <w:rPr>
                <w:rFonts w:hint="eastAsia"/>
                <w:color w:val="auto"/>
                <w:kern w:val="0"/>
                <w:sz w:val="24"/>
                <w:lang w:val="en-US" w:eastAsia="zh-CN"/>
              </w:rPr>
              <w:t>⑤除尘灰</w:t>
            </w:r>
          </w:p>
          <w:p>
            <w:pPr>
              <w:bidi w:val="0"/>
              <w:rPr>
                <w:color w:val="auto"/>
                <w:lang w:val="en-US" w:eastAsia="zh-CN"/>
              </w:rPr>
            </w:pPr>
            <w:r>
              <w:rPr>
                <w:color w:val="auto"/>
                <w:lang w:val="en-US" w:eastAsia="zh-CN"/>
              </w:rPr>
              <w:t>根据</w:t>
            </w:r>
            <w:r>
              <w:rPr>
                <w:rFonts w:hint="eastAsia"/>
                <w:color w:val="auto"/>
                <w:lang w:val="en-US" w:eastAsia="zh-CN"/>
              </w:rPr>
              <w:t>废气</w:t>
            </w:r>
            <w:r>
              <w:rPr>
                <w:color w:val="auto"/>
                <w:lang w:val="en-US" w:eastAsia="zh-CN"/>
              </w:rPr>
              <w:t>源强核算，</w:t>
            </w:r>
            <w:r>
              <w:rPr>
                <w:rFonts w:hint="eastAsia"/>
                <w:color w:val="auto"/>
                <w:lang w:val="en-US" w:eastAsia="zh-CN"/>
              </w:rPr>
              <w:t>除尘灰</w:t>
            </w:r>
            <w:r>
              <w:rPr>
                <w:color w:val="auto"/>
                <w:lang w:val="en-US" w:eastAsia="zh-CN"/>
              </w:rPr>
              <w:t>产生量为</w:t>
            </w:r>
            <w:r>
              <w:rPr>
                <w:rFonts w:hint="eastAsia"/>
                <w:color w:val="auto"/>
                <w:lang w:val="en-US" w:eastAsia="zh-CN"/>
              </w:rPr>
              <w:t>0.482</w:t>
            </w:r>
            <w:r>
              <w:rPr>
                <w:color w:val="auto"/>
                <w:lang w:val="en-US" w:eastAsia="zh-CN"/>
              </w:rPr>
              <w:t>t/a</w:t>
            </w:r>
            <w:r>
              <w:rPr>
                <w:rFonts w:hint="eastAsia"/>
                <w:color w:val="auto"/>
                <w:lang w:val="en-US" w:eastAsia="zh-CN"/>
              </w:rPr>
              <w:t>，统一收集后送环卫部门处置</w:t>
            </w:r>
            <w:r>
              <w:rPr>
                <w:color w:val="auto"/>
                <w:lang w:val="en-US" w:eastAsia="zh-CN"/>
              </w:rPr>
              <w:t>。</w:t>
            </w:r>
          </w:p>
          <w:p>
            <w:pPr>
              <w:bidi w:val="0"/>
              <w:rPr>
                <w:color w:val="auto"/>
                <w:lang w:val="en-US" w:eastAsia="zh-CN"/>
              </w:rPr>
            </w:pPr>
            <w:r>
              <w:rPr>
                <w:rFonts w:hint="eastAsia"/>
                <w:color w:val="auto"/>
                <w:lang w:val="en-US" w:eastAsia="zh-CN"/>
              </w:rPr>
              <w:t>⑥废布袋</w:t>
            </w:r>
          </w:p>
          <w:p>
            <w:pPr>
              <w:bidi w:val="0"/>
              <w:rPr>
                <w:rFonts w:hint="eastAsia"/>
                <w:color w:val="auto"/>
                <w:lang w:val="en-US" w:eastAsia="zh-CN"/>
              </w:rPr>
            </w:pPr>
            <w:r>
              <w:rPr>
                <w:rFonts w:hint="eastAsia"/>
                <w:color w:val="auto"/>
                <w:lang w:val="en-US" w:eastAsia="zh-CN"/>
              </w:rPr>
              <w:t>布袋除尘器设计填装布袋数量为80个，单个布袋质量约为0.001t，则废布袋产生量为0.08t，每年更换一次，统一收集后暂存一般固废间，外售综合利用</w:t>
            </w:r>
          </w:p>
          <w:p>
            <w:pPr>
              <w:bidi w:val="0"/>
              <w:rPr>
                <w:rFonts w:hint="eastAsia"/>
                <w:color w:val="auto"/>
                <w:lang w:val="en-US" w:eastAsia="zh-CN"/>
              </w:rPr>
            </w:pPr>
            <w:r>
              <w:rPr>
                <w:rFonts w:hint="eastAsia"/>
                <w:color w:val="auto"/>
                <w:lang w:val="en-US" w:eastAsia="zh-CN"/>
              </w:rPr>
              <w:t>⑦浮油</w:t>
            </w:r>
          </w:p>
          <w:p>
            <w:pPr>
              <w:bidi w:val="0"/>
              <w:rPr>
                <w:rFonts w:hint="eastAsia"/>
                <w:color w:val="auto"/>
                <w:lang w:val="en-US" w:eastAsia="zh-CN"/>
              </w:rPr>
            </w:pPr>
            <w:r>
              <w:rPr>
                <w:rFonts w:hint="eastAsia"/>
                <w:color w:val="auto"/>
                <w:lang w:val="en-US" w:eastAsia="zh-CN"/>
              </w:rPr>
              <w:t>浮油主要为污水处理过程中去除的动植物油，</w:t>
            </w:r>
            <w:r>
              <w:rPr>
                <w:color w:val="auto"/>
                <w:lang w:val="en-US" w:eastAsia="zh-CN"/>
              </w:rPr>
              <w:t>根据污水处理源强核算，污水处理站浮油产生量为0.683t/a</w:t>
            </w:r>
            <w:r>
              <w:rPr>
                <w:rFonts w:hint="eastAsia"/>
                <w:color w:val="auto"/>
                <w:lang w:val="en-US" w:eastAsia="zh-CN"/>
              </w:rPr>
              <w:t>，统一收集后送环卫部门处置。</w:t>
            </w:r>
          </w:p>
          <w:p>
            <w:pPr>
              <w:bidi w:val="0"/>
              <w:rPr>
                <w:rFonts w:hint="eastAsia"/>
                <w:color w:val="auto"/>
                <w:lang w:val="en-US" w:eastAsia="zh-CN"/>
              </w:rPr>
            </w:pPr>
            <w:r>
              <w:rPr>
                <w:rFonts w:hint="eastAsia"/>
                <w:color w:val="auto"/>
                <w:lang w:val="en-US" w:eastAsia="zh-CN"/>
              </w:rPr>
              <w:t>⑧废研发样品</w:t>
            </w:r>
          </w:p>
          <w:p>
            <w:pPr>
              <w:bidi w:val="0"/>
              <w:rPr>
                <w:color w:val="auto"/>
                <w:lang w:val="en-US" w:eastAsia="zh-CN"/>
              </w:rPr>
            </w:pPr>
            <w:r>
              <w:rPr>
                <w:rFonts w:hint="eastAsia"/>
                <w:color w:val="auto"/>
                <w:lang w:val="en-US" w:eastAsia="zh-CN"/>
              </w:rPr>
              <w:t>根据企业提供数据，研发实验室产生的废研发样品产生量为0.01t/a，统一收集后送环卫部门处置。</w:t>
            </w:r>
          </w:p>
          <w:p>
            <w:pPr>
              <w:spacing w:line="360" w:lineRule="auto"/>
              <w:ind w:firstLineChars="200" w:firstLine="480"/>
              <w:rPr>
                <w:rFonts w:eastAsia="宋体"/>
                <w:color w:val="auto"/>
                <w:kern w:val="0"/>
                <w:sz w:val="24"/>
                <w:lang w:val="en-US" w:eastAsia="zh-CN"/>
              </w:rPr>
            </w:pPr>
            <w:r>
              <w:rPr>
                <w:rFonts w:hint="eastAsia"/>
                <w:color w:val="auto"/>
                <w:kern w:val="0"/>
                <w:sz w:val="24"/>
                <w:lang w:val="en-US" w:eastAsia="zh-CN"/>
              </w:rPr>
              <w:t>（2）一般固体废物管理要求</w:t>
            </w:r>
          </w:p>
          <w:p>
            <w:pPr>
              <w:spacing w:line="360" w:lineRule="auto"/>
              <w:ind w:firstLineChars="200" w:firstLine="480"/>
              <w:rPr>
                <w:color w:val="auto"/>
                <w:kern w:val="0"/>
                <w:sz w:val="24"/>
              </w:rPr>
            </w:pPr>
            <w:r>
              <w:rPr>
                <w:rFonts w:hint="eastAsia"/>
                <w:color w:val="auto"/>
                <w:kern w:val="0"/>
                <w:sz w:val="24"/>
              </w:rPr>
              <w:t>本项目</w:t>
            </w:r>
            <w:r>
              <w:rPr>
                <w:color w:val="auto"/>
                <w:kern w:val="0"/>
                <w:sz w:val="24"/>
              </w:rPr>
              <w:t>一般工业固体废物产生后，应按不同类别和相应要求及时放置到</w:t>
            </w:r>
            <w:r>
              <w:rPr>
                <w:rFonts w:hint="eastAsia"/>
                <w:color w:val="auto"/>
                <w:kern w:val="0"/>
                <w:sz w:val="24"/>
                <w:lang w:val="en-US" w:eastAsia="zh-CN"/>
              </w:rPr>
              <w:t>一般固废间</w:t>
            </w:r>
            <w:r>
              <w:rPr>
                <w:color w:val="auto"/>
                <w:kern w:val="0"/>
                <w:sz w:val="24"/>
              </w:rPr>
              <w:t>，为防止一般工业固体废物的流失，贮存场所应采取防雨淋、扬散、流失、渗漏等防范措施。建立检查维护制度。定期检查维护设施，发现有损坏可能或异常，及时采取必要处理，以保障正常运行。</w:t>
            </w:r>
          </w:p>
          <w:p>
            <w:pPr>
              <w:spacing w:line="360" w:lineRule="auto"/>
              <w:ind w:firstLineChars="200" w:firstLine="480"/>
              <w:rPr>
                <w:color w:val="auto"/>
                <w:kern w:val="0"/>
                <w:sz w:val="24"/>
              </w:rPr>
            </w:pPr>
            <w:r>
              <w:rPr>
                <w:rFonts w:hint="eastAsia"/>
                <w:color w:val="auto"/>
                <w:kern w:val="0"/>
                <w:sz w:val="24"/>
                <w:lang w:val="en-US" w:eastAsia="zh-CN"/>
              </w:rPr>
              <w:t>2、</w:t>
            </w:r>
            <w:r>
              <w:rPr>
                <w:color w:val="auto"/>
                <w:kern w:val="0"/>
                <w:sz w:val="24"/>
              </w:rPr>
              <w:t>危险废物</w:t>
            </w:r>
          </w:p>
          <w:p>
            <w:pPr>
              <w:spacing w:line="360" w:lineRule="auto"/>
              <w:ind w:firstLineChars="200" w:firstLine="480"/>
              <w:rPr>
                <w:color w:val="auto"/>
                <w:kern w:val="0"/>
                <w:sz w:val="24"/>
              </w:rPr>
            </w:pPr>
            <w:r>
              <w:rPr>
                <w:rFonts w:hint="eastAsia"/>
                <w:color w:val="auto"/>
                <w:kern w:val="0"/>
                <w:sz w:val="24"/>
                <w:lang w:eastAsia="zh-CN"/>
              </w:rPr>
              <w:t>（</w:t>
            </w:r>
            <w:r>
              <w:rPr>
                <w:rFonts w:hint="eastAsia"/>
                <w:color w:val="auto"/>
                <w:kern w:val="0"/>
                <w:sz w:val="24"/>
                <w:lang w:val="en-US" w:eastAsia="zh-CN"/>
              </w:rPr>
              <w:t>1</w:t>
            </w:r>
            <w:r>
              <w:rPr>
                <w:rFonts w:hint="eastAsia"/>
                <w:color w:val="auto"/>
                <w:kern w:val="0"/>
                <w:sz w:val="24"/>
                <w:lang w:eastAsia="zh-CN"/>
              </w:rPr>
              <w:t>）</w:t>
            </w:r>
            <w:r>
              <w:rPr>
                <w:rFonts w:hint="eastAsia"/>
                <w:color w:val="auto"/>
                <w:kern w:val="0"/>
                <w:sz w:val="24"/>
                <w:lang w:val="en-US" w:eastAsia="zh-CN"/>
              </w:rPr>
              <w:t>危险废物产生情况</w:t>
            </w:r>
          </w:p>
          <w:p>
            <w:pPr>
              <w:spacing w:line="360" w:lineRule="auto"/>
              <w:ind w:firstLineChars="200" w:firstLine="480"/>
              <w:rPr>
                <w:rFonts w:hint="eastAsia"/>
                <w:color w:val="auto"/>
                <w:kern w:val="0"/>
                <w:sz w:val="24"/>
              </w:rPr>
            </w:pPr>
            <w:r>
              <w:rPr>
                <w:rFonts w:hint="eastAsia"/>
                <w:color w:val="auto"/>
                <w:sz w:val="24"/>
                <w:szCs w:val="32"/>
                <w:lang w:val="en-US" w:eastAsia="zh-CN"/>
              </w:rPr>
              <w:t>①</w:t>
            </w:r>
            <w:r>
              <w:rPr>
                <w:rFonts w:hint="eastAsia"/>
                <w:color w:val="auto"/>
                <w:sz w:val="24"/>
                <w:szCs w:val="32"/>
              </w:rPr>
              <w:t>废</w:t>
            </w:r>
            <w:r>
              <w:rPr>
                <w:rFonts w:hint="eastAsia"/>
                <w:color w:val="auto"/>
                <w:kern w:val="0"/>
                <w:sz w:val="24"/>
              </w:rPr>
              <w:t>活性炭</w:t>
            </w:r>
          </w:p>
          <w:p>
            <w:pPr>
              <w:spacing w:line="360" w:lineRule="auto"/>
              <w:ind w:firstLineChars="200" w:firstLine="480"/>
              <w:rPr>
                <w:color w:val="auto"/>
                <w:kern w:val="0"/>
                <w:sz w:val="24"/>
              </w:rPr>
            </w:pPr>
            <w:r>
              <w:rPr>
                <w:rFonts w:hint="eastAsia"/>
                <w:color w:val="auto"/>
                <w:kern w:val="0"/>
                <w:sz w:val="24"/>
              </w:rPr>
              <w:t>根据《石家庄市涉VOCs企业吸附脱附技术指南》中“活性炭填充量与每小时处理废气量体积之比应不小于1：5000”，本项目</w:t>
            </w:r>
            <w:r>
              <w:rPr>
                <w:rFonts w:hint="eastAsia"/>
                <w:color w:val="auto"/>
                <w:kern w:val="0"/>
                <w:sz w:val="24"/>
                <w:lang w:val="en-US" w:eastAsia="zh-CN"/>
              </w:rPr>
              <w:t>生产工序两</w:t>
            </w:r>
            <w:r>
              <w:rPr>
                <w:rFonts w:hint="eastAsia"/>
                <w:color w:val="auto"/>
                <w:kern w:val="0"/>
                <w:sz w:val="24"/>
              </w:rPr>
              <w:t>级活性炭吸附装置风机风量为</w:t>
            </w:r>
            <w:r>
              <w:rPr>
                <w:rFonts w:hint="eastAsia"/>
                <w:color w:val="auto"/>
                <w:kern w:val="0"/>
                <w:sz w:val="24"/>
                <w:lang w:val="en-US" w:eastAsia="zh-CN"/>
              </w:rPr>
              <w:t>20</w:t>
            </w:r>
            <w:r>
              <w:rPr>
                <w:rFonts w:hint="eastAsia"/>
                <w:color w:val="auto"/>
                <w:kern w:val="0"/>
                <w:sz w:val="24"/>
              </w:rPr>
              <w:t>000</w:t>
            </w:r>
            <w:r>
              <w:rPr>
                <w:rFonts w:hint="eastAsia"/>
                <w:color w:val="auto"/>
                <w:kern w:val="0"/>
                <w:sz w:val="24"/>
                <w:lang w:val="en-US" w:eastAsia="zh-CN"/>
              </w:rPr>
              <w:t>m³</w:t>
            </w:r>
            <w:r>
              <w:rPr>
                <w:rFonts w:hint="eastAsia"/>
                <w:color w:val="auto"/>
                <w:kern w:val="0"/>
                <w:sz w:val="24"/>
              </w:rPr>
              <w:t>/h</w:t>
            </w:r>
            <w:r>
              <w:rPr>
                <w:rFonts w:hint="eastAsia"/>
                <w:color w:val="auto"/>
                <w:kern w:val="0"/>
                <w:sz w:val="24"/>
                <w:lang w:eastAsia="zh-CN"/>
              </w:rPr>
              <w:t>，</w:t>
            </w:r>
            <w:r>
              <w:rPr>
                <w:rFonts w:hint="eastAsia"/>
                <w:color w:val="auto"/>
                <w:kern w:val="0"/>
                <w:sz w:val="24"/>
                <w:lang w:val="en-US" w:eastAsia="zh-CN"/>
              </w:rPr>
              <w:t>单级</w:t>
            </w:r>
            <w:r>
              <w:rPr>
                <w:rFonts w:hint="eastAsia"/>
                <w:color w:val="auto"/>
                <w:kern w:val="0"/>
                <w:sz w:val="24"/>
                <w:lang w:eastAsia="zh-CN"/>
              </w:rPr>
              <w:t>活性炭填充量为</w:t>
            </w:r>
            <w:r>
              <w:rPr>
                <w:rFonts w:hint="eastAsia"/>
                <w:color w:val="auto"/>
                <w:kern w:val="0"/>
                <w:sz w:val="24"/>
                <w:lang w:val="en-US" w:eastAsia="zh-CN"/>
              </w:rPr>
              <w:t>4m³，活性炭密度为0.5t/m³，单级活性炭的填充量为2t，</w:t>
            </w:r>
            <w:r>
              <w:rPr>
                <w:rFonts w:hint="eastAsia"/>
                <w:color w:val="auto"/>
                <w:kern w:val="0"/>
                <w:sz w:val="24"/>
              </w:rPr>
              <w:t>本项目采用碘值在800mg/g及以上的活性炭，根据《河北省涉VOCs工业企业常用治理技术指南》计算活性炭更换周期，公式如下：</w:t>
            </w:r>
          </w:p>
          <w:p>
            <w:pPr>
              <w:spacing w:line="360" w:lineRule="auto"/>
              <w:ind w:firstLineChars="200" w:firstLine="480"/>
              <w:rPr>
                <w:color w:val="auto"/>
                <w:kern w:val="0"/>
                <w:sz w:val="24"/>
              </w:rPr>
            </w:pPr>
            <w:r>
              <w:rPr>
                <w:rFonts w:hint="eastAsia"/>
                <w:color w:val="auto"/>
                <w:kern w:val="0"/>
                <w:sz w:val="24"/>
              </w:rPr>
              <w:t>T（d）=m×S÷C×10</w:t>
            </w:r>
            <w:r>
              <w:rPr>
                <w:rFonts w:hint="eastAsia"/>
                <w:color w:val="auto"/>
                <w:kern w:val="0"/>
                <w:sz w:val="24"/>
                <w:vertAlign w:val="superscript"/>
              </w:rPr>
              <w:t>-6</w:t>
            </w:r>
            <w:r>
              <w:rPr>
                <w:rFonts w:hint="eastAsia"/>
                <w:color w:val="auto"/>
                <w:kern w:val="0"/>
                <w:sz w:val="24"/>
              </w:rPr>
              <w:t>×Q×t</w:t>
            </w:r>
          </w:p>
          <w:p>
            <w:pPr>
              <w:spacing w:line="360" w:lineRule="auto"/>
              <w:ind w:firstLineChars="200" w:firstLine="480"/>
              <w:rPr>
                <w:color w:val="auto"/>
                <w:kern w:val="0"/>
                <w:sz w:val="24"/>
              </w:rPr>
            </w:pPr>
            <w:r>
              <w:rPr>
                <w:rFonts w:hint="eastAsia"/>
                <w:color w:val="auto"/>
                <w:kern w:val="0"/>
                <w:sz w:val="24"/>
              </w:rPr>
              <w:t>式中：</w:t>
            </w:r>
          </w:p>
          <w:p>
            <w:pPr>
              <w:spacing w:line="360" w:lineRule="auto"/>
              <w:ind w:firstLineChars="200" w:firstLine="480"/>
              <w:rPr>
                <w:color w:val="auto"/>
                <w:kern w:val="0"/>
                <w:sz w:val="24"/>
              </w:rPr>
            </w:pPr>
            <w:r>
              <w:rPr>
                <w:rFonts w:hint="eastAsia"/>
                <w:color w:val="auto"/>
                <w:kern w:val="0"/>
                <w:sz w:val="24"/>
              </w:rPr>
              <w:t>T—周期，单位天；</w:t>
            </w:r>
          </w:p>
          <w:p>
            <w:pPr>
              <w:spacing w:line="360" w:lineRule="auto"/>
              <w:ind w:firstLineChars="200" w:firstLine="480"/>
              <w:rPr>
                <w:rFonts w:eastAsia="宋体"/>
                <w:color w:val="auto"/>
                <w:kern w:val="0"/>
                <w:sz w:val="24"/>
                <w:lang w:val="en-US" w:eastAsia="zh-CN"/>
              </w:rPr>
            </w:pPr>
            <w:r>
              <w:rPr>
                <w:rFonts w:hint="eastAsia"/>
                <w:color w:val="auto"/>
                <w:kern w:val="0"/>
                <w:sz w:val="24"/>
              </w:rPr>
              <w:t>M—活性炭的质量，单位kg；</w:t>
            </w:r>
          </w:p>
          <w:p>
            <w:pPr>
              <w:spacing w:line="360" w:lineRule="auto"/>
              <w:ind w:firstLineChars="200" w:firstLine="480"/>
              <w:rPr>
                <w:color w:val="auto"/>
                <w:kern w:val="0"/>
                <w:sz w:val="24"/>
              </w:rPr>
            </w:pPr>
            <w:r>
              <w:rPr>
                <w:rFonts w:hint="eastAsia"/>
                <w:color w:val="auto"/>
                <w:kern w:val="0"/>
                <w:sz w:val="24"/>
              </w:rPr>
              <w:t>S—平衡保持量，蜂窝活性炭以</w:t>
            </w:r>
            <w:r>
              <w:rPr>
                <w:rFonts w:hint="eastAsia"/>
                <w:color w:val="auto"/>
                <w:kern w:val="0"/>
                <w:sz w:val="24"/>
                <w:lang w:val="en-US" w:eastAsia="zh-CN"/>
              </w:rPr>
              <w:t>10</w:t>
            </w:r>
            <w:r>
              <w:rPr>
                <w:rFonts w:hint="eastAsia"/>
                <w:color w:val="auto"/>
                <w:kern w:val="0"/>
                <w:sz w:val="24"/>
              </w:rPr>
              <w:t>%计；</w:t>
            </w:r>
          </w:p>
          <w:p>
            <w:pPr>
              <w:spacing w:line="360" w:lineRule="auto"/>
              <w:ind w:firstLineChars="200" w:firstLine="480"/>
              <w:rPr>
                <w:rFonts w:eastAsia="宋体"/>
                <w:color w:val="auto"/>
                <w:kern w:val="0"/>
                <w:sz w:val="24"/>
                <w:lang w:val="en-US" w:eastAsia="zh-CN"/>
              </w:rPr>
            </w:pPr>
            <w:r>
              <w:rPr>
                <w:rFonts w:hint="eastAsia"/>
                <w:color w:val="auto"/>
                <w:kern w:val="0"/>
                <w:sz w:val="24"/>
              </w:rPr>
              <w:t>C—污染物浓度，单位：mg/</w:t>
            </w:r>
            <w:r>
              <w:rPr>
                <w:rFonts w:hint="eastAsia"/>
                <w:color w:val="auto"/>
                <w:kern w:val="0"/>
                <w:sz w:val="24"/>
                <w:lang w:eastAsia="zh-CN"/>
              </w:rPr>
              <w:t>m³</w:t>
            </w:r>
            <w:r>
              <w:rPr>
                <w:rFonts w:hint="eastAsia"/>
                <w:color w:val="auto"/>
                <w:kern w:val="0"/>
                <w:sz w:val="24"/>
              </w:rPr>
              <w:t>；</w:t>
            </w:r>
          </w:p>
          <w:p>
            <w:pPr>
              <w:spacing w:line="360" w:lineRule="auto"/>
              <w:ind w:firstLineChars="200" w:firstLine="480"/>
              <w:rPr>
                <w:color w:val="auto"/>
                <w:kern w:val="0"/>
                <w:sz w:val="24"/>
              </w:rPr>
            </w:pPr>
            <w:r>
              <w:rPr>
                <w:rFonts w:hint="eastAsia"/>
                <w:color w:val="auto"/>
                <w:kern w:val="0"/>
                <w:sz w:val="24"/>
              </w:rPr>
              <w:t>Q—风量，单位</w:t>
            </w:r>
            <w:r>
              <w:rPr>
                <w:rFonts w:hint="eastAsia"/>
                <w:color w:val="auto"/>
                <w:kern w:val="0"/>
                <w:sz w:val="24"/>
                <w:lang w:val="en-US" w:eastAsia="zh-CN"/>
              </w:rPr>
              <w:t>m³</w:t>
            </w:r>
            <w:r>
              <w:rPr>
                <w:rFonts w:hint="eastAsia"/>
                <w:color w:val="auto"/>
                <w:kern w:val="0"/>
                <w:sz w:val="24"/>
              </w:rPr>
              <w:t>/h</w:t>
            </w:r>
          </w:p>
          <w:p>
            <w:pPr>
              <w:spacing w:line="360" w:lineRule="auto"/>
              <w:ind w:firstLineChars="200" w:firstLine="480"/>
              <w:rPr>
                <w:color w:val="auto"/>
                <w:kern w:val="0"/>
                <w:sz w:val="24"/>
              </w:rPr>
            </w:pPr>
            <w:r>
              <w:rPr>
                <w:rFonts w:hint="eastAsia"/>
                <w:color w:val="auto"/>
                <w:kern w:val="0"/>
                <w:sz w:val="24"/>
              </w:rPr>
              <w:t>t—运行时间，单位h/d</w:t>
            </w:r>
          </w:p>
          <w:p>
            <w:pPr>
              <w:bidi w:val="0"/>
              <w:rPr>
                <w:rFonts w:hint="eastAsia"/>
                <w:color w:val="auto"/>
                <w:highlight w:val="none"/>
              </w:rPr>
            </w:pPr>
            <w:r>
              <w:rPr>
                <w:rFonts w:hint="eastAsia"/>
                <w:color w:val="auto"/>
                <w:lang w:val="en-US" w:eastAsia="zh-CN"/>
                <w:highlight w:val="none"/>
              </w:rPr>
              <w:t>一级活性炭非甲烷总烃消减浓度为1.18mg/m³（一级治理效率30%，进口浓度为3.93mg/m³，出口浓度为2.75mg/m³），经计算可知：T=2000×10%÷（1.18×10</w:t>
            </w:r>
            <w:r>
              <w:rPr>
                <w:rFonts w:hint="eastAsia"/>
                <w:color w:val="auto"/>
                <w:vertAlign w:val="superscript"/>
                <w:lang w:val="en-US" w:eastAsia="zh-CN"/>
                <w:highlight w:val="none"/>
              </w:rPr>
              <w:t>-6</w:t>
            </w:r>
            <w:r>
              <w:rPr>
                <w:rFonts w:hint="eastAsia"/>
                <w:color w:val="auto"/>
                <w:lang w:val="en-US" w:eastAsia="zh-CN"/>
                <w:highlight w:val="none"/>
              </w:rPr>
              <w:t>×20000×8）≈1059天，本项目设计一级活性炭300天更换一次；二级活性炭非甲烷总烃消减浓度为0.39mg/m³（</w:t>
            </w:r>
            <w:r>
              <w:rPr>
                <w:rFonts w:ascii="Times New Roman" w:cs="Times New Roman" w:hAnsi="Times New Roman"/>
                <w:color w:val="auto"/>
                <w:lang w:val="en-US" w:eastAsia="zh-CN"/>
                <w:highlight w:val="none"/>
              </w:rPr>
              <w:t>二级治理效率20%，进口浓度为2.75mg/m³，出口浓度为2.36mg/m³</w:t>
            </w:r>
            <w:r>
              <w:rPr>
                <w:rFonts w:hint="eastAsia"/>
                <w:color w:val="auto"/>
                <w:lang w:val="en-US" w:eastAsia="zh-CN"/>
                <w:highlight w:val="none"/>
              </w:rPr>
              <w:t>），经计算可知：T=2000×10%÷（0.39×10</w:t>
            </w:r>
            <w:r>
              <w:rPr>
                <w:rFonts w:hint="eastAsia"/>
                <w:color w:val="auto"/>
                <w:vertAlign w:val="superscript"/>
                <w:lang w:val="en-US" w:eastAsia="zh-CN"/>
                <w:highlight w:val="none"/>
              </w:rPr>
              <w:t>-6</w:t>
            </w:r>
            <w:r>
              <w:rPr>
                <w:rFonts w:hint="eastAsia"/>
                <w:color w:val="auto"/>
                <w:lang w:val="en-US" w:eastAsia="zh-CN"/>
                <w:highlight w:val="none"/>
              </w:rPr>
              <w:t>×20000×8）≈3205天，设计二级活性炭吸附装置300天更换一次活性炭，则两级活性炭吸附装置废活性炭产生量为2+2+0.075t（非甲烷总烃吸附量）=4.075t/a</w:t>
            </w:r>
            <w:r>
              <w:rPr>
                <w:rFonts w:hint="eastAsia"/>
                <w:color w:val="auto"/>
                <w:highlight w:val="none"/>
              </w:rPr>
              <w:t>；</w:t>
            </w:r>
          </w:p>
          <w:p>
            <w:pPr>
              <w:pStyle w:val="15"/>
              <w:rPr>
                <w:rFonts w:hint="eastAsia"/>
                <w:color w:val="auto"/>
                <w:lang w:val="en-US" w:eastAsia="zh-CN"/>
                <w:highlight w:val="none"/>
              </w:rPr>
            </w:pPr>
            <w:r>
              <w:rPr>
                <w:rFonts w:hint="eastAsia"/>
                <w:color w:val="auto"/>
                <w:lang w:val="en-US" w:eastAsia="zh-CN"/>
                <w:highlight w:val="none"/>
              </w:rPr>
              <w:t>研发实验室废气治理设施活性炭吸附装置风量为5000m³/h，填装活性炭量为1m³，活性炭密度为0.5t/m³，单级活性炭的填充量为0.5t，每年更换一次，废活性炭产生量为0.5t/a。</w:t>
            </w:r>
          </w:p>
          <w:p>
            <w:pPr>
              <w:bidi w:val="0"/>
              <w:rPr>
                <w:color w:val="auto"/>
                <w:lang w:val="en-US" w:eastAsia="zh-CN"/>
              </w:rPr>
            </w:pPr>
            <w:r>
              <w:rPr>
                <w:rFonts w:hint="eastAsia"/>
                <w:color w:val="auto"/>
                <w:lang w:val="en-US" w:eastAsia="zh-CN"/>
              </w:rPr>
              <w:t>总废活性炭产生量为4.075+0.5=4.575t/a。</w:t>
            </w:r>
          </w:p>
          <w:p>
            <w:pPr>
              <w:bidi w:val="0"/>
              <w:spacing w:line="360" w:lineRule="auto"/>
              <w:rPr>
                <w:rFonts w:hint="eastAsia"/>
                <w:color w:val="auto"/>
                <w:lang w:val="en-US" w:eastAsia="zh-CN"/>
              </w:rPr>
            </w:pPr>
            <w:r>
              <w:rPr>
                <w:rFonts w:hint="eastAsia"/>
                <w:color w:val="auto"/>
                <w:lang w:val="en-US" w:eastAsia="zh-CN"/>
              </w:rPr>
              <w:t>②废润滑油、废润滑油桶</w:t>
            </w:r>
          </w:p>
          <w:p>
            <w:pPr>
              <w:bidi w:val="0"/>
              <w:spacing w:line="360" w:lineRule="auto"/>
              <w:rPr>
                <w:rFonts w:hint="eastAsia"/>
                <w:color w:val="auto"/>
                <w:lang w:val="en-US" w:eastAsia="zh-CN"/>
              </w:rPr>
            </w:pPr>
            <w:r>
              <w:rPr>
                <w:rFonts w:hint="eastAsia"/>
                <w:color w:val="auto"/>
                <w:lang w:val="en-US" w:eastAsia="zh-CN"/>
              </w:rPr>
              <w:t>本项目设备维护过程会产生废润滑油及废润滑油桶，根据企业提供资料废润滑油产生量为0.01t/a，废润滑油桶约为0.001t/a。</w:t>
            </w:r>
          </w:p>
          <w:p>
            <w:pPr>
              <w:spacing w:line="360" w:lineRule="auto"/>
              <w:ind w:firstLineChars="200" w:firstLine="480"/>
              <w:rPr>
                <w:rFonts w:hint="eastAsia"/>
                <w:color w:val="auto"/>
                <w:lang w:val="en-US" w:eastAsia="zh-CN"/>
              </w:rPr>
            </w:pPr>
            <w:r>
              <w:rPr>
                <w:rFonts w:hint="eastAsia"/>
                <w:color w:val="auto"/>
                <w:lang w:val="en-US" w:eastAsia="zh-CN"/>
              </w:rPr>
              <w:t>③废过滤棉</w:t>
            </w:r>
          </w:p>
          <w:p>
            <w:pPr>
              <w:bidi w:val="0"/>
              <w:spacing w:line="360" w:lineRule="auto"/>
              <w:rPr>
                <w:rFonts w:hint="eastAsia"/>
                <w:color w:val="auto"/>
                <w:lang w:val="en-US" w:eastAsia="zh-CN"/>
              </w:rPr>
            </w:pPr>
            <w:r>
              <w:rPr>
                <w:rFonts w:hint="eastAsia"/>
                <w:color w:val="auto"/>
                <w:lang w:val="en-US" w:eastAsia="zh-CN"/>
              </w:rPr>
              <w:t>本项目废气治理设施会产生废过滤棉，根据企业提供资料废过滤棉产生量为0.01t/a。</w:t>
            </w:r>
          </w:p>
          <w:p>
            <w:pPr>
              <w:bidi w:val="0"/>
              <w:rPr>
                <w:rFonts w:hint="eastAsia"/>
                <w:color w:val="auto"/>
                <w:lang w:val="en-US" w:eastAsia="zh-CN"/>
              </w:rPr>
            </w:pPr>
            <w:r>
              <w:rPr>
                <w:rFonts w:hint="eastAsia"/>
                <w:color w:val="auto"/>
                <w:lang w:val="en-US" w:eastAsia="zh-CN"/>
              </w:rPr>
              <w:t>④废试剂瓶</w:t>
            </w:r>
          </w:p>
          <w:p>
            <w:pPr>
              <w:bidi w:val="0"/>
              <w:rPr>
                <w:rFonts w:hint="eastAsia"/>
                <w:color w:val="auto"/>
                <w:lang w:val="en-US" w:eastAsia="zh-CN"/>
              </w:rPr>
            </w:pPr>
            <w:r>
              <w:rPr>
                <w:rFonts w:hint="eastAsia"/>
                <w:color w:val="auto"/>
                <w:lang w:val="en-US" w:eastAsia="zh-CN"/>
              </w:rPr>
              <w:t>根据企业设计，检测实验室产生的废试剂瓶产生量为0.01t，收集后暂存危废间，定期交由有资质单位处置。</w:t>
            </w:r>
          </w:p>
          <w:p>
            <w:pPr>
              <w:bidi w:val="0"/>
              <w:rPr>
                <w:rFonts w:hint="eastAsia"/>
                <w:color w:val="auto"/>
                <w:lang w:val="en-US" w:eastAsia="zh-CN"/>
              </w:rPr>
            </w:pPr>
            <w:r>
              <w:rPr>
                <w:rFonts w:hint="eastAsia"/>
                <w:color w:val="auto"/>
                <w:lang w:val="en-US" w:eastAsia="zh-CN"/>
              </w:rPr>
              <w:t>⑤实验室废液</w:t>
            </w:r>
          </w:p>
          <w:p>
            <w:pPr>
              <w:bidi w:val="0"/>
              <w:rPr>
                <w:color w:val="auto"/>
                <w:lang w:val="en-US" w:eastAsia="zh-CN"/>
              </w:rPr>
            </w:pPr>
            <w:r>
              <w:rPr>
                <w:rFonts w:hint="eastAsia"/>
                <w:color w:val="auto"/>
                <w:lang w:val="en-US" w:eastAsia="zh-CN"/>
              </w:rPr>
              <w:t>根据企业设计，检测实验室产生的实验室废液产生量为1.8t/a，收集后暂存危废间，定期交由有资质单位处置。</w:t>
            </w:r>
          </w:p>
          <w:p>
            <w:pPr>
              <w:bidi w:val="0"/>
              <w:rPr>
                <w:rFonts w:hint="eastAsia"/>
                <w:color w:val="auto"/>
                <w:lang w:val="en-US" w:eastAsia="zh-CN"/>
              </w:rPr>
            </w:pPr>
            <w:r>
              <w:rPr>
                <w:rFonts w:hint="eastAsia"/>
                <w:color w:val="auto"/>
                <w:lang w:val="en-US" w:eastAsia="zh-CN"/>
              </w:rPr>
              <w:t>⑥废UV灯管</w:t>
            </w:r>
          </w:p>
          <w:p>
            <w:pPr>
              <w:bidi w:val="0"/>
              <w:rPr>
                <w:color w:val="auto"/>
                <w:lang w:val="en-US" w:eastAsia="zh-CN"/>
              </w:rPr>
            </w:pPr>
            <w:r>
              <w:rPr>
                <w:rFonts w:hint="eastAsia"/>
                <w:color w:val="auto"/>
                <w:lang w:val="en-US" w:eastAsia="zh-CN"/>
              </w:rPr>
              <w:t>根据企业设计，检测实验室产生的废UV灯管产生量为0.002t/a，收集后暂存危废间，定期交由有资质单位处置。</w:t>
            </w:r>
          </w:p>
          <w:p>
            <w:pPr>
              <w:bidi w:val="0"/>
              <w:rPr>
                <w:rFonts w:hint="eastAsia"/>
                <w:color w:val="auto"/>
                <w:lang w:val="en-US" w:eastAsia="zh-CN"/>
              </w:rPr>
            </w:pPr>
            <w:r>
              <w:rPr>
                <w:rFonts w:hint="eastAsia"/>
                <w:color w:val="auto"/>
                <w:lang w:val="en-US" w:eastAsia="zh-CN"/>
              </w:rPr>
              <w:t>（2）危险废物管理要求</w:t>
            </w:r>
          </w:p>
          <w:p>
            <w:pPr>
              <w:bidi w:val="0"/>
              <w:rPr>
                <w:color w:val="auto"/>
              </w:rPr>
            </w:pPr>
            <w:r>
              <w:rPr>
                <w:rFonts w:hint="eastAsia"/>
                <w:color w:val="auto"/>
                <w:lang w:val="en-US" w:eastAsia="zh-CN"/>
              </w:rPr>
              <w:t>现有工程1#车间内有1座20㎡</w:t>
            </w:r>
            <w:r>
              <w:rPr>
                <w:color w:val="auto"/>
              </w:rPr>
              <w:t>危废暂存间</w:t>
            </w:r>
            <w:r>
              <w:rPr>
                <w:rFonts w:hint="eastAsia"/>
                <w:color w:val="auto"/>
                <w:lang w:eastAsia="zh-CN"/>
              </w:rPr>
              <w:t>，</w:t>
            </w:r>
            <w:r>
              <w:rPr>
                <w:rFonts w:hint="eastAsia"/>
                <w:color w:val="auto"/>
                <w:lang w:val="en-US" w:eastAsia="zh-CN"/>
              </w:rPr>
              <w:t>储存能力30t，</w:t>
            </w:r>
            <w:r>
              <w:rPr>
                <w:color w:val="auto"/>
              </w:rPr>
              <w:t>应严格按照《危险废物贮存污染控制标准》（GB18597-2023）中的相关要求建设。</w:t>
            </w:r>
          </w:p>
          <w:p>
            <w:pPr>
              <w:bidi w:val="0"/>
              <w:rPr>
                <w:color w:val="auto"/>
              </w:rPr>
            </w:pPr>
            <w:r>
              <w:rPr>
                <w:color w:val="auto"/>
              </w:rPr>
              <w:t>①危险废物贴有危险废物标识，贮存间设有危险废物警示标志，由专人进行管理，现场有危险废物排放量及处置记录。</w:t>
            </w:r>
          </w:p>
          <w:p>
            <w:pPr>
              <w:bidi w:val="0"/>
              <w:rPr>
                <w:color w:val="auto"/>
              </w:rPr>
            </w:pPr>
            <w:r>
              <w:rPr>
                <w:color w:val="auto"/>
              </w:rPr>
              <w:t>②废物间地面及四周裙脚均进行了防渗处理，防渗层渗透系数小于1×10-10cm/s。</w:t>
            </w:r>
          </w:p>
          <w:p>
            <w:pPr>
              <w:bidi w:val="0"/>
              <w:rPr>
                <w:color w:val="auto"/>
              </w:rPr>
            </w:pPr>
            <w:r>
              <w:rPr>
                <w:color w:val="auto"/>
              </w:rPr>
              <w:t>③对装有危险废物的密闭容器定期进行检查，泄漏损坏时必须立即进行处理，并将其装入完好容器内。</w:t>
            </w:r>
          </w:p>
          <w:p>
            <w:pPr>
              <w:bidi w:val="0"/>
              <w:rPr>
                <w:color w:val="auto"/>
              </w:rPr>
            </w:pPr>
            <w:r>
              <w:rPr>
                <w:color w:val="auto"/>
              </w:rPr>
              <w:t>④危险废物转移应遵从《危险废物转移联单管理办法》及其他有关规定的要求。</w:t>
            </w:r>
          </w:p>
          <w:p>
            <w:pPr>
              <w:pStyle w:val="24"/>
              <w:bidi w:val="0"/>
              <w:rPr>
                <w:color w:val="auto"/>
              </w:rPr>
            </w:pPr>
            <w:r>
              <w:rPr>
                <w:color w:val="auto"/>
              </w:rPr>
              <w:t>表4-</w:t>
            </w:r>
            <w:r>
              <w:rPr>
                <w:rFonts w:hint="eastAsia"/>
                <w:color w:val="auto"/>
                <w:lang w:val="en-US" w:eastAsia="zh-CN"/>
              </w:rPr>
              <w:t>19</w:t>
            </w:r>
            <w:r>
              <w:rPr>
                <w:rFonts w:hint="eastAsia"/>
                <w:color w:val="auto"/>
              </w:rPr>
              <w:t xml:space="preserve">  本项目</w:t>
            </w:r>
            <w:r>
              <w:rPr>
                <w:color w:val="auto"/>
              </w:rPr>
              <w:t>固体废物汇总表</w:t>
            </w:r>
          </w:p>
          <w:tbl>
            <w:tblPr>
              <w:jc w:val="left"/>
              <w:tblInd w:w="0" w:type="dxa"/>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49"/>
              <w:gridCol w:w="602"/>
              <w:gridCol w:w="496"/>
              <w:gridCol w:w="655"/>
              <w:gridCol w:w="1286"/>
              <w:gridCol w:w="496"/>
              <w:gridCol w:w="927"/>
              <w:gridCol w:w="771"/>
              <w:gridCol w:w="496"/>
              <w:gridCol w:w="1075"/>
              <w:gridCol w:w="851"/>
            </w:tblGrid>
            <w:tr>
              <w:trPr>
                <w:trHeight w:val="23"/>
              </w:trPr>
              <w:tc>
                <w:tcPr>
                  <w:tcW w:w="445" w:type="pct"/>
                  <w:tcBorders>
                    <w:tl2br w:val="nil"/>
                    <w:tr2bl w:val="nil"/>
                  </w:tcBorders>
                  <w:vAlign w:val="center"/>
                </w:tcPr>
                <w:p>
                  <w:pPr>
                    <w:pStyle w:val="23"/>
                    <w:bidi w:val="0"/>
                    <w:rPr>
                      <w:color w:val="auto"/>
                    </w:rPr>
                  </w:pPr>
                  <w:r>
                    <w:rPr>
                      <w:color w:val="auto"/>
                    </w:rPr>
                    <w:t>产生</w:t>
                  </w:r>
                </w:p>
                <w:p>
                  <w:pPr>
                    <w:pStyle w:val="23"/>
                    <w:bidi w:val="0"/>
                    <w:rPr>
                      <w:color w:val="auto"/>
                    </w:rPr>
                  </w:pPr>
                  <w:r>
                    <w:rPr>
                      <w:color w:val="auto"/>
                    </w:rPr>
                    <w:t>环节</w:t>
                  </w:r>
                </w:p>
              </w:tc>
              <w:tc>
                <w:tcPr>
                  <w:tcW w:w="358" w:type="pct"/>
                  <w:tcBorders>
                    <w:tl2br w:val="nil"/>
                    <w:tr2bl w:val="nil"/>
                  </w:tcBorders>
                  <w:vAlign w:val="center"/>
                </w:tcPr>
                <w:p>
                  <w:pPr>
                    <w:pStyle w:val="23"/>
                    <w:bidi w:val="0"/>
                    <w:rPr>
                      <w:color w:val="auto"/>
                    </w:rPr>
                  </w:pPr>
                  <w:r>
                    <w:rPr>
                      <w:color w:val="auto"/>
                    </w:rPr>
                    <w:t>固废名称</w:t>
                  </w:r>
                </w:p>
              </w:tc>
              <w:tc>
                <w:tcPr>
                  <w:tcW w:w="295" w:type="pct"/>
                  <w:tcBorders>
                    <w:tl2br w:val="nil"/>
                    <w:tr2bl w:val="nil"/>
                  </w:tcBorders>
                  <w:vAlign w:val="center"/>
                </w:tcPr>
                <w:p>
                  <w:pPr>
                    <w:pStyle w:val="23"/>
                    <w:bidi w:val="0"/>
                    <w:rPr>
                      <w:color w:val="auto"/>
                    </w:rPr>
                  </w:pPr>
                  <w:r>
                    <w:rPr>
                      <w:color w:val="auto"/>
                    </w:rPr>
                    <w:t>属性</w:t>
                  </w:r>
                </w:p>
              </w:tc>
              <w:tc>
                <w:tcPr>
                  <w:tcW w:w="389" w:type="pct"/>
                  <w:tcBorders>
                    <w:tl2br w:val="nil"/>
                    <w:tr2bl w:val="nil"/>
                  </w:tcBorders>
                  <w:vAlign w:val="center"/>
                </w:tcPr>
                <w:p>
                  <w:pPr>
                    <w:pStyle w:val="23"/>
                    <w:bidi w:val="0"/>
                    <w:rPr>
                      <w:color w:val="auto"/>
                    </w:rPr>
                  </w:pPr>
                  <w:r>
                    <w:rPr>
                      <w:color w:val="auto"/>
                    </w:rPr>
                    <w:t>主要有毒有害物质名称</w:t>
                  </w:r>
                </w:p>
              </w:tc>
              <w:tc>
                <w:tcPr>
                  <w:tcW w:w="764" w:type="pct"/>
                  <w:tcBorders>
                    <w:tl2br w:val="nil"/>
                    <w:tr2bl w:val="nil"/>
                  </w:tcBorders>
                  <w:vAlign w:val="center"/>
                </w:tcPr>
                <w:p>
                  <w:pPr>
                    <w:pStyle w:val="23"/>
                    <w:bidi w:val="0"/>
                    <w:rPr>
                      <w:color w:val="auto"/>
                    </w:rPr>
                  </w:pPr>
                  <w:r>
                    <w:rPr>
                      <w:rFonts w:hint="eastAsia"/>
                      <w:color w:val="auto"/>
                    </w:rPr>
                    <w:t>代码</w:t>
                  </w:r>
                </w:p>
              </w:tc>
              <w:tc>
                <w:tcPr>
                  <w:tcW w:w="295" w:type="pct"/>
                  <w:tcBorders>
                    <w:tl2br w:val="nil"/>
                    <w:tr2bl w:val="nil"/>
                  </w:tcBorders>
                  <w:vAlign w:val="center"/>
                </w:tcPr>
                <w:p>
                  <w:pPr>
                    <w:pStyle w:val="23"/>
                    <w:bidi w:val="0"/>
                    <w:rPr>
                      <w:color w:val="auto"/>
                    </w:rPr>
                  </w:pPr>
                  <w:r>
                    <w:rPr>
                      <w:color w:val="auto"/>
                    </w:rPr>
                    <w:t>物理性状</w:t>
                  </w:r>
                </w:p>
              </w:tc>
              <w:tc>
                <w:tcPr>
                  <w:tcW w:w="551" w:type="pct"/>
                  <w:tcBorders>
                    <w:tl2br w:val="nil"/>
                    <w:tr2bl w:val="nil"/>
                  </w:tcBorders>
                  <w:vAlign w:val="center"/>
                </w:tcPr>
                <w:p>
                  <w:pPr>
                    <w:pStyle w:val="23"/>
                    <w:bidi w:val="0"/>
                    <w:rPr>
                      <w:color w:val="auto"/>
                    </w:rPr>
                  </w:pPr>
                  <w:r>
                    <w:rPr>
                      <w:color w:val="auto"/>
                    </w:rPr>
                    <w:t>环境危险特性</w:t>
                  </w:r>
                </w:p>
              </w:tc>
              <w:tc>
                <w:tcPr>
                  <w:tcW w:w="458" w:type="pct"/>
                  <w:tcBorders>
                    <w:tl2br w:val="nil"/>
                    <w:tr2bl w:val="nil"/>
                  </w:tcBorders>
                  <w:vAlign w:val="center"/>
                </w:tcPr>
                <w:p>
                  <w:pPr>
                    <w:pStyle w:val="23"/>
                    <w:bidi w:val="0"/>
                    <w:rPr>
                      <w:color w:val="auto"/>
                    </w:rPr>
                  </w:pPr>
                  <w:r>
                    <w:rPr>
                      <w:color w:val="auto"/>
                    </w:rPr>
                    <w:t>产生量</w:t>
                  </w:r>
                  <w:r>
                    <w:rPr>
                      <w:rFonts w:hint="eastAsia"/>
                      <w:color w:val="auto"/>
                      <w:lang w:eastAsia="zh-CN"/>
                    </w:rPr>
                    <w:t>（</w:t>
                  </w:r>
                  <w:r>
                    <w:rPr>
                      <w:color w:val="auto"/>
                    </w:rPr>
                    <w:t>t/a)</w:t>
                  </w:r>
                </w:p>
              </w:tc>
              <w:tc>
                <w:tcPr>
                  <w:tcW w:w="295" w:type="pct"/>
                  <w:tcBorders>
                    <w:tl2br w:val="nil"/>
                    <w:tr2bl w:val="nil"/>
                  </w:tcBorders>
                  <w:vAlign w:val="center"/>
                </w:tcPr>
                <w:p>
                  <w:pPr>
                    <w:pStyle w:val="23"/>
                    <w:bidi w:val="0"/>
                    <w:rPr>
                      <w:color w:val="auto"/>
                    </w:rPr>
                  </w:pPr>
                  <w:r>
                    <w:rPr>
                      <w:color w:val="auto"/>
                    </w:rPr>
                    <w:t>贮存方式</w:t>
                  </w:r>
                </w:p>
              </w:tc>
              <w:tc>
                <w:tcPr>
                  <w:tcW w:w="639" w:type="pct"/>
                  <w:tcBorders>
                    <w:tl2br w:val="nil"/>
                    <w:tr2bl w:val="nil"/>
                  </w:tcBorders>
                  <w:vAlign w:val="center"/>
                </w:tcPr>
                <w:p>
                  <w:pPr>
                    <w:pStyle w:val="23"/>
                    <w:bidi w:val="0"/>
                    <w:rPr>
                      <w:color w:val="auto"/>
                    </w:rPr>
                  </w:pPr>
                  <w:r>
                    <w:rPr>
                      <w:color w:val="auto"/>
                    </w:rPr>
                    <w:t>利用处置方式和去向</w:t>
                  </w:r>
                </w:p>
              </w:tc>
              <w:tc>
                <w:tcPr>
                  <w:tcW w:w="506" w:type="pct"/>
                  <w:tcBorders>
                    <w:tl2br w:val="nil"/>
                    <w:tr2bl w:val="nil"/>
                  </w:tcBorders>
                  <w:vAlign w:val="center"/>
                </w:tcPr>
                <w:p>
                  <w:pPr>
                    <w:pStyle w:val="23"/>
                    <w:bidi w:val="0"/>
                    <w:rPr>
                      <w:color w:val="auto"/>
                    </w:rPr>
                  </w:pPr>
                  <w:r>
                    <w:rPr>
                      <w:color w:val="auto"/>
                    </w:rPr>
                    <w:t>利用或处置量</w:t>
                  </w:r>
                  <w:r>
                    <w:rPr>
                      <w:rFonts w:hint="eastAsia"/>
                      <w:color w:val="auto"/>
                      <w:lang w:eastAsia="zh-CN"/>
                    </w:rPr>
                    <w:t>（</w:t>
                  </w:r>
                  <w:r>
                    <w:rPr>
                      <w:color w:val="auto"/>
                    </w:rPr>
                    <w:t>t/a)</w:t>
                  </w:r>
                </w:p>
              </w:tc>
            </w:tr>
            <w:tr>
              <w:trPr>
                <w:trHeight w:val="23"/>
              </w:trPr>
              <w:tc>
                <w:tcPr>
                  <w:tcW w:w="44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原材料</w:t>
                  </w:r>
                </w:p>
              </w:tc>
              <w:tc>
                <w:tcPr>
                  <w:tcW w:w="35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废包装</w:t>
                  </w:r>
                </w:p>
              </w:tc>
              <w:tc>
                <w:tcPr>
                  <w:tcW w:w="295" w:type="pct"/>
                  <w:vMerge w:val="restart"/>
                  <w:tcBorders>
                    <w:tl2br w:val="nil"/>
                    <w:tr2bl w:val="nil"/>
                  </w:tcBorders>
                  <w:shd w:val="clear" w:color="auto" w:fill="auto"/>
                  <w:vAlign w:val="center"/>
                </w:tcPr>
                <w:p>
                  <w:pPr>
                    <w:pStyle w:val="23"/>
                    <w:bidi w:val="0"/>
                    <w:rPr>
                      <w:color w:val="auto"/>
                    </w:rPr>
                  </w:pPr>
                  <w:r>
                    <w:rPr>
                      <w:rFonts w:hint="eastAsia"/>
                      <w:color w:val="auto"/>
                    </w:rPr>
                    <w:t>一般固废</w:t>
                  </w:r>
                </w:p>
              </w:tc>
              <w:tc>
                <w:tcPr>
                  <w:tcW w:w="38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tcW w:w="764"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900-099-S59</w:t>
                  </w:r>
                </w:p>
              </w:tc>
              <w:tc>
                <w:tcPr>
                  <w:tcW w:w="29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固体</w:t>
                  </w:r>
                </w:p>
              </w:tc>
              <w:tc>
                <w:tcPr>
                  <w:tcW w:w="551"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tcW w:w="45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w:t>
                  </w:r>
                </w:p>
              </w:tc>
              <w:tc>
                <w:tcPr>
                  <w:tcW w:w="29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袋装</w:t>
                  </w:r>
                </w:p>
              </w:tc>
              <w:tc>
                <w:tcPr>
                  <w:tcW w:w="639" w:type="pct"/>
                  <w:vMerge w:val="restart"/>
                  <w:tcBorders>
                    <w:tl2br w:val="nil"/>
                    <w:tr2bl w:val="nil"/>
                  </w:tcBorders>
                  <w:vAlign w:val="center"/>
                </w:tcPr>
                <w:p>
                  <w:pPr>
                    <w:pStyle w:val="23"/>
                    <w:bidi w:val="0"/>
                    <w:rPr>
                      <w:color w:val="auto"/>
                    </w:rPr>
                  </w:pPr>
                  <w:r>
                    <w:rPr>
                      <w:rFonts w:hint="eastAsia"/>
                      <w:color w:val="auto"/>
                    </w:rPr>
                    <w:t>统一收集后</w:t>
                  </w:r>
                  <w:r>
                    <w:rPr>
                      <w:rFonts w:hint="eastAsia"/>
                      <w:color w:val="auto"/>
                      <w:lang w:val="en-US" w:eastAsia="zh-CN"/>
                    </w:rPr>
                    <w:t>暂存一般固废间，</w:t>
                  </w:r>
                  <w:r>
                    <w:rPr>
                      <w:rFonts w:hint="eastAsia"/>
                      <w:color w:val="auto"/>
                    </w:rPr>
                    <w:t>外售</w:t>
                  </w:r>
                  <w:r>
                    <w:rPr>
                      <w:rFonts w:hint="eastAsia"/>
                      <w:color w:val="auto"/>
                      <w:lang w:val="en-US" w:eastAsia="zh-CN"/>
                    </w:rPr>
                    <w:t>综合利用</w:t>
                  </w: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1</w:t>
                  </w:r>
                </w:p>
              </w:tc>
            </w:tr>
            <w:tr>
              <w:trPr>
                <w:trHeight w:val="23"/>
              </w:trPr>
              <w:tc>
                <w:tcPr>
                  <w:tcW w:w="445" w:type="pct"/>
                  <w:vMerge w:val="restar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布袋除尘器</w:t>
                  </w:r>
                </w:p>
              </w:tc>
              <w:tc>
                <w:tcPr>
                  <w:tcW w:w="358" w:type="pc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废布袋</w:t>
                  </w:r>
                </w:p>
              </w:tc>
              <w:tc>
                <w:tcPr>
                  <w:tcW w:w="295" w:type="pct"/>
                  <w:vMerge/>
                  <w:tcBorders>
                    <w:tl2br w:val="nil"/>
                    <w:tr2bl w:val="nil"/>
                  </w:tcBorders>
                  <w:vAlign w:val="center"/>
                </w:tcPr>
                <w:p/>
              </w:tc>
              <w:tc>
                <w:tcPr>
                  <w:tcW w:w="389"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w:t>
                  </w:r>
                </w:p>
              </w:tc>
              <w:tc>
                <w:tcPr>
                  <w:tcW w:w="764" w:type="pc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900-099-S59</w:t>
                  </w:r>
                </w:p>
              </w:tc>
              <w:tc>
                <w:tcPr>
                  <w:tcW w:w="295" w:type="pc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固体</w:t>
                  </w:r>
                </w:p>
              </w:tc>
              <w:tc>
                <w:tcPr>
                  <w:tcW w:w="551" w:type="pc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w:t>
                  </w:r>
                </w:p>
              </w:tc>
              <w:tc>
                <w:tcPr>
                  <w:tcW w:w="458" w:type="pct"/>
                  <w:tcBorders>
                    <w:tl2br w:val="nil"/>
                    <w:tr2bl w:val="nil"/>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0.08</w:t>
                  </w:r>
                </w:p>
              </w:tc>
              <w:tc>
                <w:tcPr>
                  <w:tcW w:w="29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0.08</w:t>
                  </w:r>
                </w:p>
              </w:tc>
            </w:tr>
            <w:tr>
              <w:trPr>
                <w:trHeight w:val="23"/>
              </w:trPr>
              <w:tc>
                <w:tcPr>
                  <w:tcW w:w="445" w:type="pct"/>
                  <w:vMerge/>
                  <w:tcBorders>
                    <w:tl2br w:val="nil"/>
                    <w:tr2bl w:val="nil"/>
                  </w:tcBorders>
                  <w:vAlign w:val="center"/>
                </w:tcPr>
                <w:p/>
              </w:tc>
              <w:tc>
                <w:tcPr>
                  <w:tcW w:w="358" w:type="pct"/>
                  <w:tcBorders>
                    <w:tl2br w:val="nil"/>
                    <w:tr2bl w:val="nil"/>
                  </w:tcBorders>
                  <w:vAlign w:val="center"/>
                </w:tcPr>
                <w:p>
                  <w:pPr>
                    <w:pStyle w:val="23"/>
                    <w:bidi w:val="0"/>
                    <w:ind w:firstLine="0"/>
                    <w:rPr>
                      <w:color w:val="auto"/>
                      <w:lang w:val="en-US" w:eastAsia="zh-CN"/>
                    </w:rPr>
                  </w:pPr>
                  <w:r>
                    <w:rPr>
                      <w:color w:val="auto"/>
                      <w:lang w:val="en-US" w:eastAsia="zh-CN"/>
                    </w:rPr>
                    <w:t>除尘灰</w:t>
                  </w:r>
                </w:p>
              </w:tc>
              <w:tc>
                <w:tcPr>
                  <w:tcW w:w="295" w:type="pct"/>
                  <w:vMerge/>
                  <w:tcBorders>
                    <w:tl2br w:val="nil"/>
                    <w:tr2bl w:val="nil"/>
                  </w:tcBorders>
                  <w:vAlign w:val="center"/>
                </w:tcPr>
                <w:p/>
              </w:tc>
              <w:tc>
                <w:tcPr>
                  <w:tcW w:w="389"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w:t>
                  </w:r>
                </w:p>
              </w:tc>
              <w:tc>
                <w:tcPr>
                  <w:tcW w:w="764" w:type="pc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900-099-S59</w:t>
                  </w:r>
                </w:p>
              </w:tc>
              <w:tc>
                <w:tcPr>
                  <w:tcW w:w="295" w:type="pct"/>
                  <w:tcBorders>
                    <w:tl2br w:val="nil"/>
                    <w:tr2bl w:val="nil"/>
                  </w:tcBorders>
                  <w:vAlign w:val="center"/>
                </w:tcPr>
                <w:p>
                  <w:pPr>
                    <w:pStyle w:val="23"/>
                    <w:bidi w:val="0"/>
                    <w:ind w:firstLine="0"/>
                    <w:rPr>
                      <w:color w:val="auto"/>
                    </w:rPr>
                  </w:pPr>
                  <w:r>
                    <w:rPr>
                      <w:color w:val="auto"/>
                    </w:rPr>
                    <w:t>固体</w:t>
                  </w:r>
                </w:p>
              </w:tc>
              <w:tc>
                <w:tcPr>
                  <w:tcW w:w="551" w:type="pct"/>
                  <w:tcBorders>
                    <w:tl2br w:val="nil"/>
                    <w:tr2bl w:val="nil"/>
                  </w:tcBorders>
                  <w:vAlign w:val="center"/>
                </w:tcPr>
                <w:p>
                  <w:pPr>
                    <w:pStyle w:val="23"/>
                    <w:bidi w:val="0"/>
                    <w:ind w:firstLine="0"/>
                    <w:rPr>
                      <w:rFonts w:hint="eastAsia"/>
                      <w:color w:val="auto"/>
                    </w:rPr>
                  </w:pPr>
                  <w:r>
                    <w:rPr>
                      <w:rFonts w:hint="eastAsia"/>
                      <w:color w:val="auto"/>
                    </w:rPr>
                    <w:t>/</w:t>
                  </w:r>
                </w:p>
              </w:tc>
              <w:tc>
                <w:tcPr>
                  <w:tcW w:w="458" w:type="pct"/>
                  <w:tcBorders>
                    <w:tl2br w:val="nil"/>
                    <w:tr2bl w:val="nil"/>
                  </w:tcBorders>
                  <w:vAlign w:val="center"/>
                </w:tcPr>
                <w:p>
                  <w:pPr>
                    <w:pStyle w:val="23"/>
                    <w:bidi w:val="0"/>
                    <w:ind w:firstLine="0"/>
                    <w:rPr>
                      <w:rFonts w:hint="eastAsia"/>
                      <w:color w:val="auto"/>
                      <w:lang w:val="en-US" w:eastAsia="zh-CN"/>
                    </w:rPr>
                  </w:pPr>
                  <w:r>
                    <w:rPr>
                      <w:rFonts w:hint="eastAsia"/>
                      <w:color w:val="auto"/>
                      <w:lang w:val="en-US" w:eastAsia="zh-CN"/>
                    </w:rPr>
                    <w:t>0.482</w:t>
                  </w:r>
                </w:p>
              </w:tc>
              <w:tc>
                <w:tcPr>
                  <w:tcW w:w="29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桶装</w:t>
                  </w:r>
                </w:p>
              </w:tc>
              <w:tc>
                <w:tcPr>
                  <w:tcW w:w="639" w:type="pct"/>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统一收集后交环卫部门处置</w:t>
                  </w: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0.482</w:t>
                  </w:r>
                </w:p>
              </w:tc>
            </w:tr>
            <w:tr>
              <w:trPr>
                <w:trHeight w:val="23"/>
              </w:trPr>
              <w:tc>
                <w:tcPr>
                  <w:tcW w:w="445" w:type="pct"/>
                  <w:vMerge w:val="restart"/>
                  <w:tcBorders>
                    <w:tl2br w:val="nil"/>
                    <w:tr2bl w:val="nil"/>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污水处理站</w:t>
                  </w:r>
                </w:p>
              </w:tc>
              <w:tc>
                <w:tcPr>
                  <w:tcW w:w="358" w:type="pct"/>
                  <w:tcBorders>
                    <w:tl2br w:val="nil"/>
                    <w:tr2bl w:val="nil"/>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浮油</w:t>
                  </w:r>
                </w:p>
              </w:tc>
              <w:tc>
                <w:tcPr>
                  <w:tcW w:w="295" w:type="pct"/>
                  <w:vMerge/>
                  <w:tcBorders>
                    <w:tl2br w:val="nil"/>
                    <w:tr2bl w:val="nil"/>
                  </w:tcBorders>
                  <w:vAlign w:val="center"/>
                </w:tcPr>
                <w:p/>
              </w:tc>
              <w:tc>
                <w:tcPr>
                  <w:tcW w:w="389" w:type="pct"/>
                  <w:tcBorders>
                    <w:tl2br w:val="nil"/>
                    <w:tr2bl w:val="nil"/>
                  </w:tcBorders>
                  <w:vAlign w:val="center"/>
                </w:tcPr>
                <w:p>
                  <w:pPr>
                    <w:pStyle w:val="23"/>
                    <w:bidi w:val="0"/>
                    <w:rPr>
                      <w:color w:val="auto"/>
                      <w:lang w:val="en-US" w:eastAsia="zh-CN"/>
                    </w:rPr>
                  </w:pPr>
                  <w:r>
                    <w:rPr>
                      <w:rFonts w:hint="eastAsia"/>
                      <w:color w:val="auto"/>
                      <w:lang w:val="en-US" w:eastAsia="zh-CN"/>
                    </w:rPr>
                    <w:t>/</w:t>
                  </w:r>
                </w:p>
              </w:tc>
              <w:tc>
                <w:tcPr>
                  <w:tcW w:w="764" w:type="pct"/>
                  <w:tcBorders>
                    <w:tl2br w:val="nil"/>
                    <w:tr2bl w:val="nil"/>
                  </w:tcBorders>
                  <w:vAlign w:val="center"/>
                </w:tcPr>
                <w:p>
                  <w:pPr>
                    <w:pStyle w:val="23"/>
                    <w:bidi w:val="0"/>
                    <w:rPr>
                      <w:color w:val="auto"/>
                      <w:lang w:val="en-US" w:eastAsia="zh-CN"/>
                    </w:rPr>
                  </w:pPr>
                  <w:r>
                    <w:rPr>
                      <w:color w:val="auto"/>
                      <w:lang w:val="en-US" w:eastAsia="zh-CN"/>
                    </w:rPr>
                    <w:t>900-099-S59</w:t>
                  </w:r>
                </w:p>
              </w:tc>
              <w:tc>
                <w:tcPr>
                  <w:tcW w:w="295" w:type="pct"/>
                  <w:tcBorders>
                    <w:tl2br w:val="nil"/>
                    <w:tr2bl w:val="nil"/>
                  </w:tcBorders>
                  <w:vAlign w:val="center"/>
                </w:tcPr>
                <w:p>
                  <w:pPr>
                    <w:pStyle w:val="23"/>
                    <w:bidi w:val="0"/>
                    <w:rPr>
                      <w:color w:val="auto"/>
                      <w:lang w:val="en-US" w:eastAsia="zh-CN"/>
                    </w:rPr>
                  </w:pPr>
                  <w:r>
                    <w:rPr>
                      <w:rFonts w:hint="eastAsia"/>
                      <w:color w:val="auto"/>
                      <w:lang w:val="en-US" w:eastAsia="zh-CN"/>
                    </w:rPr>
                    <w:t>液体</w:t>
                  </w:r>
                </w:p>
              </w:tc>
              <w:tc>
                <w:tcPr>
                  <w:tcW w:w="551"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w:t>
                  </w:r>
                </w:p>
              </w:tc>
              <w:tc>
                <w:tcPr>
                  <w:tcW w:w="458" w:type="pct"/>
                  <w:tcBorders>
                    <w:tl2br w:val="nil"/>
                    <w:tr2bl w:val="nil"/>
                  </w:tcBorders>
                  <w:vAlign w:val="center"/>
                </w:tcPr>
                <w:p>
                  <w:pPr>
                    <w:pStyle w:val="23"/>
                    <w:bidi w:val="0"/>
                    <w:rPr>
                      <w:color w:val="auto"/>
                      <w:lang w:val="en-US" w:eastAsia="zh-CN"/>
                    </w:rPr>
                  </w:pPr>
                  <w:r>
                    <w:rPr>
                      <w:color w:val="auto"/>
                      <w:lang w:val="en-US" w:eastAsia="zh-CN"/>
                    </w:rPr>
                    <w:t>0.683</w:t>
                  </w:r>
                </w:p>
              </w:tc>
              <w:tc>
                <w:tcPr>
                  <w:tcW w:w="295" w:type="pct"/>
                  <w:tcBorders>
                    <w:tl2br w:val="nil"/>
                    <w:tr2bl w:val="nil"/>
                  </w:tcBorders>
                  <w:vAlign w:val="center"/>
                </w:tcPr>
                <w:p>
                  <w:pPr>
                    <w:pStyle w:val="23"/>
                    <w:bidi w:val="0"/>
                    <w:rPr>
                      <w:rFonts w:eastAsia="宋体" w:hint="eastAsia"/>
                      <w:color w:val="auto"/>
                      <w:lang w:val="en-US" w:eastAsia="zh-CN"/>
                    </w:rPr>
                  </w:pPr>
                  <w:r>
                    <w:rPr>
                      <w:color w:val="auto"/>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0.683</w:t>
                  </w:r>
                </w:p>
              </w:tc>
            </w:tr>
            <w:tr>
              <w:trPr>
                <w:trHeight w:val="23"/>
              </w:trPr>
              <w:tc>
                <w:tcPr>
                  <w:tcW w:w="445" w:type="pct"/>
                  <w:vMerge/>
                  <w:tcBorders>
                    <w:tl2br w:val="nil"/>
                    <w:tr2bl w:val="nil"/>
                  </w:tcBorders>
                  <w:vAlign w:val="center"/>
                </w:tcPr>
                <w:p/>
              </w:tc>
              <w:tc>
                <w:tcPr>
                  <w:tcW w:w="358" w:type="pct"/>
                  <w:tcBorders>
                    <w:tl2br w:val="nil"/>
                    <w:tr2bl w:val="nil"/>
                  </w:tcBorders>
                  <w:vAlign w:val="center"/>
                </w:tcPr>
                <w:p>
                  <w:pPr>
                    <w:pStyle w:val="23"/>
                    <w:bidi w:val="0"/>
                    <w:rPr>
                      <w:color w:val="auto"/>
                      <w:lang w:val="en-US" w:eastAsia="zh-CN"/>
                    </w:rPr>
                  </w:pPr>
                  <w:r>
                    <w:rPr>
                      <w:color w:val="auto"/>
                      <w:lang w:val="en-US" w:eastAsia="zh-CN"/>
                    </w:rPr>
                    <w:t>污泥</w:t>
                  </w:r>
                </w:p>
              </w:tc>
              <w:tc>
                <w:tcPr>
                  <w:tcW w:w="295" w:type="pct"/>
                  <w:vMerge/>
                  <w:tcBorders>
                    <w:tl2br w:val="nil"/>
                    <w:tr2bl w:val="nil"/>
                  </w:tcBorders>
                  <w:vAlign w:val="center"/>
                </w:tcPr>
                <w:p/>
              </w:tc>
              <w:tc>
                <w:tcPr>
                  <w:tcW w:w="389" w:type="pct"/>
                  <w:tcBorders>
                    <w:tl2br w:val="nil"/>
                    <w:tr2bl w:val="nil"/>
                  </w:tcBorders>
                  <w:vAlign w:val="center"/>
                </w:tcPr>
                <w:p>
                  <w:pPr>
                    <w:pStyle w:val="23"/>
                    <w:bidi w:val="0"/>
                    <w:rPr>
                      <w:color w:val="auto"/>
                      <w:lang w:val="en-US" w:eastAsia="zh-CN"/>
                    </w:rPr>
                  </w:pPr>
                  <w:r>
                    <w:rPr>
                      <w:rFonts w:hint="eastAsia"/>
                      <w:color w:val="auto"/>
                      <w:lang w:val="en-US" w:eastAsia="zh-CN"/>
                    </w:rPr>
                    <w:t>/</w:t>
                  </w:r>
                </w:p>
              </w:tc>
              <w:tc>
                <w:tcPr>
                  <w:tcW w:w="764" w:type="pct"/>
                  <w:tcBorders>
                    <w:tl2br w:val="nil"/>
                    <w:tr2bl w:val="nil"/>
                  </w:tcBorders>
                  <w:vAlign w:val="center"/>
                </w:tcPr>
                <w:p>
                  <w:pPr>
                    <w:pStyle w:val="23"/>
                    <w:bidi w:val="0"/>
                    <w:rPr>
                      <w:color w:val="auto"/>
                      <w:lang w:val="en-US" w:eastAsia="zh-CN"/>
                    </w:rPr>
                  </w:pPr>
                  <w:r>
                    <w:rPr>
                      <w:color w:val="auto"/>
                      <w:lang w:val="en-US" w:eastAsia="zh-CN"/>
                    </w:rPr>
                    <w:t>150-001-S07</w:t>
                  </w:r>
                </w:p>
              </w:tc>
              <w:tc>
                <w:tcPr>
                  <w:tcW w:w="295" w:type="pct"/>
                  <w:tcBorders>
                    <w:tl2br w:val="nil"/>
                    <w:tr2bl w:val="nil"/>
                  </w:tcBorders>
                  <w:vAlign w:val="center"/>
                </w:tcPr>
                <w:p>
                  <w:pPr>
                    <w:pStyle w:val="23"/>
                    <w:bidi w:val="0"/>
                    <w:rPr>
                      <w:color w:val="auto"/>
                      <w:lang w:val="en-US" w:eastAsia="zh-CN"/>
                    </w:rPr>
                  </w:pPr>
                  <w:r>
                    <w:rPr>
                      <w:rFonts w:hint="eastAsia"/>
                      <w:color w:val="auto"/>
                      <w:lang w:val="en-US" w:eastAsia="zh-CN"/>
                    </w:rPr>
                    <w:t>固体</w:t>
                  </w:r>
                </w:p>
              </w:tc>
              <w:tc>
                <w:tcPr>
                  <w:tcW w:w="551" w:type="pct"/>
                  <w:tcBorders>
                    <w:tl2br w:val="nil"/>
                    <w:tr2bl w:val="nil"/>
                  </w:tcBorders>
                  <w:vAlign w:val="center"/>
                </w:tcPr>
                <w:p>
                  <w:pPr>
                    <w:pStyle w:val="23"/>
                    <w:bidi w:val="0"/>
                    <w:rPr>
                      <w:color w:val="auto"/>
                      <w:lang w:val="en-US" w:eastAsia="zh-CN"/>
                    </w:rPr>
                  </w:pPr>
                  <w:r>
                    <w:rPr>
                      <w:rFonts w:hint="eastAsia"/>
                      <w:color w:val="auto"/>
                      <w:lang w:val="en-US" w:eastAsia="zh-CN"/>
                    </w:rPr>
                    <w:t>/</w:t>
                  </w:r>
                </w:p>
              </w:tc>
              <w:tc>
                <w:tcPr>
                  <w:tcW w:w="458" w:type="pct"/>
                  <w:tcBorders>
                    <w:tl2br w:val="nil"/>
                    <w:tr2bl w:val="nil"/>
                  </w:tcBorders>
                  <w:vAlign w:val="center"/>
                </w:tcPr>
                <w:p>
                  <w:pPr>
                    <w:pStyle w:val="23"/>
                    <w:bidi w:val="0"/>
                    <w:rPr>
                      <w:color w:val="auto"/>
                      <w:lang w:val="en-US" w:eastAsia="zh-CN"/>
                    </w:rPr>
                  </w:pPr>
                  <w:r>
                    <w:rPr>
                      <w:rFonts w:hint="eastAsia"/>
                      <w:color w:val="auto"/>
                      <w:lang w:val="en-US" w:eastAsia="zh-CN"/>
                    </w:rPr>
                    <w:t>7.215</w:t>
                  </w:r>
                </w:p>
              </w:tc>
              <w:tc>
                <w:tcPr>
                  <w:tcW w:w="295" w:type="pct"/>
                  <w:tcBorders>
                    <w:tl2br w:val="nil"/>
                    <w:tr2bl w:val="nil"/>
                  </w:tcBorders>
                  <w:vAlign w:val="center"/>
                </w:tcPr>
                <w:p>
                  <w:pPr>
                    <w:pStyle w:val="23"/>
                    <w:bidi w:val="0"/>
                    <w:rPr>
                      <w:color w:val="auto"/>
                    </w:rPr>
                  </w:pPr>
                  <w:r>
                    <w:rPr>
                      <w:color w:val="auto"/>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7.215</w:t>
                  </w:r>
                </w:p>
              </w:tc>
            </w:tr>
            <w:tr>
              <w:trPr>
                <w:trHeight w:val="23"/>
              </w:trPr>
              <w:tc>
                <w:tcPr>
                  <w:tcW w:w="445" w:type="pct"/>
                  <w:tcBorders>
                    <w:tl2br w:val="nil"/>
                    <w:tr2bl w:val="nil"/>
                  </w:tcBorders>
                  <w:vAlign w:val="center"/>
                </w:tcPr>
                <w:p>
                  <w:pPr>
                    <w:pStyle w:val="23"/>
                    <w:bidi w:val="0"/>
                    <w:rPr>
                      <w:color w:val="auto"/>
                      <w:lang w:val="en-US" w:eastAsia="zh-CN"/>
                    </w:rPr>
                  </w:pPr>
                  <w:r>
                    <w:rPr>
                      <w:rFonts w:hint="eastAsia"/>
                      <w:color w:val="auto"/>
                      <w:lang w:val="en-US" w:eastAsia="zh-CN"/>
                    </w:rPr>
                    <w:t>研发实验室</w:t>
                  </w:r>
                </w:p>
              </w:tc>
              <w:tc>
                <w:tcPr>
                  <w:tcW w:w="358" w:type="pct"/>
                  <w:tcBorders>
                    <w:tl2br w:val="nil"/>
                    <w:tr2bl w:val="nil"/>
                  </w:tcBorders>
                  <w:vAlign w:val="center"/>
                </w:tcPr>
                <w:p>
                  <w:pPr>
                    <w:pStyle w:val="23"/>
                    <w:bidi w:val="0"/>
                    <w:rPr>
                      <w:color w:val="auto"/>
                      <w:lang w:val="en-US" w:eastAsia="zh-CN"/>
                    </w:rPr>
                  </w:pPr>
                  <w:r>
                    <w:rPr>
                      <w:rFonts w:hint="eastAsia"/>
                      <w:color w:val="auto"/>
                      <w:lang w:val="en-US" w:eastAsia="zh-CN"/>
                    </w:rPr>
                    <w:t>废研发样品</w:t>
                  </w:r>
                </w:p>
              </w:tc>
              <w:tc>
                <w:tcPr>
                  <w:tcW w:w="295" w:type="pct"/>
                  <w:vMerge/>
                  <w:tcBorders>
                    <w:tl2br w:val="nil"/>
                    <w:tr2bl w:val="nil"/>
                  </w:tcBorders>
                  <w:vAlign w:val="center"/>
                </w:tcPr>
                <w:p/>
              </w:tc>
              <w:tc>
                <w:tcPr>
                  <w:tcW w:w="389" w:type="pct"/>
                  <w:tcBorders>
                    <w:tl2br w:val="nil"/>
                    <w:tr2bl w:val="nil"/>
                  </w:tcBorders>
                  <w:vAlign w:val="center"/>
                </w:tcPr>
                <w:p>
                  <w:pPr>
                    <w:pStyle w:val="23"/>
                    <w:bidi w:val="0"/>
                    <w:rPr>
                      <w:color w:val="auto"/>
                      <w:lang w:val="en-US" w:eastAsia="zh-CN"/>
                    </w:rPr>
                  </w:pPr>
                  <w:r>
                    <w:rPr>
                      <w:rFonts w:hint="eastAsia"/>
                      <w:color w:val="auto"/>
                      <w:lang w:val="en-US" w:eastAsia="zh-CN"/>
                    </w:rPr>
                    <w:t>/</w:t>
                  </w:r>
                </w:p>
              </w:tc>
              <w:tc>
                <w:tcPr>
                  <w:tcW w:w="764"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lang w:val="en-US" w:eastAsia="zh-CN"/>
                    </w:rPr>
                    <w:t>900-099-S59</w:t>
                  </w:r>
                </w:p>
              </w:tc>
              <w:tc>
                <w:tcPr>
                  <w:tcW w:w="295" w:type="pct"/>
                  <w:tcBorders>
                    <w:tl2br w:val="nil"/>
                    <w:tr2bl w:val="nil"/>
                  </w:tcBorders>
                  <w:vAlign w:val="center"/>
                </w:tcPr>
                <w:p>
                  <w:pPr>
                    <w:pStyle w:val="23"/>
                    <w:bidi w:val="0"/>
                    <w:rPr>
                      <w:color w:val="auto"/>
                    </w:rPr>
                  </w:pPr>
                  <w:r>
                    <w:rPr>
                      <w:rFonts w:hint="eastAsia"/>
                      <w:color w:val="auto"/>
                      <w:lang w:val="en-US" w:eastAsia="zh-CN"/>
                    </w:rPr>
                    <w:t>液体</w:t>
                  </w:r>
                </w:p>
              </w:tc>
              <w:tc>
                <w:tcPr>
                  <w:tcW w:w="551" w:type="pct"/>
                  <w:tcBorders>
                    <w:tl2br w:val="nil"/>
                    <w:tr2bl w:val="nil"/>
                  </w:tcBorders>
                  <w:vAlign w:val="center"/>
                </w:tcPr>
                <w:p>
                  <w:pPr>
                    <w:pStyle w:val="23"/>
                    <w:bidi w:val="0"/>
                    <w:rPr>
                      <w:rFonts w:hint="eastAsia"/>
                      <w:color w:val="auto"/>
                    </w:rPr>
                  </w:pPr>
                  <w:r>
                    <w:rPr>
                      <w:rFonts w:hint="eastAsia"/>
                      <w:color w:val="auto"/>
                      <w:lang w:val="en-US" w:eastAsia="zh-CN"/>
                    </w:rPr>
                    <w:t>/</w:t>
                  </w:r>
                </w:p>
              </w:tc>
              <w:tc>
                <w:tcPr>
                  <w:tcW w:w="458"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295"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0.01</w:t>
                  </w:r>
                </w:p>
              </w:tc>
            </w:tr>
            <w:tr>
              <w:trPr>
                <w:trHeight w:val="23"/>
              </w:trPr>
              <w:tc>
                <w:tcPr>
                  <w:tcW w:w="44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过滤</w:t>
                  </w:r>
                </w:p>
              </w:tc>
              <w:tc>
                <w:tcPr>
                  <w:tcW w:w="358" w:type="pct"/>
                  <w:tcBorders>
                    <w:tl2br w:val="nil"/>
                    <w:tr2bl w:val="nil"/>
                  </w:tcBorders>
                  <w:vAlign w:val="center"/>
                </w:tcPr>
                <w:p>
                  <w:pPr>
                    <w:pStyle w:val="23"/>
                    <w:bidi w:val="0"/>
                    <w:rPr>
                      <w:color w:val="auto"/>
                      <w:lang w:val="en-US" w:eastAsia="zh-CN"/>
                    </w:rPr>
                  </w:pPr>
                  <w:r>
                    <w:rPr>
                      <w:rFonts w:hint="eastAsia"/>
                      <w:color w:val="auto"/>
                      <w:lang w:val="en-US" w:eastAsia="zh-CN"/>
                    </w:rPr>
                    <w:t>果蔬渣</w:t>
                  </w:r>
                </w:p>
              </w:tc>
              <w:tc>
                <w:tcPr>
                  <w:tcW w:w="295" w:type="pct"/>
                  <w:vMerge/>
                  <w:tcBorders>
                    <w:tl2br w:val="nil"/>
                    <w:tr2bl w:val="nil"/>
                  </w:tcBorders>
                  <w:vAlign w:val="center"/>
                </w:tcPr>
                <w:p/>
              </w:tc>
              <w:tc>
                <w:tcPr>
                  <w:tcW w:w="389" w:type="pct"/>
                  <w:tcBorders>
                    <w:tl2br w:val="nil"/>
                    <w:tr2bl w:val="nil"/>
                  </w:tcBorders>
                  <w:vAlign w:val="center"/>
                </w:tcPr>
                <w:p>
                  <w:pPr>
                    <w:pStyle w:val="23"/>
                    <w:bidi w:val="0"/>
                    <w:rPr>
                      <w:rFonts w:hint="eastAsia"/>
                      <w:color w:val="auto"/>
                    </w:rPr>
                  </w:pPr>
                  <w:r>
                    <w:rPr>
                      <w:rFonts w:hint="eastAsia"/>
                      <w:color w:val="auto"/>
                      <w:lang w:val="en-US" w:eastAsia="zh-CN"/>
                    </w:rPr>
                    <w:t>/</w:t>
                  </w:r>
                </w:p>
              </w:tc>
              <w:tc>
                <w:tcPr>
                  <w:tcW w:w="764"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152-001-S13</w:t>
                  </w:r>
                </w:p>
              </w:tc>
              <w:tc>
                <w:tcPr>
                  <w:tcW w:w="295" w:type="pct"/>
                  <w:tcBorders>
                    <w:tl2br w:val="nil"/>
                    <w:tr2bl w:val="nil"/>
                  </w:tcBorders>
                  <w:vAlign w:val="center"/>
                </w:tcPr>
                <w:p>
                  <w:pPr>
                    <w:pStyle w:val="23"/>
                    <w:bidi w:val="0"/>
                    <w:rPr>
                      <w:color w:val="auto"/>
                    </w:rPr>
                  </w:pPr>
                  <w:r>
                    <w:rPr>
                      <w:color w:val="auto"/>
                    </w:rPr>
                    <w:t>固体</w:t>
                  </w:r>
                </w:p>
              </w:tc>
              <w:tc>
                <w:tcPr>
                  <w:tcW w:w="551" w:type="pct"/>
                  <w:tcBorders>
                    <w:tl2br w:val="nil"/>
                    <w:tr2bl w:val="nil"/>
                  </w:tcBorders>
                  <w:vAlign w:val="center"/>
                </w:tcPr>
                <w:p>
                  <w:pPr>
                    <w:pStyle w:val="23"/>
                    <w:bidi w:val="0"/>
                    <w:rPr>
                      <w:rFonts w:hint="eastAsia"/>
                      <w:color w:val="auto"/>
                    </w:rPr>
                  </w:pPr>
                  <w:r>
                    <w:rPr>
                      <w:rFonts w:hint="eastAsia"/>
                      <w:color w:val="auto"/>
                    </w:rPr>
                    <w:t>/</w:t>
                  </w:r>
                </w:p>
              </w:tc>
              <w:tc>
                <w:tcPr>
                  <w:tcW w:w="4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200</w:t>
                  </w:r>
                </w:p>
              </w:tc>
              <w:tc>
                <w:tcPr>
                  <w:tcW w:w="295" w:type="pct"/>
                  <w:tcBorders>
                    <w:tl2br w:val="nil"/>
                    <w:tr2bl w:val="nil"/>
                  </w:tcBorders>
                  <w:vAlign w:val="center"/>
                </w:tcPr>
                <w:p>
                  <w:pPr>
                    <w:pStyle w:val="23"/>
                    <w:bidi w:val="0"/>
                    <w:rPr>
                      <w:color w:val="auto"/>
                    </w:rPr>
                  </w:pPr>
                  <w:r>
                    <w:rPr>
                      <w:color w:val="auto"/>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200</w:t>
                  </w:r>
                </w:p>
              </w:tc>
            </w:tr>
            <w:tr>
              <w:trPr>
                <w:trHeight w:val="23"/>
              </w:trPr>
              <w:tc>
                <w:tcPr>
                  <w:tcW w:w="445" w:type="pct"/>
                  <w:tcBorders>
                    <w:tl2br w:val="nil"/>
                    <w:tr2bl w:val="nil"/>
                  </w:tcBorders>
                  <w:vAlign w:val="center"/>
                </w:tcPr>
                <w:p>
                  <w:pPr>
                    <w:pStyle w:val="23"/>
                    <w:bidi w:val="0"/>
                    <w:rPr>
                      <w:color w:val="auto"/>
                      <w:lang w:val="en-US" w:eastAsia="zh-CN"/>
                    </w:rPr>
                  </w:pPr>
                  <w:r>
                    <w:rPr>
                      <w:rFonts w:hint="eastAsia"/>
                      <w:color w:val="auto"/>
                      <w:lang w:val="en-US" w:eastAsia="zh-CN"/>
                    </w:rPr>
                    <w:t>水处理机组</w:t>
                  </w:r>
                </w:p>
              </w:tc>
              <w:tc>
                <w:tcPr>
                  <w:tcW w:w="358" w:type="pct"/>
                  <w:tcBorders>
                    <w:tl2br w:val="nil"/>
                    <w:tr2bl w:val="nil"/>
                  </w:tcBorders>
                  <w:vAlign w:val="center"/>
                </w:tcPr>
                <w:p>
                  <w:pPr>
                    <w:pStyle w:val="23"/>
                    <w:bidi w:val="0"/>
                    <w:rPr>
                      <w:color w:val="auto"/>
                      <w:lang w:val="en-US" w:eastAsia="zh-CN"/>
                    </w:rPr>
                  </w:pPr>
                  <w:r>
                    <w:rPr>
                      <w:rFonts w:hint="eastAsia"/>
                      <w:color w:val="auto"/>
                      <w:lang w:val="en-US" w:eastAsia="zh-CN"/>
                    </w:rPr>
                    <w:t>废反渗透膜</w:t>
                  </w:r>
                </w:p>
              </w:tc>
              <w:tc>
                <w:tcPr>
                  <w:tcW w:w="295" w:type="pct"/>
                  <w:vMerge/>
                  <w:tcBorders>
                    <w:tl2br w:val="nil"/>
                    <w:tr2bl w:val="nil"/>
                  </w:tcBorders>
                  <w:vAlign w:val="center"/>
                </w:tcPr>
                <w:p/>
              </w:tc>
              <w:tc>
                <w:tcPr>
                  <w:tcW w:w="389"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w:t>
                  </w:r>
                </w:p>
              </w:tc>
              <w:tc>
                <w:tcPr>
                  <w:tcW w:w="764" w:type="pct"/>
                  <w:tcBorders>
                    <w:tl2br w:val="nil"/>
                    <w:tr2bl w:val="nil"/>
                  </w:tcBorders>
                  <w:vAlign w:val="center"/>
                </w:tcPr>
                <w:p>
                  <w:pPr>
                    <w:pStyle w:val="23"/>
                    <w:bidi w:val="0"/>
                    <w:rPr>
                      <w:color w:val="auto"/>
                      <w:lang w:val="en-US" w:eastAsia="zh-CN"/>
                    </w:rPr>
                  </w:pPr>
                  <w:r>
                    <w:rPr>
                      <w:color w:val="auto"/>
                      <w:lang w:val="en-US" w:eastAsia="zh-CN"/>
                    </w:rPr>
                    <w:t>900-099-S59</w:t>
                  </w:r>
                </w:p>
              </w:tc>
              <w:tc>
                <w:tcPr>
                  <w:tcW w:w="29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固体</w:t>
                  </w:r>
                </w:p>
              </w:tc>
              <w:tc>
                <w:tcPr>
                  <w:tcW w:w="551"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w:t>
                  </w:r>
                </w:p>
              </w:tc>
              <w:tc>
                <w:tcPr>
                  <w:tcW w:w="4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0.1</w:t>
                  </w:r>
                </w:p>
              </w:tc>
              <w:tc>
                <w:tcPr>
                  <w:tcW w:w="295"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桶装</w:t>
                  </w:r>
                </w:p>
              </w:tc>
              <w:tc>
                <w:tcPr>
                  <w:tcW w:w="639" w:type="pct"/>
                  <w:tcBorders>
                    <w:tl2br w:val="nil"/>
                    <w:tr2bl w:val="nil"/>
                  </w:tcBorders>
                  <w:vAlign w:val="center"/>
                </w:tcPr>
                <w:p>
                  <w:pPr>
                    <w:pStyle w:val="23"/>
                    <w:bidi w:val="0"/>
                    <w:rPr>
                      <w:color w:val="auto"/>
                      <w:lang w:val="en-US"/>
                    </w:rPr>
                  </w:pPr>
                  <w:r>
                    <w:rPr>
                      <w:rFonts w:hint="eastAsia"/>
                      <w:color w:val="auto"/>
                    </w:rPr>
                    <w:t>统一收集后</w:t>
                  </w:r>
                  <w:r>
                    <w:rPr>
                      <w:rFonts w:hint="eastAsia"/>
                      <w:color w:val="auto"/>
                      <w:lang w:val="en-US" w:eastAsia="zh-CN"/>
                    </w:rPr>
                    <w:t>暂存一般固废间，交由厂家回收</w:t>
                  </w: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0.1</w:t>
                  </w:r>
                </w:p>
              </w:tc>
            </w:tr>
            <w:tr>
              <w:trPr>
                <w:trHeight w:val="23"/>
              </w:trPr>
              <w:tc>
                <w:tcPr>
                  <w:tcW w:w="445" w:type="pct"/>
                  <w:vMerge w:val="restart"/>
                  <w:tcBorders>
                    <w:tl2br w:val="nil"/>
                    <w:tr2bl w:val="nil"/>
                  </w:tcBorders>
                  <w:vAlign w:val="center"/>
                </w:tcPr>
                <w:p>
                  <w:pPr>
                    <w:pStyle w:val="23"/>
                    <w:bidi w:val="0"/>
                    <w:rPr>
                      <w:color w:val="auto"/>
                    </w:rPr>
                  </w:pPr>
                  <w:r>
                    <w:rPr>
                      <w:rFonts w:hint="eastAsia"/>
                      <w:color w:val="auto"/>
                      <w:lang w:val="en-US" w:eastAsia="zh-CN"/>
                    </w:rPr>
                    <w:t>干式过滤+两级</w:t>
                  </w:r>
                  <w:r>
                    <w:rPr>
                      <w:rFonts w:hint="eastAsia"/>
                      <w:color w:val="auto"/>
                    </w:rPr>
                    <w:t>活性炭吸附装置</w:t>
                  </w:r>
                </w:p>
              </w:tc>
              <w:tc>
                <w:tcPr>
                  <w:tcW w:w="358" w:type="pct"/>
                  <w:tcBorders>
                    <w:tl2br w:val="nil"/>
                    <w:tr2bl w:val="nil"/>
                  </w:tcBorders>
                  <w:vAlign w:val="center"/>
                </w:tcPr>
                <w:p>
                  <w:pPr>
                    <w:pStyle w:val="23"/>
                    <w:bidi w:val="0"/>
                    <w:rPr>
                      <w:color w:val="auto"/>
                    </w:rPr>
                  </w:pPr>
                  <w:r>
                    <w:rPr>
                      <w:rFonts w:hint="eastAsia"/>
                      <w:color w:val="auto"/>
                    </w:rPr>
                    <w:t>废活性炭</w:t>
                  </w:r>
                </w:p>
              </w:tc>
              <w:tc>
                <w:tcPr>
                  <w:tcW w:w="295" w:type="pct"/>
                  <w:vMerge w:val="restar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危险废物</w:t>
                  </w:r>
                </w:p>
              </w:tc>
              <w:tc>
                <w:tcPr>
                  <w:tcW w:w="389" w:type="pct"/>
                  <w:vMerge w:val="restart"/>
                  <w:tcBorders>
                    <w:tl2br w:val="nil"/>
                    <w:tr2bl w:val="nil"/>
                  </w:tcBorders>
                  <w:vAlign w:val="center"/>
                </w:tcPr>
                <w:p>
                  <w:pPr>
                    <w:pStyle w:val="23"/>
                    <w:bidi w:val="0"/>
                    <w:rPr>
                      <w:color w:val="auto"/>
                    </w:rPr>
                  </w:pPr>
                  <w:r>
                    <w:rPr>
                      <w:color w:val="auto"/>
                    </w:rPr>
                    <w:t>有机废气</w:t>
                  </w:r>
                </w:p>
              </w:tc>
              <w:tc>
                <w:tcPr>
                  <w:tcW w:w="764" w:type="pct"/>
                  <w:tcBorders>
                    <w:tl2br w:val="nil"/>
                    <w:tr2bl w:val="nil"/>
                  </w:tcBorders>
                  <w:vAlign w:val="center"/>
                </w:tcPr>
                <w:p>
                  <w:pPr>
                    <w:pStyle w:val="23"/>
                    <w:bidi w:val="0"/>
                    <w:rPr>
                      <w:color w:val="auto"/>
                      <w:lang w:val="en-US" w:eastAsia="zh-CN"/>
                    </w:rPr>
                  </w:pPr>
                  <w:r>
                    <w:rPr>
                      <w:color w:val="auto"/>
                    </w:rPr>
                    <w:t>900-039-49</w:t>
                  </w:r>
                </w:p>
              </w:tc>
              <w:tc>
                <w:tcPr>
                  <w:tcW w:w="295" w:type="pct"/>
                  <w:tcBorders>
                    <w:tl2br w:val="nil"/>
                    <w:tr2bl w:val="nil"/>
                  </w:tcBorders>
                  <w:vAlign w:val="center"/>
                </w:tcPr>
                <w:p>
                  <w:pPr>
                    <w:pStyle w:val="23"/>
                    <w:bidi w:val="0"/>
                    <w:rPr>
                      <w:color w:val="auto"/>
                      <w:lang w:val="en-US" w:eastAsia="zh-CN"/>
                    </w:rPr>
                  </w:pPr>
                  <w:r>
                    <w:rPr>
                      <w:color w:val="auto"/>
                    </w:rPr>
                    <w:t>固体</w:t>
                  </w:r>
                </w:p>
              </w:tc>
              <w:tc>
                <w:tcPr>
                  <w:tcW w:w="551" w:type="pct"/>
                  <w:tcBorders>
                    <w:tl2br w:val="nil"/>
                    <w:tr2bl w:val="nil"/>
                  </w:tcBorders>
                  <w:vAlign w:val="center"/>
                </w:tcPr>
                <w:p>
                  <w:pPr>
                    <w:pStyle w:val="23"/>
                    <w:bidi w:val="0"/>
                    <w:rPr>
                      <w:color w:val="auto"/>
                      <w:lang w:val="en-US" w:eastAsia="zh-CN"/>
                    </w:rPr>
                  </w:pPr>
                  <w:r>
                    <w:rPr>
                      <w:color w:val="auto"/>
                    </w:rPr>
                    <w:t>T</w:t>
                  </w:r>
                </w:p>
              </w:tc>
              <w:tc>
                <w:tcPr>
                  <w:tcW w:w="4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4.575</w:t>
                  </w:r>
                </w:p>
              </w:tc>
              <w:tc>
                <w:tcPr>
                  <w:tcW w:w="295" w:type="pct"/>
                  <w:tcBorders>
                    <w:tl2br w:val="nil"/>
                    <w:tr2bl w:val="nil"/>
                  </w:tcBorders>
                  <w:vAlign w:val="center"/>
                </w:tcPr>
                <w:p>
                  <w:pPr>
                    <w:pStyle w:val="23"/>
                    <w:bidi w:val="0"/>
                    <w:rPr>
                      <w:color w:val="auto"/>
                    </w:rPr>
                  </w:pPr>
                  <w:r>
                    <w:rPr>
                      <w:rFonts w:hint="eastAsia"/>
                      <w:color w:val="auto"/>
                      <w:lang w:val="en-US" w:eastAsia="zh-CN"/>
                    </w:rPr>
                    <w:t>桶装</w:t>
                  </w:r>
                </w:p>
              </w:tc>
              <w:tc>
                <w:tcPr>
                  <w:tcW w:w="639" w:type="pct"/>
                  <w:vMerge w:val="restar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暂存于危废间，定期交由有资质单位处理</w:t>
                  </w: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4.575</w:t>
                  </w:r>
                </w:p>
              </w:tc>
            </w:tr>
            <w:tr>
              <w:trPr>
                <w:trHeight w:val="23"/>
              </w:trPr>
              <w:tc>
                <w:tcPr>
                  <w:tcW w:w="445" w:type="pct"/>
                  <w:vMerge/>
                  <w:tcBorders>
                    <w:tl2br w:val="nil"/>
                    <w:tr2bl w:val="nil"/>
                  </w:tcBorders>
                  <w:vAlign w:val="center"/>
                </w:tcPr>
                <w:p/>
              </w:tc>
              <w:tc>
                <w:tcPr>
                  <w:tcW w:w="3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废过滤棉</w:t>
                  </w:r>
                </w:p>
              </w:tc>
              <w:tc>
                <w:tcPr>
                  <w:tcW w:w="295" w:type="pct"/>
                  <w:vMerge/>
                  <w:tcBorders>
                    <w:tl2br w:val="nil"/>
                    <w:tr2bl w:val="nil"/>
                  </w:tcBorders>
                  <w:vAlign w:val="center"/>
                </w:tcPr>
                <w:p/>
              </w:tc>
              <w:tc>
                <w:tcPr>
                  <w:tcW w:w="389" w:type="pct"/>
                  <w:vMerge/>
                  <w:tcBorders>
                    <w:tl2br w:val="nil"/>
                    <w:tr2bl w:val="nil"/>
                  </w:tcBorders>
                  <w:vAlign w:val="center"/>
                </w:tcPr>
                <w:p/>
              </w:tc>
              <w:tc>
                <w:tcPr>
                  <w:tcW w:w="764" w:type="pct"/>
                  <w:tcBorders>
                    <w:tl2br w:val="nil"/>
                    <w:tr2bl w:val="nil"/>
                  </w:tcBorders>
                  <w:vAlign w:val="center"/>
                </w:tcPr>
                <w:p>
                  <w:pPr>
                    <w:pStyle w:val="23"/>
                    <w:bidi w:val="0"/>
                    <w:rPr>
                      <w:color w:val="auto"/>
                      <w:lang w:val="en-US" w:eastAsia="zh-CN"/>
                    </w:rPr>
                  </w:pPr>
                  <w:r>
                    <w:rPr>
                      <w:color w:val="auto"/>
                    </w:rPr>
                    <w:t>900-041-49</w:t>
                  </w:r>
                </w:p>
              </w:tc>
              <w:tc>
                <w:tcPr>
                  <w:tcW w:w="295" w:type="pct"/>
                  <w:tcBorders>
                    <w:tl2br w:val="nil"/>
                    <w:tr2bl w:val="nil"/>
                  </w:tcBorders>
                  <w:vAlign w:val="center"/>
                </w:tcPr>
                <w:p>
                  <w:pPr>
                    <w:pStyle w:val="23"/>
                    <w:bidi w:val="0"/>
                    <w:rPr>
                      <w:color w:val="auto"/>
                    </w:rPr>
                  </w:pPr>
                  <w:r>
                    <w:rPr>
                      <w:color w:val="auto"/>
                    </w:rPr>
                    <w:t>固体</w:t>
                  </w:r>
                </w:p>
              </w:tc>
              <w:tc>
                <w:tcPr>
                  <w:tcW w:w="551" w:type="pct"/>
                  <w:tcBorders>
                    <w:tl2br w:val="nil"/>
                    <w:tr2bl w:val="nil"/>
                  </w:tcBorders>
                  <w:vAlign w:val="center"/>
                </w:tcPr>
                <w:p>
                  <w:pPr>
                    <w:pStyle w:val="23"/>
                    <w:bidi w:val="0"/>
                    <w:rPr>
                      <w:color w:val="auto"/>
                    </w:rPr>
                  </w:pPr>
                  <w:r>
                    <w:rPr>
                      <w:color w:val="auto"/>
                    </w:rPr>
                    <w:t>T/In</w:t>
                  </w:r>
                </w:p>
              </w:tc>
              <w:tc>
                <w:tcPr>
                  <w:tcW w:w="458"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295" w:type="pct"/>
                  <w:tcBorders>
                    <w:tl2br w:val="nil"/>
                    <w:tr2bl w:val="nil"/>
                  </w:tcBorders>
                  <w:vAlign w:val="center"/>
                </w:tcPr>
                <w:p>
                  <w:pPr>
                    <w:pStyle w:val="23"/>
                    <w:bidi w:val="0"/>
                    <w:rPr>
                      <w:color w:val="auto"/>
                      <w:lang w:val="en-US" w:eastAsia="zh-CN"/>
                    </w:rPr>
                  </w:pPr>
                  <w:r>
                    <w:rPr>
                      <w:color w:val="auto"/>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r>
            <w:tr>
              <w:trPr>
                <w:trHeight w:val="23"/>
              </w:trPr>
              <w:tc>
                <w:tcPr>
                  <w:tcW w:w="445" w:type="pct"/>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检测实验室</w:t>
                  </w:r>
                </w:p>
              </w:tc>
              <w:tc>
                <w:tcPr>
                  <w:tcW w:w="3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废试剂瓶</w:t>
                  </w:r>
                </w:p>
              </w:tc>
              <w:tc>
                <w:tcPr>
                  <w:tcW w:w="295" w:type="pct"/>
                  <w:vMerge/>
                  <w:tcBorders>
                    <w:tl2br w:val="nil"/>
                    <w:tr2bl w:val="nil"/>
                  </w:tcBorders>
                  <w:vAlign w:val="center"/>
                </w:tcPr>
                <w:p/>
              </w:tc>
              <w:tc>
                <w:tcPr>
                  <w:tcW w:w="389" w:type="pct"/>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化学药剂</w:t>
                  </w:r>
                </w:p>
              </w:tc>
              <w:tc>
                <w:tcPr>
                  <w:tcW w:w="764" w:type="pct"/>
                  <w:tcBorders>
                    <w:tl2br w:val="nil"/>
                    <w:tr2bl w:val="nil"/>
                  </w:tcBorders>
                  <w:vAlign w:val="center"/>
                </w:tcPr>
                <w:p>
                  <w:pPr>
                    <w:pStyle w:val="23"/>
                    <w:bidi w:val="0"/>
                    <w:rPr>
                      <w:color w:val="auto"/>
                    </w:rPr>
                  </w:pPr>
                  <w:r>
                    <w:rPr>
                      <w:color w:val="auto"/>
                    </w:rPr>
                    <w:t>900-047-49</w:t>
                  </w:r>
                </w:p>
              </w:tc>
              <w:tc>
                <w:tcPr>
                  <w:tcW w:w="295" w:type="pct"/>
                  <w:tcBorders>
                    <w:tl2br w:val="nil"/>
                    <w:tr2bl w:val="nil"/>
                  </w:tcBorders>
                  <w:vAlign w:val="center"/>
                </w:tcPr>
                <w:p>
                  <w:pPr>
                    <w:pStyle w:val="23"/>
                    <w:bidi w:val="0"/>
                    <w:rPr>
                      <w:color w:val="auto"/>
                    </w:rPr>
                  </w:pPr>
                  <w:r>
                    <w:rPr>
                      <w:color w:val="auto"/>
                    </w:rPr>
                    <w:t>固体</w:t>
                  </w:r>
                </w:p>
              </w:tc>
              <w:tc>
                <w:tcPr>
                  <w:tcW w:w="551"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T/C/I/R</w:t>
                  </w:r>
                </w:p>
              </w:tc>
              <w:tc>
                <w:tcPr>
                  <w:tcW w:w="4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0.01</w:t>
                  </w:r>
                </w:p>
              </w:tc>
              <w:tc>
                <w:tcPr>
                  <w:tcW w:w="295" w:type="pct"/>
                  <w:tcBorders>
                    <w:tl2br w:val="nil"/>
                    <w:tr2bl w:val="nil"/>
                  </w:tcBorders>
                  <w:vAlign w:val="center"/>
                </w:tcPr>
                <w:p>
                  <w:pPr>
                    <w:pStyle w:val="23"/>
                    <w:bidi w:val="0"/>
                    <w:rPr>
                      <w:color w:val="auto"/>
                    </w:rPr>
                  </w:pPr>
                  <w:r>
                    <w:rPr>
                      <w:color w:val="auto"/>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0.01</w:t>
                  </w:r>
                </w:p>
              </w:tc>
            </w:tr>
            <w:tr>
              <w:trPr>
                <w:trHeight w:val="23"/>
              </w:trPr>
              <w:tc>
                <w:tcPr>
                  <w:tcW w:w="445" w:type="pct"/>
                  <w:vMerge/>
                  <w:tcBorders>
                    <w:tl2br w:val="nil"/>
                    <w:tr2bl w:val="nil"/>
                  </w:tcBorders>
                  <w:vAlign w:val="center"/>
                </w:tcPr>
                <w:p/>
              </w:tc>
              <w:tc>
                <w:tcPr>
                  <w:tcW w:w="3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实验室废液</w:t>
                  </w:r>
                </w:p>
              </w:tc>
              <w:tc>
                <w:tcPr>
                  <w:tcW w:w="295" w:type="pct"/>
                  <w:vMerge/>
                  <w:tcBorders>
                    <w:tl2br w:val="nil"/>
                    <w:tr2bl w:val="nil"/>
                  </w:tcBorders>
                  <w:vAlign w:val="center"/>
                </w:tcPr>
                <w:p/>
              </w:tc>
              <w:tc>
                <w:tcPr>
                  <w:tcW w:w="389" w:type="pct"/>
                  <w:vMerge/>
                  <w:tcBorders>
                    <w:tl2br w:val="nil"/>
                    <w:tr2bl w:val="nil"/>
                  </w:tcBorders>
                  <w:vAlign w:val="center"/>
                </w:tcPr>
                <w:p/>
              </w:tc>
              <w:tc>
                <w:tcPr>
                  <w:tcW w:w="764" w:type="pct"/>
                  <w:tcBorders>
                    <w:tl2br w:val="nil"/>
                    <w:tr2bl w:val="nil"/>
                  </w:tcBorders>
                  <w:vAlign w:val="center"/>
                </w:tcPr>
                <w:p>
                  <w:pPr>
                    <w:pStyle w:val="23"/>
                    <w:bidi w:val="0"/>
                    <w:rPr>
                      <w:color w:val="auto"/>
                    </w:rPr>
                  </w:pPr>
                  <w:r>
                    <w:rPr>
                      <w:color w:val="auto"/>
                    </w:rPr>
                    <w:t>900-047-49</w:t>
                  </w:r>
                </w:p>
              </w:tc>
              <w:tc>
                <w:tcPr>
                  <w:tcW w:w="295"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液体</w:t>
                  </w:r>
                </w:p>
              </w:tc>
              <w:tc>
                <w:tcPr>
                  <w:tcW w:w="551"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T/C/I/R</w:t>
                  </w:r>
                </w:p>
              </w:tc>
              <w:tc>
                <w:tcPr>
                  <w:tcW w:w="4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1.8</w:t>
                  </w:r>
                </w:p>
              </w:tc>
              <w:tc>
                <w:tcPr>
                  <w:tcW w:w="295" w:type="pct"/>
                  <w:tcBorders>
                    <w:tl2br w:val="nil"/>
                    <w:tr2bl w:val="nil"/>
                  </w:tcBorders>
                  <w:vAlign w:val="center"/>
                </w:tcPr>
                <w:p>
                  <w:pPr>
                    <w:pStyle w:val="23"/>
                    <w:bidi w:val="0"/>
                    <w:rPr>
                      <w:color w:val="auto"/>
                    </w:rPr>
                  </w:pPr>
                  <w:r>
                    <w:rPr>
                      <w:color w:val="auto"/>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1.8</w:t>
                  </w:r>
                </w:p>
              </w:tc>
            </w:tr>
            <w:tr>
              <w:trPr>
                <w:trHeight w:val="23"/>
              </w:trPr>
              <w:tc>
                <w:tcPr>
                  <w:tcW w:w="445" w:type="pct"/>
                  <w:vMerge/>
                  <w:tcBorders>
                    <w:tl2br w:val="nil"/>
                    <w:tr2bl w:val="nil"/>
                  </w:tcBorders>
                  <w:vAlign w:val="center"/>
                </w:tcPr>
                <w:p/>
              </w:tc>
              <w:tc>
                <w:tcPr>
                  <w:tcW w:w="3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废UV灯管</w:t>
                  </w:r>
                </w:p>
              </w:tc>
              <w:tc>
                <w:tcPr>
                  <w:tcW w:w="295" w:type="pct"/>
                  <w:vMerge/>
                  <w:tcBorders>
                    <w:tl2br w:val="nil"/>
                    <w:tr2bl w:val="nil"/>
                  </w:tcBorders>
                  <w:vAlign w:val="center"/>
                </w:tcPr>
                <w:p/>
              </w:tc>
              <w:tc>
                <w:tcPr>
                  <w:tcW w:w="389"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重金属</w:t>
                  </w:r>
                </w:p>
              </w:tc>
              <w:tc>
                <w:tcPr>
                  <w:tcW w:w="764" w:type="pct"/>
                  <w:tcBorders>
                    <w:tl2br w:val="nil"/>
                    <w:tr2bl w:val="nil"/>
                  </w:tcBorders>
                  <w:vAlign w:val="center"/>
                </w:tcPr>
                <w:p>
                  <w:pPr>
                    <w:pStyle w:val="23"/>
                    <w:bidi w:val="0"/>
                    <w:rPr>
                      <w:color w:val="auto"/>
                    </w:rPr>
                  </w:pPr>
                  <w:r>
                    <w:rPr>
                      <w:color w:val="auto"/>
                    </w:rPr>
                    <w:t>900-023-29</w:t>
                  </w:r>
                </w:p>
              </w:tc>
              <w:tc>
                <w:tcPr>
                  <w:tcW w:w="295" w:type="pct"/>
                  <w:tcBorders>
                    <w:tl2br w:val="nil"/>
                    <w:tr2bl w:val="nil"/>
                  </w:tcBorders>
                  <w:vAlign w:val="center"/>
                </w:tcPr>
                <w:p>
                  <w:pPr>
                    <w:pStyle w:val="23"/>
                    <w:bidi w:val="0"/>
                    <w:rPr>
                      <w:color w:val="auto"/>
                    </w:rPr>
                  </w:pPr>
                  <w:r>
                    <w:rPr>
                      <w:color w:val="auto"/>
                    </w:rPr>
                    <w:t>固体</w:t>
                  </w:r>
                </w:p>
              </w:tc>
              <w:tc>
                <w:tcPr>
                  <w:tcW w:w="551"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T</w:t>
                  </w:r>
                </w:p>
              </w:tc>
              <w:tc>
                <w:tcPr>
                  <w:tcW w:w="4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0.002</w:t>
                  </w:r>
                </w:p>
              </w:tc>
              <w:tc>
                <w:tcPr>
                  <w:tcW w:w="295" w:type="pct"/>
                  <w:tcBorders>
                    <w:tl2br w:val="nil"/>
                    <w:tr2bl w:val="nil"/>
                  </w:tcBorders>
                  <w:vAlign w:val="center"/>
                </w:tcPr>
                <w:p>
                  <w:pPr>
                    <w:pStyle w:val="23"/>
                    <w:bidi w:val="0"/>
                    <w:rPr>
                      <w:color w:val="auto"/>
                    </w:rPr>
                  </w:pPr>
                  <w:r>
                    <w:rPr>
                      <w:color w:val="auto"/>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0.002</w:t>
                  </w:r>
                </w:p>
              </w:tc>
            </w:tr>
            <w:tr>
              <w:trPr>
                <w:trHeight w:val="23"/>
              </w:trPr>
              <w:tc>
                <w:tcPr>
                  <w:tcW w:w="445" w:type="pct"/>
                  <w:vMerge w:val="restart"/>
                  <w:tcBorders>
                    <w:tl2br w:val="nil"/>
                    <w:tr2bl w:val="nil"/>
                  </w:tcBorders>
                  <w:vAlign w:val="center"/>
                </w:tcPr>
                <w:p>
                  <w:pPr>
                    <w:pStyle w:val="23"/>
                    <w:bidi w:val="0"/>
                    <w:rPr>
                      <w:rFonts w:hint="eastAsia"/>
                      <w:color w:val="auto"/>
                      <w:lang w:val="en-US" w:eastAsia="zh-CN"/>
                    </w:rPr>
                  </w:pPr>
                  <w:r>
                    <w:rPr>
                      <w:rFonts w:hint="eastAsia"/>
                      <w:color w:val="auto"/>
                      <w:lang w:val="en-US" w:eastAsia="zh-CN"/>
                    </w:rPr>
                    <w:t>设备</w:t>
                  </w:r>
                </w:p>
                <w:p>
                  <w:pPr>
                    <w:pStyle w:val="23"/>
                    <w:bidi w:val="0"/>
                    <w:rPr>
                      <w:color w:val="auto"/>
                      <w:lang w:val="en-US" w:eastAsia="zh-CN"/>
                    </w:rPr>
                  </w:pPr>
                  <w:r>
                    <w:rPr>
                      <w:rFonts w:hint="eastAsia"/>
                      <w:color w:val="auto"/>
                      <w:lang w:val="en-US" w:eastAsia="zh-CN"/>
                    </w:rPr>
                    <w:t>维护</w:t>
                  </w:r>
                </w:p>
              </w:tc>
              <w:tc>
                <w:tcPr>
                  <w:tcW w:w="358"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废润滑油</w:t>
                  </w:r>
                </w:p>
              </w:tc>
              <w:tc>
                <w:tcPr>
                  <w:tcW w:w="295" w:type="pct"/>
                  <w:vMerge/>
                  <w:tcBorders>
                    <w:tl2br w:val="nil"/>
                    <w:tr2bl w:val="nil"/>
                  </w:tcBorders>
                  <w:vAlign w:val="center"/>
                </w:tcPr>
                <w:p/>
              </w:tc>
              <w:tc>
                <w:tcPr>
                  <w:tcW w:w="389" w:type="pct"/>
                  <w:vMerge w:val="restart"/>
                  <w:tcBorders>
                    <w:tl2br w:val="nil"/>
                    <w:tr2bl w:val="nil"/>
                  </w:tcBorders>
                  <w:vAlign w:val="center"/>
                </w:tcPr>
                <w:p>
                  <w:pPr>
                    <w:pStyle w:val="23"/>
                    <w:bidi w:val="0"/>
                    <w:rPr>
                      <w:rFonts w:hint="eastAsia"/>
                      <w:color w:val="auto"/>
                      <w:lang w:val="en-US" w:eastAsia="zh-CN"/>
                    </w:rPr>
                  </w:pPr>
                  <w:r>
                    <w:rPr>
                      <w:rFonts w:hint="eastAsia"/>
                      <w:color w:val="auto"/>
                      <w:lang w:val="en-US" w:eastAsia="zh-CN"/>
                    </w:rPr>
                    <w:t>矿物油</w:t>
                  </w:r>
                </w:p>
              </w:tc>
              <w:tc>
                <w:tcPr>
                  <w:tcW w:w="764" w:type="pct"/>
                  <w:tcBorders>
                    <w:tl2br w:val="nil"/>
                    <w:tr2bl w:val="nil"/>
                  </w:tcBorders>
                  <w:vAlign w:val="center"/>
                </w:tcPr>
                <w:p>
                  <w:pPr>
                    <w:pStyle w:val="23"/>
                    <w:bidi w:val="0"/>
                    <w:ind w:firstLine="0"/>
                    <w:rPr>
                      <w:color w:val="auto"/>
                    </w:rPr>
                  </w:pPr>
                  <w:r>
                    <w:rPr>
                      <w:color w:val="auto"/>
                    </w:rPr>
                    <w:t>900-2</w:t>
                  </w:r>
                  <w:r>
                    <w:rPr>
                      <w:rFonts w:hint="eastAsia"/>
                      <w:color w:val="auto"/>
                      <w:lang w:val="en-US" w:eastAsia="zh-CN"/>
                    </w:rPr>
                    <w:t>17</w:t>
                  </w:r>
                  <w:r>
                    <w:rPr>
                      <w:color w:val="auto"/>
                    </w:rPr>
                    <w:t>-08</w:t>
                  </w:r>
                </w:p>
              </w:tc>
              <w:tc>
                <w:tcPr>
                  <w:tcW w:w="295" w:type="pct"/>
                  <w:tcBorders>
                    <w:tl2br w:val="nil"/>
                    <w:tr2bl w:val="nil"/>
                  </w:tcBorders>
                  <w:vAlign w:val="center"/>
                </w:tcPr>
                <w:p>
                  <w:pPr>
                    <w:pStyle w:val="23"/>
                    <w:bidi w:val="0"/>
                    <w:rPr>
                      <w:color w:val="auto"/>
                    </w:rPr>
                  </w:pPr>
                  <w:r>
                    <w:rPr>
                      <w:rFonts w:hint="eastAsia"/>
                      <w:color w:val="auto"/>
                      <w:lang w:val="en-US" w:eastAsia="zh-CN"/>
                    </w:rPr>
                    <w:t>液体</w:t>
                  </w:r>
                </w:p>
              </w:tc>
              <w:tc>
                <w:tcPr>
                  <w:tcW w:w="551" w:type="pct"/>
                  <w:vMerge w:val="restart"/>
                  <w:tcBorders>
                    <w:tl2br w:val="nil"/>
                    <w:tr2bl w:val="nil"/>
                  </w:tcBorders>
                  <w:vAlign w:val="center"/>
                </w:tcPr>
                <w:p>
                  <w:pPr>
                    <w:pStyle w:val="23"/>
                    <w:bidi w:val="0"/>
                    <w:rPr>
                      <w:color w:val="auto"/>
                      <w:lang w:val="en-US" w:eastAsia="zh-CN"/>
                    </w:rPr>
                  </w:pPr>
                  <w:r>
                    <w:rPr>
                      <w:rFonts w:hint="eastAsia"/>
                      <w:color w:val="auto"/>
                      <w:lang w:val="en-US" w:eastAsia="zh-CN"/>
                    </w:rPr>
                    <w:t>T,I</w:t>
                  </w:r>
                </w:p>
              </w:tc>
              <w:tc>
                <w:tcPr>
                  <w:tcW w:w="458" w:type="pct"/>
                  <w:tcBorders>
                    <w:tl2br w:val="nil"/>
                    <w:tr2bl w:val="nil"/>
                  </w:tcBorders>
                  <w:vAlign w:val="center"/>
                </w:tcPr>
                <w:p>
                  <w:pPr>
                    <w:pStyle w:val="23"/>
                    <w:bidi w:val="0"/>
                    <w:rPr>
                      <w:color w:val="auto"/>
                      <w:lang w:val="en-US" w:eastAsia="zh-CN"/>
                    </w:rPr>
                  </w:pPr>
                  <w:r>
                    <w:rPr>
                      <w:rFonts w:hint="eastAsia"/>
                      <w:color w:val="auto"/>
                      <w:lang w:val="en-US" w:eastAsia="zh-CN"/>
                    </w:rPr>
                    <w:t>0.01</w:t>
                  </w:r>
                </w:p>
              </w:tc>
              <w:tc>
                <w:tcPr>
                  <w:tcW w:w="295" w:type="pct"/>
                  <w:tcBorders>
                    <w:tl2br w:val="nil"/>
                    <w:tr2bl w:val="nil"/>
                  </w:tcBorders>
                  <w:vAlign w:val="center"/>
                </w:tcPr>
                <w:p>
                  <w:pPr>
                    <w:pStyle w:val="23"/>
                    <w:bidi w:val="0"/>
                    <w:rPr>
                      <w:color w:val="auto"/>
                      <w:lang w:val="en-US" w:eastAsia="zh-CN"/>
                    </w:rPr>
                  </w:pPr>
                  <w:r>
                    <w:rPr>
                      <w:color w:val="auto"/>
                    </w:rPr>
                    <w:t>桶装</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rPr>
                  </w:pPr>
                  <w:r>
                    <w:rPr>
                      <w:rFonts w:hint="eastAsia"/>
                      <w:color w:val="auto"/>
                      <w:lang w:val="en-US" w:eastAsia="zh-CN"/>
                    </w:rPr>
                    <w:t>0.01</w:t>
                  </w:r>
                </w:p>
              </w:tc>
            </w:tr>
            <w:tr>
              <w:trPr>
                <w:trHeight w:val="23"/>
              </w:trPr>
              <w:tc>
                <w:tcPr>
                  <w:tcW w:w="445" w:type="pct"/>
                  <w:vMerge/>
                  <w:tcBorders>
                    <w:tl2br w:val="nil"/>
                    <w:tr2bl w:val="nil"/>
                  </w:tcBorders>
                  <w:vAlign w:val="center"/>
                </w:tcPr>
                <w:p/>
              </w:tc>
              <w:tc>
                <w:tcPr>
                  <w:tcW w:w="358" w:type="pct"/>
                  <w:tcBorders>
                    <w:tl2br w:val="nil"/>
                    <w:tr2bl w:val="nil"/>
                  </w:tcBorders>
                  <w:vAlign w:val="center"/>
                </w:tcPr>
                <w:p>
                  <w:pPr>
                    <w:pStyle w:val="23"/>
                    <w:bidi w:val="0"/>
                    <w:rPr>
                      <w:color w:val="auto"/>
                      <w:lang w:val="en-US" w:eastAsia="zh-CN"/>
                    </w:rPr>
                  </w:pPr>
                  <w:r>
                    <w:rPr>
                      <w:rFonts w:hint="eastAsia"/>
                      <w:color w:val="auto"/>
                      <w:lang w:val="en-US" w:eastAsia="zh-CN"/>
                    </w:rPr>
                    <w:t>废润滑油桶</w:t>
                  </w:r>
                </w:p>
              </w:tc>
              <w:tc>
                <w:tcPr>
                  <w:tcW w:w="295" w:type="pct"/>
                  <w:vMerge/>
                  <w:tcBorders>
                    <w:tl2br w:val="nil"/>
                    <w:tr2bl w:val="nil"/>
                  </w:tcBorders>
                  <w:vAlign w:val="center"/>
                </w:tcPr>
                <w:p/>
              </w:tc>
              <w:tc>
                <w:tcPr>
                  <w:tcW w:w="389" w:type="pct"/>
                  <w:vMerge/>
                  <w:tcBorders>
                    <w:tl2br w:val="nil"/>
                    <w:tr2bl w:val="nil"/>
                  </w:tcBorders>
                  <w:vAlign w:val="center"/>
                </w:tcPr>
                <w:p/>
              </w:tc>
              <w:tc>
                <w:tcPr>
                  <w:tcW w:w="764"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900-249-08</w:t>
                  </w:r>
                </w:p>
              </w:tc>
              <w:tc>
                <w:tcPr>
                  <w:tcW w:w="295" w:type="pct"/>
                  <w:tcBorders>
                    <w:tl2br w:val="nil"/>
                    <w:tr2bl w:val="nil"/>
                  </w:tcBorders>
                  <w:vAlign w:val="center"/>
                </w:tcPr>
                <w:p>
                  <w:pPr>
                    <w:pStyle w:val="23"/>
                    <w:bidi w:val="0"/>
                    <w:rPr>
                      <w:color w:val="auto"/>
                    </w:rPr>
                  </w:pPr>
                  <w:r>
                    <w:rPr>
                      <w:color w:val="auto"/>
                    </w:rPr>
                    <w:t>固体</w:t>
                  </w:r>
                </w:p>
              </w:tc>
              <w:tc>
                <w:tcPr>
                  <w:tcW w:w="551" w:type="pct"/>
                  <w:vMerge/>
                  <w:tcBorders>
                    <w:tl2br w:val="nil"/>
                    <w:tr2bl w:val="nil"/>
                  </w:tcBorders>
                  <w:vAlign w:val="center"/>
                </w:tcPr>
                <w:p/>
              </w:tc>
              <w:tc>
                <w:tcPr>
                  <w:tcW w:w="458" w:type="pct"/>
                  <w:tcBorders>
                    <w:tl2br w:val="nil"/>
                    <w:tr2bl w:val="nil"/>
                  </w:tcBorders>
                  <w:vAlign w:val="center"/>
                </w:tcPr>
                <w:p>
                  <w:pPr>
                    <w:pStyle w:val="23"/>
                    <w:bidi w:val="0"/>
                    <w:rPr>
                      <w:color w:val="auto"/>
                      <w:lang w:val="en-US" w:eastAsia="zh-CN"/>
                    </w:rPr>
                  </w:pPr>
                  <w:r>
                    <w:rPr>
                      <w:rFonts w:hint="eastAsia"/>
                      <w:color w:val="auto"/>
                      <w:lang w:val="en-US" w:eastAsia="zh-CN"/>
                    </w:rPr>
                    <w:t>0.001</w:t>
                  </w:r>
                </w:p>
              </w:tc>
              <w:tc>
                <w:tcPr>
                  <w:tcW w:w="295"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w:t>
                  </w:r>
                </w:p>
              </w:tc>
              <w:tc>
                <w:tcPr>
                  <w:tcW w:w="639" w:type="pct"/>
                  <w:vMerge/>
                  <w:tcBorders>
                    <w:tl2br w:val="nil"/>
                    <w:tr2bl w:val="nil"/>
                  </w:tcBorders>
                  <w:vAlign w:val="center"/>
                </w:tcPr>
                <w:p/>
              </w:tc>
              <w:tc>
                <w:tcPr>
                  <w:tcW w:w="506" w:type="pct"/>
                  <w:tcBorders>
                    <w:tl2br w:val="nil"/>
                    <w:tr2bl w:val="nil"/>
                  </w:tcBorders>
                  <w:vAlign w:val="center"/>
                </w:tcPr>
                <w:p>
                  <w:pPr>
                    <w:pStyle w:val="23"/>
                    <w:bidi w:val="0"/>
                    <w:rPr>
                      <w:rFonts w:hint="eastAsia"/>
                      <w:color w:val="auto"/>
                    </w:rPr>
                  </w:pPr>
                  <w:r>
                    <w:rPr>
                      <w:rFonts w:hint="eastAsia"/>
                      <w:color w:val="auto"/>
                      <w:lang w:val="en-US" w:eastAsia="zh-CN"/>
                    </w:rPr>
                    <w:t>0.001</w:t>
                  </w:r>
                </w:p>
              </w:tc>
            </w:tr>
          </w:tbl>
          <w:p>
            <w:pPr>
              <w:tabs>
                <w:tab w:val="left" w:pos="2610"/>
              </w:tabs>
              <w:spacing w:line="480" w:lineRule="exact"/>
              <w:ind w:firstLineChars="200" w:firstLine="480"/>
              <w:jc w:val="center"/>
              <w:rPr>
                <w:b/>
                <w:bCs/>
                <w:color w:val="auto"/>
                <w:sz w:val="24"/>
              </w:rPr>
            </w:pPr>
            <w:r>
              <w:rPr>
                <w:b/>
                <w:bCs/>
                <w:color w:val="auto"/>
                <w:sz w:val="24"/>
              </w:rPr>
              <w:t>表4-</w:t>
            </w:r>
            <w:r>
              <w:rPr>
                <w:rFonts w:hint="eastAsia"/>
                <w:b/>
                <w:bCs/>
                <w:color w:val="auto"/>
                <w:sz w:val="24"/>
              </w:rPr>
              <w:t>2</w:t>
            </w:r>
            <w:r>
              <w:rPr>
                <w:rFonts w:hint="eastAsia"/>
                <w:b/>
                <w:bCs/>
                <w:color w:val="auto"/>
                <w:sz w:val="24"/>
                <w:lang w:val="en-US" w:eastAsia="zh-CN"/>
              </w:rPr>
              <w:t>0</w:t>
            </w:r>
            <w:r>
              <w:rPr>
                <w:rFonts w:hint="eastAsia"/>
                <w:b/>
                <w:bCs/>
                <w:color w:val="auto"/>
                <w:sz w:val="24"/>
              </w:rPr>
              <w:t xml:space="preserve">  本项目</w:t>
            </w:r>
            <w:r>
              <w:rPr>
                <w:b/>
                <w:bCs/>
                <w:color w:val="auto"/>
                <w:sz w:val="24"/>
              </w:rPr>
              <w:t>固体废物产生及处置情况一览表</w:t>
            </w:r>
          </w:p>
          <w:tbl>
            <w:tblPr>
              <w:jc w:val="left"/>
              <w:tblInd w:w="0" w:type="dxa"/>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238"/>
              <w:gridCol w:w="1238"/>
              <w:gridCol w:w="1032"/>
              <w:gridCol w:w="817"/>
              <w:gridCol w:w="1290"/>
              <w:gridCol w:w="1811"/>
              <w:gridCol w:w="979"/>
            </w:tblGrid>
            <w:tr>
              <w:trPr>
                <w:trHeight w:val="23"/>
              </w:trPr>
              <w:tc>
                <w:tcPr>
                  <w:tcW w:w="736" w:type="pct"/>
                  <w:tcBorders>
                    <w:tl2br w:val="nil"/>
                    <w:tr2bl w:val="nil"/>
                  </w:tcBorders>
                  <w:vAlign w:val="center"/>
                </w:tcPr>
                <w:p>
                  <w:pPr>
                    <w:pStyle w:val="23"/>
                    <w:bidi w:val="0"/>
                    <w:rPr>
                      <w:color w:val="auto"/>
                    </w:rPr>
                  </w:pPr>
                  <w:r>
                    <w:rPr>
                      <w:color w:val="auto"/>
                    </w:rPr>
                    <w:t>产生</w:t>
                  </w:r>
                </w:p>
                <w:p>
                  <w:pPr>
                    <w:pStyle w:val="23"/>
                    <w:bidi w:val="0"/>
                    <w:rPr>
                      <w:color w:val="auto"/>
                    </w:rPr>
                  </w:pPr>
                  <w:r>
                    <w:rPr>
                      <w:color w:val="auto"/>
                    </w:rPr>
                    <w:t>环节</w:t>
                  </w:r>
                </w:p>
              </w:tc>
              <w:tc>
                <w:tcPr>
                  <w:tcW w:w="736" w:type="pct"/>
                  <w:tcBorders>
                    <w:tl2br w:val="nil"/>
                    <w:tr2bl w:val="nil"/>
                  </w:tcBorders>
                  <w:vAlign w:val="center"/>
                </w:tcPr>
                <w:p>
                  <w:pPr>
                    <w:pStyle w:val="23"/>
                    <w:bidi w:val="0"/>
                    <w:rPr>
                      <w:color w:val="auto"/>
                    </w:rPr>
                  </w:pPr>
                  <w:r>
                    <w:rPr>
                      <w:color w:val="auto"/>
                    </w:rPr>
                    <w:t>固废名称</w:t>
                  </w:r>
                </w:p>
              </w:tc>
              <w:tc>
                <w:tcPr>
                  <w:tcW w:w="614" w:type="pct"/>
                  <w:tcBorders>
                    <w:tl2br w:val="nil"/>
                    <w:tr2bl w:val="nil"/>
                  </w:tcBorders>
                  <w:vAlign w:val="center"/>
                </w:tcPr>
                <w:p>
                  <w:pPr>
                    <w:pStyle w:val="23"/>
                    <w:bidi w:val="0"/>
                    <w:rPr>
                      <w:color w:val="auto"/>
                    </w:rPr>
                  </w:pPr>
                  <w:r>
                    <w:rPr>
                      <w:color w:val="auto"/>
                    </w:rPr>
                    <w:t>属性</w:t>
                  </w:r>
                </w:p>
              </w:tc>
              <w:tc>
                <w:tcPr>
                  <w:tcW w:w="486" w:type="pct"/>
                  <w:tcBorders>
                    <w:tl2br w:val="nil"/>
                    <w:tr2bl w:val="nil"/>
                  </w:tcBorders>
                  <w:vAlign w:val="center"/>
                </w:tcPr>
                <w:p>
                  <w:pPr>
                    <w:pStyle w:val="23"/>
                    <w:bidi w:val="0"/>
                    <w:rPr>
                      <w:color w:val="auto"/>
                    </w:rPr>
                  </w:pPr>
                  <w:r>
                    <w:rPr>
                      <w:color w:val="auto"/>
                    </w:rPr>
                    <w:t>产生量</w:t>
                  </w:r>
                  <w:r>
                    <w:rPr>
                      <w:rFonts w:hint="eastAsia"/>
                      <w:color w:val="auto"/>
                      <w:lang w:eastAsia="zh-CN"/>
                    </w:rPr>
                    <w:t>（</w:t>
                  </w:r>
                  <w:r>
                    <w:rPr>
                      <w:color w:val="auto"/>
                    </w:rPr>
                    <w:t>t/a)</w:t>
                  </w:r>
                </w:p>
              </w:tc>
              <w:tc>
                <w:tcPr>
                  <w:tcW w:w="767" w:type="pct"/>
                  <w:tcBorders>
                    <w:tl2br w:val="nil"/>
                    <w:tr2bl w:val="nil"/>
                  </w:tcBorders>
                  <w:vAlign w:val="center"/>
                </w:tcPr>
                <w:p>
                  <w:pPr>
                    <w:pStyle w:val="23"/>
                    <w:bidi w:val="0"/>
                    <w:rPr>
                      <w:color w:val="auto"/>
                    </w:rPr>
                  </w:pPr>
                  <w:r>
                    <w:rPr>
                      <w:color w:val="auto"/>
                    </w:rPr>
                    <w:t>贮存方式</w:t>
                  </w:r>
                </w:p>
              </w:tc>
              <w:tc>
                <w:tcPr>
                  <w:tcW w:w="1077" w:type="pct"/>
                  <w:tcBorders>
                    <w:tl2br w:val="nil"/>
                    <w:tr2bl w:val="nil"/>
                  </w:tcBorders>
                  <w:vAlign w:val="center"/>
                </w:tcPr>
                <w:p>
                  <w:pPr>
                    <w:pStyle w:val="23"/>
                    <w:bidi w:val="0"/>
                    <w:rPr>
                      <w:color w:val="auto"/>
                    </w:rPr>
                  </w:pPr>
                  <w:r>
                    <w:rPr>
                      <w:color w:val="auto"/>
                    </w:rPr>
                    <w:t>利用处置方式和去向</w:t>
                  </w:r>
                </w:p>
              </w:tc>
              <w:tc>
                <w:tcPr>
                  <w:tcW w:w="582" w:type="pct"/>
                  <w:tcBorders>
                    <w:tl2br w:val="nil"/>
                    <w:tr2bl w:val="nil"/>
                  </w:tcBorders>
                  <w:vAlign w:val="center"/>
                </w:tcPr>
                <w:p>
                  <w:pPr>
                    <w:pStyle w:val="23"/>
                    <w:bidi w:val="0"/>
                    <w:rPr>
                      <w:color w:val="auto"/>
                    </w:rPr>
                  </w:pPr>
                  <w:r>
                    <w:rPr>
                      <w:color w:val="auto"/>
                    </w:rPr>
                    <w:t>利用或处置量</w:t>
                  </w:r>
                  <w:r>
                    <w:rPr>
                      <w:rFonts w:hint="eastAsia"/>
                      <w:color w:val="auto"/>
                      <w:lang w:eastAsia="zh-CN"/>
                    </w:rPr>
                    <w:t>（</w:t>
                  </w:r>
                  <w:r>
                    <w:rPr>
                      <w:color w:val="auto"/>
                    </w:rPr>
                    <w:t>t/a)</w:t>
                  </w:r>
                </w:p>
              </w:tc>
            </w:tr>
            <w:tr>
              <w:trPr>
                <w:trHeight w:val="23"/>
              </w:trPr>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原材料</w:t>
                  </w: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废包装</w:t>
                  </w:r>
                </w:p>
              </w:tc>
              <w:tc>
                <w:tcPr>
                  <w:tcW w:w="614" w:type="pct"/>
                  <w:vMerge w:val="restart"/>
                  <w:tcBorders>
                    <w:tl2br w:val="nil"/>
                    <w:tr2bl w:val="nil"/>
                  </w:tcBorders>
                  <w:vAlign w:val="center"/>
                </w:tcPr>
                <w:p>
                  <w:pPr>
                    <w:pStyle w:val="23"/>
                    <w:bidi w:val="0"/>
                    <w:rPr>
                      <w:color w:val="auto"/>
                    </w:rPr>
                  </w:pPr>
                  <w:r>
                    <w:rPr>
                      <w:rFonts w:hint="eastAsia"/>
                      <w:color w:val="auto"/>
                    </w:rPr>
                    <w:t>一般固废</w:t>
                  </w: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袋装</w:t>
                  </w:r>
                </w:p>
              </w:tc>
              <w:tc>
                <w:tcPr>
                  <w:tcW w:w="1077"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统一收集后</w:t>
                  </w:r>
                  <w:r>
                    <w:rPr>
                      <w:rFonts w:hint="eastAsia"/>
                      <w:color w:val="auto"/>
                      <w:lang w:val="en-US" w:eastAsia="zh-CN"/>
                    </w:rPr>
                    <w:t>暂存一般固废间，</w:t>
                  </w:r>
                  <w:r>
                    <w:rPr>
                      <w:rFonts w:hint="eastAsia"/>
                      <w:color w:val="auto"/>
                    </w:rPr>
                    <w:t>外售</w:t>
                  </w:r>
                  <w:r>
                    <w:rPr>
                      <w:rFonts w:hint="eastAsia"/>
                      <w:color w:val="auto"/>
                      <w:lang w:val="en-US" w:eastAsia="zh-CN"/>
                    </w:rPr>
                    <w:t>综合利用</w:t>
                  </w: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w:t>
                  </w:r>
                </w:p>
              </w:tc>
            </w:tr>
            <w:tr>
              <w:trPr>
                <w:trHeight w:val="23"/>
              </w:trPr>
              <w:tc>
                <w:tcPr>
                  <w:tcW w:w="736"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布袋除尘器</w:t>
                  </w: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废布袋</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0.08</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0.08</w:t>
                  </w:r>
                </w:p>
              </w:tc>
            </w:tr>
            <w:tr>
              <w:trPr>
                <w:trHeight w:val="23"/>
              </w:trPr>
              <w:tc>
                <w:tcPr>
                  <w:tcW w:w="736" w:type="pct"/>
                  <w:vMerge/>
                  <w:tcBorders>
                    <w:tl2br w:val="nil"/>
                    <w:tr2bl w:val="nil"/>
                  </w:tcBorders>
                  <w:vAlign w:val="center"/>
                </w:tcP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lang w:val="en-US" w:eastAsia="zh-CN"/>
                    </w:rPr>
                    <w:t>除尘灰</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0.482</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桶装</w:t>
                  </w:r>
                </w:p>
              </w:tc>
              <w:tc>
                <w:tcPr>
                  <w:tcW w:w="1077" w:type="pct"/>
                  <w:vMerge w:val="restart"/>
                  <w:tcBorders>
                    <w:tl2br w:val="nil"/>
                    <w:tr2bl w:val="nil"/>
                  </w:tcBorders>
                  <w:vAlign w:val="center"/>
                </w:tcPr>
                <w:p>
                  <w:pPr>
                    <w:pStyle w:val="23"/>
                    <w:bidi w:val="0"/>
                    <w:rPr>
                      <w:color w:val="auto"/>
                    </w:rPr>
                  </w:pPr>
                  <w:r>
                    <w:rPr>
                      <w:rFonts w:hint="eastAsia"/>
                      <w:color w:val="auto"/>
                      <w:lang w:val="en-US" w:eastAsia="zh-CN"/>
                    </w:rPr>
                    <w:t>统一收集后交环卫部门处置</w:t>
                  </w: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0.482</w:t>
                  </w:r>
                </w:p>
              </w:tc>
            </w:tr>
            <w:tr>
              <w:trPr>
                <w:trHeight w:val="23"/>
              </w:trPr>
              <w:tc>
                <w:tcPr>
                  <w:tcW w:w="736"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污水处理站</w:t>
                  </w: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浮油</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0.683</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lang w:val="en-US" w:eastAsia="zh-CN"/>
                    </w:rPr>
                    <w:t>0.683</w:t>
                  </w:r>
                </w:p>
              </w:tc>
            </w:tr>
            <w:tr>
              <w:trPr>
                <w:trHeight w:val="23"/>
              </w:trPr>
              <w:tc>
                <w:tcPr>
                  <w:tcW w:w="736" w:type="pct"/>
                  <w:vMerge/>
                  <w:tcBorders>
                    <w:tl2br w:val="nil"/>
                    <w:tr2bl w:val="nil"/>
                  </w:tcBorders>
                  <w:vAlign w:val="center"/>
                </w:tcP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污泥</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7.215</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7.215</w:t>
                  </w:r>
                </w:p>
              </w:tc>
            </w:tr>
            <w:tr>
              <w:trPr>
                <w:trHeight w:val="23"/>
              </w:trPr>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研发实验室</w:t>
                  </w: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废研发样品</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color w:val="auto"/>
                      <w:lang w:val="en-US" w:eastAsia="zh-CN"/>
                    </w:rPr>
                  </w:pPr>
                  <w:r>
                    <w:rPr>
                      <w:rFonts w:hint="eastAsia"/>
                      <w:color w:val="auto"/>
                      <w:lang w:val="en-US" w:eastAsia="zh-CN"/>
                    </w:rPr>
                    <w:t>0.01</w:t>
                  </w:r>
                </w:p>
              </w:tc>
              <w:tc>
                <w:tcPr>
                  <w:tcW w:w="767" w:type="pct"/>
                  <w:tcBorders>
                    <w:tl2br w:val="nil"/>
                    <w:tr2bl w:val="nil"/>
                  </w:tcBorders>
                  <w:shd w:val="clear" w:color="auto" w:fill="auto"/>
                  <w:vAlign w:val="center"/>
                </w:tcPr>
                <w:p>
                  <w:pPr>
                    <w:pStyle w:val="23"/>
                    <w:bidi w:val="0"/>
                    <w:ind w:firstLine="0"/>
                    <w:rPr>
                      <w:color w:val="auto"/>
                    </w:rPr>
                  </w:pPr>
                  <w:r>
                    <w:rPr>
                      <w:color w:val="auto"/>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hint="eastAsia"/>
                      <w:color w:val="auto"/>
                      <w:lang w:val="en-US" w:eastAsia="zh-CN"/>
                    </w:rPr>
                  </w:pPr>
                  <w:r>
                    <w:rPr>
                      <w:rFonts w:hint="eastAsia"/>
                      <w:color w:val="auto"/>
                      <w:lang w:val="en-US" w:eastAsia="zh-CN"/>
                    </w:rPr>
                    <w:t>0.01</w:t>
                  </w:r>
                </w:p>
              </w:tc>
            </w:tr>
            <w:tr>
              <w:trPr>
                <w:trHeight w:val="23"/>
              </w:trPr>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过滤</w:t>
                  </w: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果蔬渣</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200</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200</w:t>
                  </w:r>
                </w:p>
              </w:tc>
            </w:tr>
            <w:tr>
              <w:trPr>
                <w:trHeight w:val="23"/>
              </w:trPr>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水处理机组</w:t>
                  </w: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废反渗透膜</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0.1</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桶装</w:t>
                  </w:r>
                </w:p>
              </w:tc>
              <w:tc>
                <w:tcPr>
                  <w:tcW w:w="1077" w:type="pct"/>
                  <w:tcBorders>
                    <w:tl2br w:val="nil"/>
                    <w:tr2bl w:val="nil"/>
                  </w:tcBorders>
                  <w:vAlign w:val="center"/>
                </w:tcPr>
                <w:p>
                  <w:pPr>
                    <w:pStyle w:val="23"/>
                    <w:bidi w:val="0"/>
                    <w:rPr>
                      <w:color w:val="auto"/>
                      <w:lang w:val="en-US"/>
                    </w:rPr>
                  </w:pPr>
                  <w:r>
                    <w:rPr>
                      <w:rFonts w:hint="eastAsia"/>
                      <w:color w:val="auto"/>
                    </w:rPr>
                    <w:t>统一收集后</w:t>
                  </w:r>
                  <w:r>
                    <w:rPr>
                      <w:rFonts w:hint="eastAsia"/>
                      <w:color w:val="auto"/>
                      <w:lang w:val="en-US" w:eastAsia="zh-CN"/>
                    </w:rPr>
                    <w:t>暂存一般固废间，交由厂家回收</w:t>
                  </w: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0.1</w:t>
                  </w:r>
                </w:p>
              </w:tc>
            </w:tr>
            <w:tr>
              <w:trPr>
                <w:trHeight w:val="23"/>
              </w:trPr>
              <w:tc>
                <w:tcPr>
                  <w:tcW w:w="736" w:type="pct"/>
                  <w:vMerge w:val="restart"/>
                  <w:tcBorders>
                    <w:tl2br w:val="nil"/>
                    <w:tr2bl w:val="nil"/>
                  </w:tcBorders>
                  <w:vAlign w:val="center"/>
                </w:tcPr>
                <w:p>
                  <w:pPr>
                    <w:pStyle w:val="23"/>
                    <w:bidi w:val="0"/>
                    <w:rPr>
                      <w:color w:val="auto"/>
                    </w:rPr>
                  </w:pPr>
                  <w:r>
                    <w:rPr>
                      <w:rFonts w:hint="eastAsia"/>
                      <w:color w:val="auto"/>
                      <w:lang w:val="en-US" w:eastAsia="zh-CN"/>
                    </w:rPr>
                    <w:t>干式过滤+两级</w:t>
                  </w:r>
                  <w:r>
                    <w:rPr>
                      <w:rFonts w:hint="eastAsia"/>
                      <w:color w:val="auto"/>
                    </w:rPr>
                    <w:t>活性炭吸附装置</w:t>
                  </w: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废活性炭</w:t>
                  </w:r>
                </w:p>
              </w:tc>
              <w:tc>
                <w:tcPr>
                  <w:tcW w:w="614" w:type="pct"/>
                  <w:vMerge w:val="restart"/>
                  <w:tcBorders>
                    <w:tl2br w:val="nil"/>
                    <w:tr2bl w:val="nil"/>
                  </w:tcBorders>
                  <w:vAlign w:val="center"/>
                </w:tcPr>
                <w:p>
                  <w:pPr>
                    <w:pStyle w:val="23"/>
                    <w:bidi w:val="0"/>
                    <w:rPr>
                      <w:color w:val="auto"/>
                    </w:rPr>
                  </w:pPr>
                  <w:r>
                    <w:rPr>
                      <w:color w:val="auto"/>
                    </w:rPr>
                    <w:t>危险废物</w:t>
                  </w: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4.575</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桶装</w:t>
                  </w:r>
                </w:p>
              </w:tc>
              <w:tc>
                <w:tcPr>
                  <w:tcW w:w="1077" w:type="pct"/>
                  <w:vMerge w:val="restart"/>
                  <w:tcBorders>
                    <w:tl2br w:val="nil"/>
                    <w:tr2bl w:val="nil"/>
                  </w:tcBorders>
                  <w:vAlign w:val="center"/>
                </w:tcPr>
                <w:p>
                  <w:pPr>
                    <w:pStyle w:val="23"/>
                    <w:bidi w:val="0"/>
                    <w:rPr>
                      <w:color w:val="auto"/>
                    </w:rPr>
                  </w:pPr>
                  <w:r>
                    <w:rPr>
                      <w:color w:val="auto"/>
                    </w:rPr>
                    <w:t>暂存于危废间，定期交由有资质单位处理</w:t>
                  </w: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4.575</w:t>
                  </w:r>
                </w:p>
              </w:tc>
            </w:tr>
            <w:tr>
              <w:trPr>
                <w:trHeight w:val="23"/>
              </w:trPr>
              <w:tc>
                <w:tcPr>
                  <w:tcW w:w="736" w:type="pct"/>
                  <w:vMerge/>
                  <w:tcBorders>
                    <w:tl2br w:val="nil"/>
                    <w:tr2bl w:val="nil"/>
                  </w:tcBorders>
                  <w:vAlign w:val="center"/>
                </w:tcP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废过滤棉</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r>
            <w:tr>
              <w:trPr>
                <w:trHeight w:val="23"/>
              </w:trPr>
              <w:tc>
                <w:tcPr>
                  <w:tcW w:w="736" w:type="pct"/>
                  <w:vMerge w:val="restart"/>
                  <w:tcBorders>
                    <w:tl2br w:val="nil"/>
                    <w:tr2bl w:val="nil"/>
                  </w:tcBorders>
                  <w:vAlign w:val="center"/>
                </w:tcPr>
                <w:p>
                  <w:pPr>
                    <w:pStyle w:val="23"/>
                    <w:bidi w:val="0"/>
                    <w:rPr>
                      <w:color w:val="auto"/>
                    </w:rPr>
                  </w:pPr>
                  <w:r>
                    <w:rPr>
                      <w:rFonts w:hint="eastAsia"/>
                      <w:color w:val="auto"/>
                      <w:lang w:val="en-US" w:eastAsia="zh-CN"/>
                    </w:rPr>
                    <w:t>检测实验室</w:t>
                  </w: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废试剂瓶</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r>
            <w:tr>
              <w:trPr>
                <w:trHeight w:val="23"/>
              </w:trPr>
              <w:tc>
                <w:tcPr>
                  <w:tcW w:w="736" w:type="pct"/>
                  <w:vMerge/>
                  <w:tcBorders>
                    <w:tl2br w:val="nil"/>
                    <w:tr2bl w:val="nil"/>
                  </w:tcBorders>
                  <w:vAlign w:val="center"/>
                </w:tcP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实验室废液</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1.8</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1.8</w:t>
                  </w:r>
                </w:p>
              </w:tc>
            </w:tr>
            <w:tr>
              <w:trPr>
                <w:trHeight w:val="23"/>
              </w:trPr>
              <w:tc>
                <w:tcPr>
                  <w:tcW w:w="736" w:type="pct"/>
                  <w:vMerge/>
                  <w:tcBorders>
                    <w:tl2br w:val="nil"/>
                    <w:tr2bl w:val="nil"/>
                  </w:tcBorders>
                  <w:vAlign w:val="center"/>
                </w:tcPr>
                <w:p/>
              </w:tc>
              <w:tc>
                <w:tcPr>
                  <w:tcW w:w="73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废UV灯管</w:t>
                  </w:r>
                </w:p>
              </w:tc>
              <w:tc>
                <w:tcPr>
                  <w:tcW w:w="614" w:type="pct"/>
                  <w:vMerge/>
                  <w:tcBorders>
                    <w:tl2br w:val="nil"/>
                    <w:tr2bl w:val="nil"/>
                  </w:tcBorders>
                  <w:vAlign w:val="center"/>
                </w:tcP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0.002</w:t>
                  </w:r>
                </w:p>
              </w:tc>
              <w:tc>
                <w:tcPr>
                  <w:tcW w:w="76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桶装</w:t>
                  </w:r>
                </w:p>
              </w:tc>
              <w:tc>
                <w:tcPr>
                  <w:tcW w:w="1077" w:type="pct"/>
                  <w:vMerge/>
                  <w:tcBorders>
                    <w:tl2br w:val="nil"/>
                    <w:tr2bl w:val="nil"/>
                  </w:tcBorders>
                  <w:vAlign w:val="center"/>
                </w:tcPr>
                <w:p/>
              </w:tc>
              <w:tc>
                <w:tcPr>
                  <w:tcW w:w="58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0.002</w:t>
                  </w:r>
                </w:p>
              </w:tc>
            </w:tr>
            <w:tr>
              <w:trPr>
                <w:trHeight w:val="23"/>
              </w:trPr>
              <w:tc>
                <w:tcPr>
                  <w:tcW w:w="736" w:type="pct"/>
                  <w:vMerge w:val="restart"/>
                </w:tcPr>
                <w:p>
                  <w:pPr>
                    <w:pStyle w:val="23"/>
                    <w:bidi w:val="0"/>
                    <w:rPr>
                      <w:rFonts w:hint="eastAsia"/>
                      <w:color w:val="auto"/>
                      <w:lang w:val="en-US" w:eastAsia="zh-CN"/>
                    </w:rPr>
                  </w:pPr>
                  <w:r>
                    <w:rPr>
                      <w:rFonts w:hint="eastAsia"/>
                      <w:color w:val="auto"/>
                      <w:lang w:val="en-US" w:eastAsia="zh-CN"/>
                    </w:rPr>
                    <w:t>设备</w:t>
                  </w:r>
                </w:p>
                <w:p>
                  <w:pPr>
                    <w:pStyle w:val="23"/>
                    <w:bidi w:val="0"/>
                    <w:rPr>
                      <w:rFonts w:hint="eastAsia"/>
                      <w:color w:val="auto"/>
                      <w:lang w:val="en-US" w:eastAsia="zh-CN"/>
                    </w:rPr>
                  </w:pPr>
                  <w:r>
                    <w:rPr>
                      <w:rFonts w:hint="eastAsia"/>
                      <w:color w:val="auto"/>
                      <w:lang w:val="en-US" w:eastAsia="zh-CN"/>
                    </w:rPr>
                    <w:t>维护</w:t>
                  </w:r>
                </w:p>
              </w:tc>
              <w:tc>
                <w:tcPr>
                  <w:tcW w:w="736"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废润滑油</w:t>
                  </w:r>
                </w:p>
              </w:tc>
              <w:tc>
                <w:tcPr>
                  <w:tcW w:w="614" w:type="pct"/>
                  <w:vMerge/>
                  <w:tcBorders>
                    <w:left w:val="single" w:sz="4" w:space="0" w:color="auto"/>
                  </w:tcBorders>
                </w:tcPr>
                <w:p/>
              </w:tc>
              <w:tc>
                <w:tcPr>
                  <w:tcW w:w="486"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c>
                <w:tcPr>
                  <w:tcW w:w="767"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桶装</w:t>
                  </w:r>
                </w:p>
              </w:tc>
              <w:tc>
                <w:tcPr>
                  <w:tcW w:w="1077" w:type="pct"/>
                  <w:vMerge/>
                  <w:tcBorders>
                    <w:left w:val="single" w:sz="4" w:space="0" w:color="auto"/>
                  </w:tcBorders>
                </w:tcPr>
                <w:p/>
              </w:tc>
              <w:tc>
                <w:tcPr>
                  <w:tcW w:w="582"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r>
            <w:tr>
              <w:trPr>
                <w:trHeight w:val="23"/>
              </w:trPr>
              <w:tc>
                <w:tcPr>
                  <w:tcW w:w="736" w:type="pct"/>
                  <w:vMerge/>
                </w:tcPr>
                <w:p/>
              </w:tc>
              <w:tc>
                <w:tcPr>
                  <w:tcW w:w="736"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废润滑油桶</w:t>
                  </w:r>
                </w:p>
              </w:tc>
              <w:tc>
                <w:tcPr>
                  <w:tcW w:w="614" w:type="pct"/>
                  <w:vMerge/>
                  <w:tcBorders>
                    <w:left w:val="single" w:sz="4" w:space="0" w:color="auto"/>
                  </w:tcBorders>
                </w:tcPr>
                <w:p/>
              </w:tc>
              <w:tc>
                <w:tcPr>
                  <w:tcW w:w="486"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0.001</w:t>
                  </w:r>
                </w:p>
              </w:tc>
              <w:tc>
                <w:tcPr>
                  <w:tcW w:w="767"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tcW w:w="1077" w:type="pct"/>
                  <w:vMerge/>
                  <w:tcBorders>
                    <w:left w:val="single" w:sz="4" w:space="0" w:color="auto"/>
                  </w:tcBorders>
                </w:tcPr>
                <w:p/>
              </w:tc>
              <w:tc>
                <w:tcPr>
                  <w:tcW w:w="582"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0.001</w:t>
                  </w:r>
                </w:p>
              </w:tc>
            </w:tr>
          </w:tbl>
          <w:p>
            <w:pPr>
              <w:pStyle w:val="24"/>
              <w:bidi w:val="0"/>
              <w:rPr>
                <w:color w:val="auto"/>
              </w:rPr>
            </w:pPr>
            <w:r>
              <w:rPr>
                <w:color w:val="auto"/>
              </w:rPr>
              <w:t>表4-</w:t>
            </w:r>
            <w:r>
              <w:rPr>
                <w:rFonts w:hint="eastAsia"/>
                <w:color w:val="auto"/>
              </w:rPr>
              <w:t>2</w:t>
            </w:r>
            <w:r>
              <w:rPr>
                <w:rFonts w:hint="eastAsia"/>
                <w:color w:val="auto"/>
                <w:lang w:val="en-US" w:eastAsia="zh-CN"/>
              </w:rPr>
              <w:t>1</w:t>
            </w:r>
            <w:r>
              <w:rPr>
                <w:rFonts w:hint="eastAsia"/>
                <w:color w:val="auto"/>
              </w:rPr>
              <w:t xml:space="preserve">  本项目</w:t>
            </w:r>
            <w:r>
              <w:rPr>
                <w:color w:val="auto"/>
              </w:rPr>
              <w:t>危险废物贮存场所（设施）基本情况表</w:t>
            </w:r>
          </w:p>
          <w:tbl>
            <w:tblPr>
              <w:jc w:val="cente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016"/>
              <w:gridCol w:w="1275"/>
              <w:gridCol w:w="1343"/>
              <w:gridCol w:w="1243"/>
              <w:gridCol w:w="660"/>
              <w:gridCol w:w="703"/>
              <w:gridCol w:w="794"/>
              <w:gridCol w:w="703"/>
              <w:gridCol w:w="665"/>
            </w:tblGrid>
            <w:tr>
              <w:trPr>
                <w:trHeight w:val="23"/>
              </w:trPr>
              <w:tc>
                <w:tcPr>
                  <w:tcW w:w="604" w:type="pct"/>
                  <w:tcBorders>
                    <w:tl2br w:val="nil"/>
                    <w:tr2bl w:val="nil"/>
                  </w:tcBorders>
                  <w:vAlign w:val="center"/>
                </w:tcPr>
                <w:p>
                  <w:pPr>
                    <w:pStyle w:val="23"/>
                    <w:bidi w:val="0"/>
                    <w:rPr>
                      <w:color w:val="auto"/>
                    </w:rPr>
                  </w:pPr>
                  <w:r>
                    <w:rPr>
                      <w:color w:val="auto"/>
                    </w:rPr>
                    <w:t>贮存场所（设施）</w:t>
                  </w:r>
                </w:p>
              </w:tc>
              <w:tc>
                <w:tcPr>
                  <w:tcW w:w="758" w:type="pct"/>
                  <w:tcBorders>
                    <w:tl2br w:val="nil"/>
                    <w:tr2bl w:val="nil"/>
                  </w:tcBorders>
                  <w:vAlign w:val="center"/>
                </w:tcPr>
                <w:p>
                  <w:pPr>
                    <w:pStyle w:val="23"/>
                    <w:bidi w:val="0"/>
                    <w:rPr>
                      <w:color w:val="auto"/>
                    </w:rPr>
                  </w:pPr>
                  <w:r>
                    <w:rPr>
                      <w:color w:val="auto"/>
                    </w:rPr>
                    <w:t>危险废物名称</w:t>
                  </w:r>
                </w:p>
              </w:tc>
              <w:tc>
                <w:tcPr>
                  <w:tcW w:w="798" w:type="pct"/>
                  <w:tcBorders>
                    <w:tl2br w:val="nil"/>
                    <w:tr2bl w:val="nil"/>
                  </w:tcBorders>
                  <w:vAlign w:val="center"/>
                </w:tcPr>
                <w:p>
                  <w:pPr>
                    <w:pStyle w:val="23"/>
                    <w:bidi w:val="0"/>
                    <w:rPr>
                      <w:color w:val="auto"/>
                    </w:rPr>
                  </w:pPr>
                  <w:r>
                    <w:rPr>
                      <w:color w:val="auto"/>
                    </w:rPr>
                    <w:t>危险废物类别</w:t>
                  </w:r>
                </w:p>
              </w:tc>
              <w:tc>
                <w:tcPr>
                  <w:tcW w:w="739" w:type="pct"/>
                  <w:tcBorders>
                    <w:tl2br w:val="nil"/>
                    <w:tr2bl w:val="nil"/>
                  </w:tcBorders>
                  <w:vAlign w:val="center"/>
                </w:tcPr>
                <w:p>
                  <w:pPr>
                    <w:pStyle w:val="23"/>
                    <w:bidi w:val="0"/>
                    <w:rPr>
                      <w:color w:val="auto"/>
                    </w:rPr>
                  </w:pPr>
                  <w:r>
                    <w:rPr>
                      <w:color w:val="auto"/>
                    </w:rPr>
                    <w:t>危险废物</w:t>
                  </w:r>
                </w:p>
                <w:p>
                  <w:pPr>
                    <w:pStyle w:val="23"/>
                    <w:bidi w:val="0"/>
                    <w:rPr>
                      <w:color w:val="auto"/>
                    </w:rPr>
                  </w:pPr>
                  <w:r>
                    <w:rPr>
                      <w:color w:val="auto"/>
                    </w:rPr>
                    <w:t>代码</w:t>
                  </w:r>
                </w:p>
              </w:tc>
              <w:tc>
                <w:tcPr>
                  <w:tcW w:w="392" w:type="pct"/>
                  <w:tcBorders>
                    <w:tl2br w:val="nil"/>
                    <w:tr2bl w:val="nil"/>
                  </w:tcBorders>
                  <w:vAlign w:val="center"/>
                </w:tcPr>
                <w:p>
                  <w:pPr>
                    <w:pStyle w:val="23"/>
                    <w:bidi w:val="0"/>
                    <w:rPr>
                      <w:color w:val="auto"/>
                    </w:rPr>
                  </w:pPr>
                  <w:r>
                    <w:rPr>
                      <w:color w:val="auto"/>
                    </w:rPr>
                    <w:t>位置</w:t>
                  </w:r>
                </w:p>
              </w:tc>
              <w:tc>
                <w:tcPr>
                  <w:tcW w:w="418" w:type="pct"/>
                  <w:tcBorders>
                    <w:tl2br w:val="nil"/>
                    <w:tr2bl w:val="nil"/>
                  </w:tcBorders>
                  <w:vAlign w:val="center"/>
                </w:tcPr>
                <w:p>
                  <w:pPr>
                    <w:pStyle w:val="23"/>
                    <w:bidi w:val="0"/>
                    <w:rPr>
                      <w:color w:val="auto"/>
                    </w:rPr>
                  </w:pPr>
                  <w:r>
                    <w:rPr>
                      <w:color w:val="auto"/>
                    </w:rPr>
                    <w:t>占地面积</w:t>
                  </w:r>
                </w:p>
              </w:tc>
              <w:tc>
                <w:tcPr>
                  <w:tcW w:w="472" w:type="pct"/>
                  <w:tcBorders>
                    <w:tl2br w:val="nil"/>
                    <w:tr2bl w:val="nil"/>
                  </w:tcBorders>
                  <w:vAlign w:val="center"/>
                </w:tcPr>
                <w:p>
                  <w:pPr>
                    <w:pStyle w:val="23"/>
                    <w:bidi w:val="0"/>
                    <w:rPr>
                      <w:color w:val="auto"/>
                    </w:rPr>
                  </w:pPr>
                  <w:r>
                    <w:rPr>
                      <w:color w:val="auto"/>
                    </w:rPr>
                    <w:t>贮存方式</w:t>
                  </w:r>
                </w:p>
              </w:tc>
              <w:tc>
                <w:tcPr>
                  <w:tcW w:w="418" w:type="pct"/>
                  <w:tcBorders>
                    <w:tl2br w:val="nil"/>
                    <w:tr2bl w:val="nil"/>
                  </w:tcBorders>
                  <w:vAlign w:val="center"/>
                </w:tcPr>
                <w:p>
                  <w:pPr>
                    <w:pStyle w:val="23"/>
                    <w:bidi w:val="0"/>
                    <w:rPr>
                      <w:rFonts w:eastAsia="宋体" w:hint="eastAsia"/>
                      <w:color w:val="auto"/>
                      <w:lang w:eastAsia="zh-CN"/>
                    </w:rPr>
                  </w:pPr>
                  <w:r>
                    <w:rPr>
                      <w:color w:val="auto"/>
                    </w:rPr>
                    <w:t>贮存</w:t>
                  </w:r>
                  <w:r>
                    <w:rPr>
                      <w:rFonts w:hint="eastAsia"/>
                      <w:color w:val="auto"/>
                      <w:lang w:val="en-US" w:eastAsia="zh-CN"/>
                    </w:rPr>
                    <w:t>量</w:t>
                  </w:r>
                </w:p>
              </w:tc>
              <w:tc>
                <w:tcPr>
                  <w:tcW w:w="395" w:type="pct"/>
                  <w:tcBorders>
                    <w:tl2br w:val="nil"/>
                    <w:tr2bl w:val="nil"/>
                  </w:tcBorders>
                  <w:vAlign w:val="center"/>
                </w:tcPr>
                <w:p>
                  <w:pPr>
                    <w:pStyle w:val="23"/>
                    <w:bidi w:val="0"/>
                    <w:rPr>
                      <w:color w:val="auto"/>
                    </w:rPr>
                  </w:pPr>
                  <w:r>
                    <w:rPr>
                      <w:color w:val="auto"/>
                    </w:rPr>
                    <w:t>贮存</w:t>
                  </w:r>
                </w:p>
                <w:p>
                  <w:pPr>
                    <w:pStyle w:val="23"/>
                    <w:bidi w:val="0"/>
                    <w:rPr>
                      <w:color w:val="auto"/>
                    </w:rPr>
                  </w:pPr>
                  <w:r>
                    <w:rPr>
                      <w:color w:val="auto"/>
                    </w:rPr>
                    <w:t>周期</w:t>
                  </w:r>
                </w:p>
              </w:tc>
            </w:tr>
            <w:tr>
              <w:trPr>
                <w:trHeight w:val="23"/>
              </w:trPr>
              <w:tc>
                <w:tcPr>
                  <w:tcW w:w="604" w:type="pct"/>
                  <w:vMerge w:val="restar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危废间</w:t>
                  </w:r>
                </w:p>
              </w:tc>
              <w:tc>
                <w:tcPr>
                  <w:tcW w:w="758"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废活性炭</w:t>
                  </w:r>
                </w:p>
              </w:tc>
              <w:tc>
                <w:tcPr>
                  <w:tcW w:w="798" w:type="pct"/>
                  <w:vMerge w:val="restart"/>
                  <w:tcBorders>
                    <w:tl2br w:val="nil"/>
                    <w:tr2bl w:val="nil"/>
                  </w:tcBorders>
                  <w:vAlign w:val="center"/>
                </w:tcPr>
                <w:p>
                  <w:pPr>
                    <w:pStyle w:val="23"/>
                    <w:bidi w:val="0"/>
                    <w:rPr>
                      <w:color w:val="auto"/>
                    </w:rPr>
                  </w:pPr>
                  <w:r>
                    <w:rPr>
                      <w:color w:val="auto"/>
                    </w:rPr>
                    <w:t>HW49其他废物</w:t>
                  </w:r>
                </w:p>
              </w:tc>
              <w:tc>
                <w:tcPr>
                  <w:tcW w:w="739"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900-039-49</w:t>
                  </w:r>
                </w:p>
              </w:tc>
              <w:tc>
                <w:tcPr>
                  <w:tcW w:w="392" w:type="pct"/>
                  <w:vMerge w:val="restart"/>
                  <w:tcBorders>
                    <w:tl2br w:val="nil"/>
                    <w:tr2bl w:val="nil"/>
                  </w:tcBorders>
                  <w:vAlign w:val="center"/>
                </w:tcPr>
                <w:p>
                  <w:pPr>
                    <w:pStyle w:val="23"/>
                    <w:bidi w:val="0"/>
                    <w:ind w:firstLine="0"/>
                    <w:rPr>
                      <w:rFonts w:ascii="Times New Roman" w:eastAsia="宋体" w:cs="Times New Roman" w:hAnsi="Times New Roman"/>
                      <w:color w:val="auto"/>
                      <w:kern w:val="0"/>
                      <w:sz w:val="21"/>
                      <w:szCs w:val="24"/>
                      <w:lang w:val="en-US" w:eastAsia="zh-CN" w:bidi="ar-SA"/>
                      <w:highlight w:val="yellow"/>
                    </w:rPr>
                  </w:pPr>
                  <w:r>
                    <w:rPr>
                      <w:rFonts w:hint="eastAsia"/>
                      <w:color w:val="auto"/>
                      <w:lang w:val="en-US" w:eastAsia="zh-CN"/>
                      <w:highlight w:val="none"/>
                    </w:rPr>
                    <w:t>1#车间2层</w:t>
                  </w:r>
                </w:p>
              </w:tc>
              <w:tc>
                <w:tcPr>
                  <w:tcW w:w="418" w:type="pct"/>
                  <w:vMerge w:val="restar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20㎡</w:t>
                  </w:r>
                </w:p>
              </w:tc>
              <w:tc>
                <w:tcPr>
                  <w:tcW w:w="47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桶装</w:t>
                  </w:r>
                </w:p>
              </w:tc>
              <w:tc>
                <w:tcPr>
                  <w:tcW w:w="418"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4.575</w:t>
                  </w:r>
                </w:p>
              </w:tc>
              <w:tc>
                <w:tcPr>
                  <w:tcW w:w="395" w:type="pct"/>
                  <w:tcBorders>
                    <w:tl2br w:val="nil"/>
                    <w:tr2bl w:val="nil"/>
                  </w:tcBorders>
                  <w:vAlign w:val="center"/>
                </w:tcPr>
                <w:p>
                  <w:pPr>
                    <w:pStyle w:val="23"/>
                    <w:bidi w:val="0"/>
                    <w:rPr>
                      <w:rFonts w:eastAsia="宋体"/>
                      <w:color w:val="auto"/>
                      <w:lang w:val="en-US" w:eastAsia="zh-CN"/>
                    </w:rPr>
                  </w:pPr>
                  <w:r>
                    <w:rPr>
                      <w:rFonts w:hint="eastAsia"/>
                      <w:color w:val="auto"/>
                      <w:lang w:val="en-US" w:eastAsia="zh-CN"/>
                    </w:rPr>
                    <w:t>1月</w:t>
                  </w:r>
                </w:p>
              </w:tc>
            </w:tr>
            <w:tr>
              <w:trPr>
                <w:trHeight w:val="23"/>
              </w:trPr>
              <w:tc>
                <w:tcPr>
                  <w:tcW w:w="604" w:type="pct"/>
                  <w:vMerge/>
                  <w:tcBorders>
                    <w:tl2br w:val="nil"/>
                    <w:tr2bl w:val="nil"/>
                  </w:tcBorders>
                  <w:vAlign w:val="center"/>
                </w:tcPr>
                <w:p/>
              </w:tc>
              <w:tc>
                <w:tcPr>
                  <w:tcW w:w="75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废过滤棉</w:t>
                  </w:r>
                </w:p>
              </w:tc>
              <w:tc>
                <w:tcPr>
                  <w:tcW w:w="798" w:type="pct"/>
                  <w:vMerge/>
                  <w:tcBorders>
                    <w:tl2br w:val="nil"/>
                    <w:tr2bl w:val="nil"/>
                  </w:tcBorders>
                  <w:vAlign w:val="center"/>
                </w:tcPr>
                <w:p/>
              </w:tc>
              <w:tc>
                <w:tcPr>
                  <w:tcW w:w="739"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900-041-49</w:t>
                  </w:r>
                </w:p>
              </w:tc>
              <w:tc>
                <w:tcPr>
                  <w:tcW w:w="392" w:type="pct"/>
                  <w:vMerge/>
                  <w:tcBorders>
                    <w:tl2br w:val="nil"/>
                    <w:tr2bl w:val="nil"/>
                  </w:tcBorders>
                  <w:vAlign w:val="center"/>
                </w:tcPr>
                <w:p/>
              </w:tc>
              <w:tc>
                <w:tcPr>
                  <w:tcW w:w="418" w:type="pct"/>
                  <w:vMerge/>
                  <w:tcBorders>
                    <w:tl2br w:val="nil"/>
                    <w:tr2bl w:val="nil"/>
                  </w:tcBorders>
                  <w:vAlign w:val="center"/>
                </w:tcPr>
                <w:p/>
              </w:tc>
              <w:tc>
                <w:tcPr>
                  <w:tcW w:w="47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桶装</w:t>
                  </w:r>
                </w:p>
              </w:tc>
              <w:tc>
                <w:tcPr>
                  <w:tcW w:w="418"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c>
                <w:tcPr>
                  <w:tcW w:w="395" w:type="pct"/>
                  <w:tcBorders>
                    <w:tl2br w:val="nil"/>
                    <w:tr2bl w:val="nil"/>
                  </w:tcBorders>
                  <w:vAlign w:val="center"/>
                </w:tcPr>
                <w:p>
                  <w:pPr>
                    <w:pStyle w:val="23"/>
                    <w:bidi w:val="0"/>
                    <w:rPr>
                      <w:color w:val="auto"/>
                    </w:rPr>
                  </w:pPr>
                  <w:r>
                    <w:rPr>
                      <w:rFonts w:hint="eastAsia"/>
                      <w:color w:val="auto"/>
                      <w:lang w:val="en-US" w:eastAsia="zh-CN"/>
                    </w:rPr>
                    <w:t>1月</w:t>
                  </w:r>
                </w:p>
              </w:tc>
            </w:tr>
            <w:tr>
              <w:trPr>
                <w:trHeight w:val="23"/>
              </w:trPr>
              <w:tc>
                <w:tcPr>
                  <w:tcW w:w="604" w:type="pct"/>
                  <w:vMerge/>
                  <w:tcBorders>
                    <w:tl2br w:val="nil"/>
                    <w:tr2bl w:val="nil"/>
                  </w:tcBorders>
                  <w:vAlign w:val="center"/>
                </w:tcPr>
                <w:p/>
              </w:tc>
              <w:tc>
                <w:tcPr>
                  <w:tcW w:w="75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废试剂瓶</w:t>
                  </w:r>
                </w:p>
              </w:tc>
              <w:tc>
                <w:tcPr>
                  <w:tcW w:w="798" w:type="pct"/>
                  <w:vMerge/>
                  <w:tcBorders>
                    <w:tl2br w:val="nil"/>
                    <w:tr2bl w:val="nil"/>
                  </w:tcBorders>
                  <w:vAlign w:val="center"/>
                </w:tcPr>
                <w:p/>
              </w:tc>
              <w:tc>
                <w:tcPr>
                  <w:tcW w:w="739"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900-047-49</w:t>
                  </w:r>
                </w:p>
              </w:tc>
              <w:tc>
                <w:tcPr>
                  <w:tcW w:w="392" w:type="pct"/>
                  <w:vMerge/>
                  <w:tcBorders>
                    <w:tl2br w:val="nil"/>
                    <w:tr2bl w:val="nil"/>
                  </w:tcBorders>
                  <w:vAlign w:val="center"/>
                </w:tcPr>
                <w:p/>
              </w:tc>
              <w:tc>
                <w:tcPr>
                  <w:tcW w:w="418" w:type="pct"/>
                  <w:vMerge/>
                  <w:tcBorders>
                    <w:tl2br w:val="nil"/>
                    <w:tr2bl w:val="nil"/>
                  </w:tcBorders>
                  <w:vAlign w:val="center"/>
                </w:tcPr>
                <w:p/>
              </w:tc>
              <w:tc>
                <w:tcPr>
                  <w:tcW w:w="47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桶装</w:t>
                  </w:r>
                </w:p>
              </w:tc>
              <w:tc>
                <w:tcPr>
                  <w:tcW w:w="41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c>
                <w:tcPr>
                  <w:tcW w:w="395" w:type="pct"/>
                  <w:tcBorders>
                    <w:tl2br w:val="nil"/>
                    <w:tr2bl w:val="nil"/>
                  </w:tcBorders>
                  <w:vAlign w:val="center"/>
                </w:tcPr>
                <w:p>
                  <w:pPr>
                    <w:pStyle w:val="23"/>
                    <w:bidi w:val="0"/>
                    <w:rPr>
                      <w:color w:val="auto"/>
                    </w:rPr>
                  </w:pPr>
                  <w:r>
                    <w:rPr>
                      <w:rFonts w:hint="eastAsia"/>
                      <w:color w:val="auto"/>
                      <w:lang w:val="en-US" w:eastAsia="zh-CN"/>
                    </w:rPr>
                    <w:t>1月</w:t>
                  </w:r>
                </w:p>
              </w:tc>
            </w:tr>
            <w:tr>
              <w:trPr>
                <w:trHeight w:val="23"/>
              </w:trPr>
              <w:tc>
                <w:tcPr>
                  <w:tcW w:w="604" w:type="pct"/>
                  <w:vMerge/>
                  <w:tcBorders>
                    <w:tl2br w:val="nil"/>
                    <w:tr2bl w:val="nil"/>
                  </w:tcBorders>
                  <w:vAlign w:val="center"/>
                </w:tcPr>
                <w:p/>
              </w:tc>
              <w:tc>
                <w:tcPr>
                  <w:tcW w:w="75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实验室废液</w:t>
                  </w:r>
                </w:p>
              </w:tc>
              <w:tc>
                <w:tcPr>
                  <w:tcW w:w="798" w:type="pct"/>
                  <w:vMerge/>
                  <w:tcBorders>
                    <w:tl2br w:val="nil"/>
                    <w:tr2bl w:val="nil"/>
                  </w:tcBorders>
                  <w:vAlign w:val="center"/>
                </w:tcPr>
                <w:p/>
              </w:tc>
              <w:tc>
                <w:tcPr>
                  <w:tcW w:w="739"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900-047-49</w:t>
                  </w:r>
                </w:p>
              </w:tc>
              <w:tc>
                <w:tcPr>
                  <w:tcW w:w="392" w:type="pct"/>
                  <w:vMerge/>
                  <w:tcBorders>
                    <w:tl2br w:val="nil"/>
                    <w:tr2bl w:val="nil"/>
                  </w:tcBorders>
                  <w:vAlign w:val="center"/>
                </w:tcPr>
                <w:p/>
              </w:tc>
              <w:tc>
                <w:tcPr>
                  <w:tcW w:w="418" w:type="pct"/>
                  <w:vMerge/>
                  <w:tcBorders>
                    <w:tl2br w:val="nil"/>
                    <w:tr2bl w:val="nil"/>
                  </w:tcBorders>
                  <w:vAlign w:val="center"/>
                </w:tcPr>
                <w:p/>
              </w:tc>
              <w:tc>
                <w:tcPr>
                  <w:tcW w:w="47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桶装</w:t>
                  </w:r>
                </w:p>
              </w:tc>
              <w:tc>
                <w:tcPr>
                  <w:tcW w:w="41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1.8</w:t>
                  </w:r>
                </w:p>
              </w:tc>
              <w:tc>
                <w:tcPr>
                  <w:tcW w:w="395" w:type="pct"/>
                  <w:tcBorders>
                    <w:tl2br w:val="nil"/>
                    <w:tr2bl w:val="nil"/>
                  </w:tcBorders>
                  <w:vAlign w:val="center"/>
                </w:tcPr>
                <w:p>
                  <w:pPr>
                    <w:pStyle w:val="23"/>
                    <w:bidi w:val="0"/>
                    <w:rPr>
                      <w:color w:val="auto"/>
                    </w:rPr>
                  </w:pPr>
                  <w:r>
                    <w:rPr>
                      <w:rFonts w:hint="eastAsia"/>
                      <w:color w:val="auto"/>
                      <w:lang w:val="en-US" w:eastAsia="zh-CN"/>
                    </w:rPr>
                    <w:t>1月</w:t>
                  </w:r>
                </w:p>
              </w:tc>
            </w:tr>
            <w:tr>
              <w:trPr>
                <w:trHeight w:val="23"/>
              </w:trPr>
              <w:tc>
                <w:tcPr>
                  <w:tcW w:w="604" w:type="pct"/>
                  <w:vMerge/>
                  <w:tcBorders>
                    <w:tl2br w:val="nil"/>
                    <w:tr2bl w:val="nil"/>
                  </w:tcBorders>
                  <w:vAlign w:val="center"/>
                </w:tcPr>
                <w:p/>
              </w:tc>
              <w:tc>
                <w:tcPr>
                  <w:tcW w:w="75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废UV灯管</w:t>
                  </w:r>
                </w:p>
              </w:tc>
              <w:tc>
                <w:tcPr>
                  <w:tcW w:w="798" w:type="pct"/>
                  <w:tcBorders>
                    <w:tl2br w:val="nil"/>
                    <w:tr2bl w:val="nil"/>
                  </w:tcBorders>
                  <w:vAlign w:val="center"/>
                </w:tcPr>
                <w:p>
                  <w:pPr>
                    <w:pStyle w:val="23"/>
                    <w:bidi w:val="0"/>
                    <w:rPr>
                      <w:color w:val="auto"/>
                    </w:rPr>
                  </w:pPr>
                  <w:r>
                    <w:rPr>
                      <w:color w:val="auto"/>
                    </w:rPr>
                    <w:t>HW29含汞废物</w:t>
                  </w:r>
                </w:p>
              </w:tc>
              <w:tc>
                <w:tcPr>
                  <w:tcW w:w="739"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900-023-29</w:t>
                  </w:r>
                </w:p>
              </w:tc>
              <w:tc>
                <w:tcPr>
                  <w:tcW w:w="392" w:type="pct"/>
                  <w:vMerge/>
                  <w:tcBorders>
                    <w:tl2br w:val="nil"/>
                    <w:tr2bl w:val="nil"/>
                  </w:tcBorders>
                  <w:vAlign w:val="center"/>
                </w:tcPr>
                <w:p/>
              </w:tc>
              <w:tc>
                <w:tcPr>
                  <w:tcW w:w="418" w:type="pct"/>
                  <w:vMerge/>
                  <w:tcBorders>
                    <w:tl2br w:val="nil"/>
                    <w:tr2bl w:val="nil"/>
                  </w:tcBorders>
                  <w:vAlign w:val="center"/>
                </w:tcPr>
                <w:p/>
              </w:tc>
              <w:tc>
                <w:tcPr>
                  <w:tcW w:w="47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桶装</w:t>
                  </w:r>
                </w:p>
              </w:tc>
              <w:tc>
                <w:tcPr>
                  <w:tcW w:w="418"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0.002</w:t>
                  </w:r>
                </w:p>
              </w:tc>
              <w:tc>
                <w:tcPr>
                  <w:tcW w:w="395" w:type="pct"/>
                  <w:tcBorders>
                    <w:tl2br w:val="nil"/>
                    <w:tr2bl w:val="nil"/>
                  </w:tcBorders>
                  <w:vAlign w:val="center"/>
                </w:tcPr>
                <w:p>
                  <w:pPr>
                    <w:pStyle w:val="23"/>
                    <w:bidi w:val="0"/>
                    <w:rPr>
                      <w:color w:val="auto"/>
                    </w:rPr>
                  </w:pPr>
                  <w:r>
                    <w:rPr>
                      <w:rFonts w:hint="eastAsia"/>
                      <w:color w:val="auto"/>
                      <w:lang w:val="en-US" w:eastAsia="zh-CN"/>
                    </w:rPr>
                    <w:t>1月</w:t>
                  </w:r>
                </w:p>
              </w:tc>
            </w:tr>
            <w:tr>
              <w:trPr>
                <w:trHeight w:val="23"/>
              </w:trPr>
              <w:tc>
                <w:tcPr>
                  <w:tcW w:w="604" w:type="pct"/>
                  <w:vMerge/>
                </w:tcPr>
                <w:p/>
              </w:tc>
              <w:tc>
                <w:tcPr>
                  <w:tcW w:w="75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废润滑油</w:t>
                  </w:r>
                </w:p>
              </w:tc>
              <w:tc>
                <w:tcPr>
                  <w:tcW w:w="798" w:type="pct"/>
                  <w:vMerge w:val="restart"/>
                  <w:tcBorders>
                    <w:left w:val="single" w:sz="4" w:space="0" w:color="auto"/>
                  </w:tcBorders>
                  <w:vAlign w:val="center"/>
                </w:tcPr>
                <w:p>
                  <w:pPr>
                    <w:pStyle w:val="23"/>
                    <w:bidi w:val="0"/>
                    <w:ind w:left="0" w:right="0" w:firstLine="0"/>
                    <w:jc w:val="center"/>
                    <w:rPr>
                      <w:color w:val="auto"/>
                    </w:rPr>
                  </w:pPr>
                  <w:r>
                    <w:rPr>
                      <w:color w:val="auto"/>
                    </w:rPr>
                    <w:t>HW08废矿物油与含矿物油废物</w:t>
                  </w:r>
                </w:p>
              </w:tc>
              <w:tc>
                <w:tcPr>
                  <w:tcW w:w="739"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900-2</w:t>
                  </w:r>
                  <w:r>
                    <w:rPr>
                      <w:rFonts w:hint="eastAsia"/>
                      <w:color w:val="auto"/>
                      <w:lang w:val="en-US" w:eastAsia="zh-CN"/>
                    </w:rPr>
                    <w:t>17</w:t>
                  </w:r>
                  <w:r>
                    <w:rPr>
                      <w:color w:val="auto"/>
                    </w:rPr>
                    <w:t>-08</w:t>
                  </w:r>
                </w:p>
              </w:tc>
              <w:tc>
                <w:tcPr>
                  <w:tcW w:w="392" w:type="pct"/>
                  <w:vMerge/>
                  <w:tcBorders>
                    <w:left w:val="single" w:sz="4" w:space="0" w:color="auto"/>
                  </w:tcBorders>
                </w:tcPr>
                <w:p/>
              </w:tc>
              <w:tc>
                <w:tcPr>
                  <w:tcW w:w="418" w:type="pct"/>
                  <w:vMerge/>
                  <w:tcBorders>
                    <w:left w:val="single" w:sz="4" w:space="0" w:color="auto"/>
                  </w:tcBorders>
                </w:tcPr>
                <w:p/>
              </w:tc>
              <w:tc>
                <w:tcPr>
                  <w:tcW w:w="472"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桶装</w:t>
                  </w:r>
                </w:p>
              </w:tc>
              <w:tc>
                <w:tcPr>
                  <w:tcW w:w="41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c>
                <w:tcPr>
                  <w:tcW w:w="395" w:type="pct"/>
                  <w:tcBorders>
                    <w:left w:val="single" w:sz="4" w:space="0" w:color="auto"/>
                  </w:tcBorders>
                </w:tcPr>
                <w:p>
                  <w:pPr>
                    <w:pStyle w:val="23"/>
                    <w:bidi w:val="0"/>
                    <w:rPr>
                      <w:color w:val="auto"/>
                    </w:rPr>
                  </w:pPr>
                  <w:r>
                    <w:rPr>
                      <w:rFonts w:hint="eastAsia"/>
                      <w:color w:val="auto"/>
                      <w:lang w:val="en-US" w:eastAsia="zh-CN"/>
                    </w:rPr>
                    <w:t>1月</w:t>
                  </w:r>
                </w:p>
              </w:tc>
            </w:tr>
            <w:tr>
              <w:trPr>
                <w:trHeight w:val="23"/>
              </w:trPr>
              <w:tc>
                <w:tcPr>
                  <w:tcW w:w="604" w:type="pct"/>
                  <w:vMerge/>
                </w:tcPr>
                <w:p/>
              </w:tc>
              <w:tc>
                <w:tcPr>
                  <w:tcW w:w="75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废润滑油桶</w:t>
                  </w:r>
                </w:p>
              </w:tc>
              <w:tc>
                <w:tcPr>
                  <w:tcW w:w="798" w:type="pct"/>
                  <w:vMerge/>
                  <w:tcBorders>
                    <w:left w:val="single" w:sz="4" w:space="0" w:color="auto"/>
                  </w:tcBorders>
                </w:tcPr>
                <w:p/>
              </w:tc>
              <w:tc>
                <w:tcPr>
                  <w:tcW w:w="739"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900-249-08</w:t>
                  </w:r>
                </w:p>
              </w:tc>
              <w:tc>
                <w:tcPr>
                  <w:tcW w:w="392" w:type="pct"/>
                  <w:vMerge/>
                  <w:tcBorders>
                    <w:left w:val="single" w:sz="4" w:space="0" w:color="auto"/>
                  </w:tcBorders>
                </w:tcPr>
                <w:p/>
              </w:tc>
              <w:tc>
                <w:tcPr>
                  <w:tcW w:w="418" w:type="pct"/>
                  <w:vMerge/>
                  <w:tcBorders>
                    <w:left w:val="single" w:sz="4" w:space="0" w:color="auto"/>
                  </w:tcBorders>
                </w:tcPr>
                <w:p/>
              </w:tc>
              <w:tc>
                <w:tcPr>
                  <w:tcW w:w="472"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tcW w:w="418"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0.001</w:t>
                  </w:r>
                </w:p>
              </w:tc>
              <w:tc>
                <w:tcPr>
                  <w:tcW w:w="395" w:type="pct"/>
                  <w:tcBorders>
                    <w:left w:val="single" w:sz="4" w:space="0" w:color="auto"/>
                  </w:tcBorders>
                </w:tcPr>
                <w:p>
                  <w:pPr>
                    <w:pStyle w:val="23"/>
                    <w:bidi w:val="0"/>
                    <w:rPr>
                      <w:color w:val="auto"/>
                    </w:rPr>
                  </w:pPr>
                  <w:r>
                    <w:rPr>
                      <w:rFonts w:hint="eastAsia"/>
                      <w:color w:val="auto"/>
                      <w:lang w:val="en-US" w:eastAsia="zh-CN"/>
                    </w:rPr>
                    <w:t>1月</w:t>
                  </w:r>
                </w:p>
              </w:tc>
            </w:tr>
          </w:tbl>
          <w:p>
            <w:pPr>
              <w:spacing w:line="360" w:lineRule="auto"/>
              <w:ind w:left="0" w:firstLineChars="200" w:firstLine="480"/>
              <w:jc w:val="left"/>
              <w:rPr>
                <w:color w:val="auto"/>
                <w:sz w:val="24"/>
              </w:rPr>
            </w:pPr>
            <w:r>
              <w:rPr>
                <w:color w:val="auto"/>
                <w:sz w:val="24"/>
              </w:rPr>
              <w:t>综上所述，项目固体废物均做到合理处置，不会对周围环境产生明显影响。</w:t>
            </w:r>
          </w:p>
          <w:p>
            <w:pPr>
              <w:spacing w:line="240" w:lineRule="auto"/>
              <w:jc w:val="center"/>
              <w:rPr>
                <w:b/>
                <w:bCs/>
                <w:snapToGrid w:val="0"/>
                <w:color w:val="auto"/>
                <w:kern w:val="0"/>
                <w:sz w:val="24"/>
              </w:rPr>
            </w:pPr>
            <w:r>
              <w:rPr>
                <w:b/>
                <w:bCs/>
                <w:snapToGrid w:val="0"/>
                <w:color w:val="auto"/>
                <w:kern w:val="0"/>
                <w:sz w:val="24"/>
              </w:rPr>
              <w:t>表4-</w:t>
            </w:r>
            <w:r>
              <w:rPr>
                <w:rFonts w:hint="eastAsia"/>
                <w:b/>
                <w:bCs/>
                <w:snapToGrid w:val="0"/>
                <w:color w:val="auto"/>
                <w:kern w:val="0"/>
                <w:sz w:val="24"/>
              </w:rPr>
              <w:t>2</w:t>
            </w:r>
            <w:r>
              <w:rPr>
                <w:rFonts w:hint="eastAsia"/>
                <w:b/>
                <w:bCs/>
                <w:snapToGrid w:val="0"/>
                <w:color w:val="auto"/>
                <w:kern w:val="0"/>
                <w:sz w:val="24"/>
                <w:lang w:val="en-US" w:eastAsia="zh-CN"/>
              </w:rPr>
              <w:t>2</w:t>
            </w:r>
            <w:r>
              <w:rPr>
                <w:rFonts w:hint="eastAsia"/>
                <w:b/>
                <w:bCs/>
                <w:snapToGrid w:val="0"/>
                <w:color w:val="auto"/>
                <w:kern w:val="0"/>
                <w:sz w:val="24"/>
              </w:rPr>
              <w:t xml:space="preserve">  本项目</w:t>
            </w:r>
            <w:r>
              <w:rPr>
                <w:b/>
                <w:bCs/>
                <w:snapToGrid w:val="0"/>
                <w:color w:val="auto"/>
                <w:kern w:val="0"/>
                <w:sz w:val="24"/>
              </w:rPr>
              <w:t>危险废物基本情况汇总</w:t>
            </w:r>
          </w:p>
          <w:tbl>
            <w:tblPr>
              <w:jc w:val="left"/>
              <w:tblInd w:w="0" w:type="dxa"/>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42"/>
              <w:gridCol w:w="735"/>
              <w:gridCol w:w="817"/>
              <w:gridCol w:w="1261"/>
              <w:gridCol w:w="900"/>
              <w:gridCol w:w="812"/>
              <w:gridCol w:w="491"/>
              <w:gridCol w:w="696"/>
              <w:gridCol w:w="657"/>
              <w:gridCol w:w="915"/>
              <w:gridCol w:w="673"/>
            </w:tblGrid>
            <w:tr>
              <w:trPr>
                <w:trHeight w:val="23"/>
              </w:trPr>
              <w:tc>
                <w:tcPr>
                  <w:tcW w:w="263" w:type="pct"/>
                  <w:tcBorders>
                    <w:tl2br w:val="nil"/>
                    <w:tr2bl w:val="nil"/>
                  </w:tcBorders>
                  <w:vAlign w:val="center"/>
                </w:tcPr>
                <w:p>
                  <w:pPr>
                    <w:pStyle w:val="23"/>
                    <w:bidi w:val="0"/>
                    <w:rPr>
                      <w:color w:val="auto"/>
                    </w:rPr>
                  </w:pPr>
                  <w:r>
                    <w:rPr>
                      <w:color w:val="auto"/>
                    </w:rPr>
                    <w:t>序号</w:t>
                  </w:r>
                </w:p>
              </w:tc>
              <w:tc>
                <w:tcPr>
                  <w:tcW w:w="437" w:type="pct"/>
                  <w:tcBorders>
                    <w:tl2br w:val="nil"/>
                    <w:tr2bl w:val="nil"/>
                  </w:tcBorders>
                  <w:vAlign w:val="center"/>
                </w:tcPr>
                <w:p>
                  <w:pPr>
                    <w:pStyle w:val="23"/>
                    <w:bidi w:val="0"/>
                    <w:rPr>
                      <w:color w:val="auto"/>
                    </w:rPr>
                  </w:pPr>
                  <w:r>
                    <w:rPr>
                      <w:color w:val="auto"/>
                    </w:rPr>
                    <w:t>名称</w:t>
                  </w:r>
                </w:p>
              </w:tc>
              <w:tc>
                <w:tcPr>
                  <w:tcW w:w="486" w:type="pct"/>
                  <w:tcBorders>
                    <w:tl2br w:val="nil"/>
                    <w:tr2bl w:val="nil"/>
                  </w:tcBorders>
                  <w:vAlign w:val="center"/>
                </w:tcPr>
                <w:p>
                  <w:pPr>
                    <w:pStyle w:val="23"/>
                    <w:bidi w:val="0"/>
                    <w:rPr>
                      <w:color w:val="auto"/>
                    </w:rPr>
                  </w:pPr>
                  <w:r>
                    <w:rPr>
                      <w:color w:val="auto"/>
                    </w:rPr>
                    <w:t>危险废物类别</w:t>
                  </w:r>
                </w:p>
              </w:tc>
              <w:tc>
                <w:tcPr>
                  <w:tcW w:w="750" w:type="pct"/>
                  <w:tcBorders>
                    <w:tl2br w:val="nil"/>
                    <w:tr2bl w:val="nil"/>
                  </w:tcBorders>
                  <w:vAlign w:val="center"/>
                </w:tcPr>
                <w:p>
                  <w:pPr>
                    <w:pStyle w:val="23"/>
                    <w:bidi w:val="0"/>
                    <w:rPr>
                      <w:color w:val="auto"/>
                    </w:rPr>
                  </w:pPr>
                  <w:r>
                    <w:rPr>
                      <w:color w:val="auto"/>
                    </w:rPr>
                    <w:t>危险废物代码</w:t>
                  </w:r>
                </w:p>
              </w:tc>
              <w:tc>
                <w:tcPr>
                  <w:tcW w:w="535" w:type="pct"/>
                  <w:tcBorders>
                    <w:tl2br w:val="nil"/>
                    <w:tr2bl w:val="nil"/>
                  </w:tcBorders>
                  <w:vAlign w:val="center"/>
                </w:tcPr>
                <w:p>
                  <w:pPr>
                    <w:pStyle w:val="23"/>
                    <w:bidi w:val="0"/>
                    <w:rPr>
                      <w:color w:val="auto"/>
                    </w:rPr>
                  </w:pPr>
                  <w:r>
                    <w:rPr>
                      <w:color w:val="auto"/>
                    </w:rPr>
                    <w:t>产生量（t/a）</w:t>
                  </w:r>
                </w:p>
              </w:tc>
              <w:tc>
                <w:tcPr>
                  <w:tcW w:w="483" w:type="pct"/>
                  <w:tcBorders>
                    <w:tl2br w:val="nil"/>
                    <w:tr2bl w:val="nil"/>
                  </w:tcBorders>
                  <w:vAlign w:val="center"/>
                </w:tcPr>
                <w:p>
                  <w:pPr>
                    <w:pStyle w:val="23"/>
                    <w:bidi w:val="0"/>
                    <w:rPr>
                      <w:color w:val="auto"/>
                    </w:rPr>
                  </w:pPr>
                  <w:r>
                    <w:rPr>
                      <w:color w:val="auto"/>
                    </w:rPr>
                    <w:t>产生工序及装置</w:t>
                  </w:r>
                </w:p>
              </w:tc>
              <w:tc>
                <w:tcPr>
                  <w:tcW w:w="292" w:type="pct"/>
                  <w:tcBorders>
                    <w:tl2br w:val="nil"/>
                    <w:tr2bl w:val="nil"/>
                  </w:tcBorders>
                  <w:vAlign w:val="center"/>
                </w:tcPr>
                <w:p>
                  <w:pPr>
                    <w:pStyle w:val="23"/>
                    <w:bidi w:val="0"/>
                    <w:rPr>
                      <w:color w:val="auto"/>
                    </w:rPr>
                  </w:pPr>
                  <w:r>
                    <w:rPr>
                      <w:color w:val="auto"/>
                    </w:rPr>
                    <w:t>形态</w:t>
                  </w:r>
                </w:p>
              </w:tc>
              <w:tc>
                <w:tcPr>
                  <w:tcW w:w="414" w:type="pct"/>
                  <w:tcBorders>
                    <w:tl2br w:val="nil"/>
                    <w:tr2bl w:val="nil"/>
                  </w:tcBorders>
                  <w:vAlign w:val="center"/>
                </w:tcPr>
                <w:p>
                  <w:pPr>
                    <w:pStyle w:val="23"/>
                    <w:bidi w:val="0"/>
                    <w:rPr>
                      <w:color w:val="auto"/>
                    </w:rPr>
                  </w:pPr>
                  <w:r>
                    <w:rPr>
                      <w:color w:val="auto"/>
                    </w:rPr>
                    <w:t>有害成分</w:t>
                  </w:r>
                </w:p>
              </w:tc>
              <w:tc>
                <w:tcPr>
                  <w:tcW w:w="391" w:type="pct"/>
                  <w:tcBorders>
                    <w:tl2br w:val="nil"/>
                    <w:tr2bl w:val="nil"/>
                  </w:tcBorders>
                  <w:vAlign w:val="center"/>
                </w:tcPr>
                <w:p>
                  <w:pPr>
                    <w:pStyle w:val="23"/>
                    <w:bidi w:val="0"/>
                    <w:rPr>
                      <w:color w:val="auto"/>
                    </w:rPr>
                  </w:pPr>
                  <w:r>
                    <w:rPr>
                      <w:color w:val="auto"/>
                    </w:rPr>
                    <w:t>产废周期</w:t>
                  </w:r>
                </w:p>
              </w:tc>
              <w:tc>
                <w:tcPr>
                  <w:tcW w:w="544" w:type="pct"/>
                  <w:tcBorders>
                    <w:tl2br w:val="nil"/>
                    <w:tr2bl w:val="nil"/>
                  </w:tcBorders>
                  <w:vAlign w:val="center"/>
                </w:tcPr>
                <w:p>
                  <w:pPr>
                    <w:pStyle w:val="23"/>
                    <w:bidi w:val="0"/>
                    <w:rPr>
                      <w:color w:val="auto"/>
                    </w:rPr>
                  </w:pPr>
                  <w:r>
                    <w:rPr>
                      <w:color w:val="auto"/>
                    </w:rPr>
                    <w:t>危险</w:t>
                  </w:r>
                </w:p>
                <w:p>
                  <w:pPr>
                    <w:pStyle w:val="23"/>
                    <w:bidi w:val="0"/>
                    <w:rPr>
                      <w:color w:val="auto"/>
                    </w:rPr>
                  </w:pPr>
                  <w:r>
                    <w:rPr>
                      <w:color w:val="auto"/>
                    </w:rPr>
                    <w:t>特性</w:t>
                  </w:r>
                </w:p>
              </w:tc>
              <w:tc>
                <w:tcPr>
                  <w:tcW w:w="400" w:type="pct"/>
                  <w:tcBorders>
                    <w:tl2br w:val="nil"/>
                    <w:tr2bl w:val="nil"/>
                  </w:tcBorders>
                  <w:vAlign w:val="center"/>
                </w:tcPr>
                <w:p>
                  <w:pPr>
                    <w:pStyle w:val="23"/>
                    <w:bidi w:val="0"/>
                    <w:rPr>
                      <w:color w:val="auto"/>
                    </w:rPr>
                  </w:pPr>
                  <w:r>
                    <w:rPr>
                      <w:color w:val="auto"/>
                    </w:rPr>
                    <w:t>污染防治措施</w:t>
                  </w:r>
                </w:p>
              </w:tc>
            </w:tr>
            <w:tr>
              <w:trPr>
                <w:trHeight w:val="23"/>
              </w:trPr>
              <w:tc>
                <w:tcPr>
                  <w:tcW w:w="263"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1</w:t>
                  </w:r>
                </w:p>
              </w:tc>
              <w:tc>
                <w:tcPr>
                  <w:tcW w:w="437"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废活性炭</w:t>
                  </w:r>
                </w:p>
              </w:tc>
              <w:tc>
                <w:tcPr>
                  <w:tcW w:w="486"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HW49其他废物</w:t>
                  </w:r>
                </w:p>
              </w:tc>
              <w:tc>
                <w:tcPr>
                  <w:tcW w:w="750"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900-039-49</w:t>
                  </w:r>
                </w:p>
              </w:tc>
              <w:tc>
                <w:tcPr>
                  <w:tcW w:w="53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4.575</w:t>
                  </w:r>
                </w:p>
              </w:tc>
              <w:tc>
                <w:tcPr>
                  <w:tcW w:w="483"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废气治理设施</w:t>
                  </w:r>
                </w:p>
              </w:tc>
              <w:tc>
                <w:tcPr>
                  <w:tcW w:w="29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固体</w:t>
                  </w:r>
                </w:p>
              </w:tc>
              <w:tc>
                <w:tcPr>
                  <w:tcW w:w="414" w:type="pct"/>
                  <w:vMerge w:val="restart"/>
                  <w:tcBorders>
                    <w:tl2br w:val="nil"/>
                    <w:tr2bl w:val="nil"/>
                  </w:tcBorders>
                  <w:vAlign w:val="center"/>
                </w:tcPr>
                <w:p>
                  <w:pPr>
                    <w:pStyle w:val="23"/>
                    <w:bidi w:val="0"/>
                    <w:rPr>
                      <w:rFonts w:hint="eastAsia"/>
                      <w:color w:val="auto"/>
                      <w:lang w:val="en-US" w:eastAsia="zh-CN"/>
                      <w:highlight w:val="none"/>
                    </w:rPr>
                  </w:pPr>
                  <w:r>
                    <w:rPr>
                      <w:rFonts w:hint="eastAsia"/>
                      <w:color w:val="auto"/>
                      <w:lang w:val="en-US" w:eastAsia="zh-CN"/>
                      <w:highlight w:val="none"/>
                    </w:rPr>
                    <w:t>有机废气</w:t>
                  </w:r>
                </w:p>
              </w:tc>
              <w:tc>
                <w:tcPr>
                  <w:tcW w:w="391" w:type="pct"/>
                  <w:tcBorders>
                    <w:tl2br w:val="nil"/>
                    <w:tr2bl w:val="nil"/>
                  </w:tcBorders>
                  <w:vAlign w:val="center"/>
                </w:tcPr>
                <w:p>
                  <w:pPr>
                    <w:pStyle w:val="23"/>
                    <w:bidi w:val="0"/>
                    <w:rPr>
                      <w:color w:val="auto"/>
                      <w:highlight w:val="none"/>
                    </w:rPr>
                  </w:pPr>
                  <w:r>
                    <w:rPr>
                      <w:color w:val="auto"/>
                      <w:highlight w:val="none"/>
                    </w:rPr>
                    <w:t>1年</w:t>
                  </w:r>
                </w:p>
              </w:tc>
              <w:tc>
                <w:tcPr>
                  <w:tcW w:w="544"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T</w:t>
                  </w:r>
                </w:p>
              </w:tc>
              <w:tc>
                <w:tcPr>
                  <w:tcW w:w="400" w:type="pct"/>
                  <w:vMerge w:val="restart"/>
                  <w:tcBorders>
                    <w:tl2br w:val="nil"/>
                    <w:tr2bl w:val="nil"/>
                  </w:tcBorders>
                  <w:vAlign w:val="center"/>
                </w:tcPr>
                <w:p>
                  <w:pPr>
                    <w:pStyle w:val="23"/>
                    <w:bidi w:val="0"/>
                    <w:rPr>
                      <w:color w:val="auto"/>
                    </w:rPr>
                  </w:pPr>
                  <w:r>
                    <w:rPr>
                      <w:color w:val="auto"/>
                    </w:rPr>
                    <w:t>暂存于危废间，定期交由有资质单位处理</w:t>
                  </w:r>
                </w:p>
              </w:tc>
            </w:tr>
            <w:tr>
              <w:trPr>
                <w:trHeight w:val="23"/>
              </w:trPr>
              <w:tc>
                <w:tcPr>
                  <w:tcW w:w="263"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2</w:t>
                  </w:r>
                </w:p>
              </w:tc>
              <w:tc>
                <w:tcPr>
                  <w:tcW w:w="4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废过滤棉</w:t>
                  </w:r>
                </w:p>
              </w:tc>
              <w:tc>
                <w:tcPr>
                  <w:tcW w:w="486" w:type="pct"/>
                  <w:vMerge/>
                  <w:tcBorders>
                    <w:tl2br w:val="nil"/>
                    <w:tr2bl w:val="nil"/>
                  </w:tcBorders>
                  <w:vAlign w:val="center"/>
                </w:tcPr>
                <w:p/>
              </w:tc>
              <w:tc>
                <w:tcPr>
                  <w:tcW w:w="750"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900-041-49</w:t>
                  </w:r>
                </w:p>
              </w:tc>
              <w:tc>
                <w:tcPr>
                  <w:tcW w:w="535"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c>
                <w:tcPr>
                  <w:tcW w:w="483" w:type="pct"/>
                  <w:vMerge/>
                  <w:tcBorders>
                    <w:tl2br w:val="nil"/>
                    <w:tr2bl w:val="nil"/>
                  </w:tcBorders>
                  <w:vAlign w:val="center"/>
                </w:tcPr>
                <w:p/>
              </w:tc>
              <w:tc>
                <w:tcPr>
                  <w:tcW w:w="29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固体</w:t>
                  </w:r>
                </w:p>
              </w:tc>
              <w:tc>
                <w:tcPr>
                  <w:tcW w:w="414" w:type="pct"/>
                  <w:vMerge/>
                  <w:tcBorders>
                    <w:tl2br w:val="nil"/>
                    <w:tr2bl w:val="nil"/>
                  </w:tcBorders>
                  <w:vAlign w:val="center"/>
                </w:tcPr>
                <w:p/>
              </w:tc>
              <w:tc>
                <w:tcPr>
                  <w:tcW w:w="391" w:type="pct"/>
                  <w:tcBorders>
                    <w:tl2br w:val="nil"/>
                    <w:tr2bl w:val="nil"/>
                  </w:tcBorders>
                  <w:vAlign w:val="center"/>
                </w:tcPr>
                <w:p>
                  <w:pPr>
                    <w:pStyle w:val="23"/>
                    <w:bidi w:val="0"/>
                    <w:rPr>
                      <w:color w:val="auto"/>
                    </w:rPr>
                  </w:pPr>
                  <w:r>
                    <w:rPr>
                      <w:color w:val="auto"/>
                    </w:rPr>
                    <w:t>1年</w:t>
                  </w:r>
                </w:p>
              </w:tc>
              <w:tc>
                <w:tcPr>
                  <w:tcW w:w="544"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T/In</w:t>
                  </w:r>
                </w:p>
              </w:tc>
              <w:tc>
                <w:tcPr>
                  <w:tcW w:w="400" w:type="pct"/>
                  <w:vMerge/>
                  <w:tcBorders>
                    <w:tl2br w:val="nil"/>
                    <w:tr2bl w:val="nil"/>
                  </w:tcBorders>
                  <w:vAlign w:val="center"/>
                </w:tcPr>
                <w:p/>
              </w:tc>
            </w:tr>
            <w:tr>
              <w:trPr>
                <w:trHeight w:val="23"/>
              </w:trPr>
              <w:tc>
                <w:tcPr>
                  <w:tcW w:w="263"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3</w:t>
                  </w:r>
                </w:p>
              </w:tc>
              <w:tc>
                <w:tcPr>
                  <w:tcW w:w="4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废试剂瓶</w:t>
                  </w:r>
                </w:p>
              </w:tc>
              <w:tc>
                <w:tcPr>
                  <w:tcW w:w="486" w:type="pct"/>
                  <w:vMerge/>
                  <w:tcBorders>
                    <w:tl2br w:val="nil"/>
                    <w:tr2bl w:val="nil"/>
                  </w:tcBorders>
                  <w:vAlign w:val="center"/>
                </w:tcPr>
                <w:p/>
              </w:tc>
              <w:tc>
                <w:tcPr>
                  <w:tcW w:w="750"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900-047-49</w:t>
                  </w:r>
                </w:p>
              </w:tc>
              <w:tc>
                <w:tcPr>
                  <w:tcW w:w="53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c>
                <w:tcPr>
                  <w:tcW w:w="483"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检测实验室</w:t>
                  </w:r>
                </w:p>
              </w:tc>
              <w:tc>
                <w:tcPr>
                  <w:tcW w:w="292"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固体</w:t>
                  </w:r>
                </w:p>
              </w:tc>
              <w:tc>
                <w:tcPr>
                  <w:tcW w:w="414"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化学药剂</w:t>
                  </w:r>
                </w:p>
              </w:tc>
              <w:tc>
                <w:tcPr>
                  <w:tcW w:w="391" w:type="pct"/>
                  <w:tcBorders>
                    <w:tl2br w:val="nil"/>
                    <w:tr2bl w:val="nil"/>
                  </w:tcBorders>
                  <w:vAlign w:val="center"/>
                </w:tcPr>
                <w:p>
                  <w:pPr>
                    <w:pStyle w:val="23"/>
                    <w:bidi w:val="0"/>
                    <w:rPr>
                      <w:color w:val="auto"/>
                      <w:lang w:val="en-US" w:eastAsia="zh-CN"/>
                    </w:rPr>
                  </w:pPr>
                  <w:r>
                    <w:rPr>
                      <w:color w:val="auto"/>
                      <w:lang w:val="en-US" w:eastAsia="zh-CN"/>
                    </w:rPr>
                    <w:t>1月</w:t>
                  </w:r>
                </w:p>
              </w:tc>
              <w:tc>
                <w:tcPr>
                  <w:tcW w:w="544"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T/C/I/R</w:t>
                  </w:r>
                </w:p>
              </w:tc>
              <w:tc>
                <w:tcPr>
                  <w:tcW w:w="400" w:type="pct"/>
                  <w:vMerge/>
                  <w:tcBorders>
                    <w:tl2br w:val="nil"/>
                    <w:tr2bl w:val="nil"/>
                  </w:tcBorders>
                  <w:vAlign w:val="center"/>
                </w:tcPr>
                <w:p/>
              </w:tc>
            </w:tr>
            <w:tr>
              <w:trPr>
                <w:trHeight w:val="23"/>
              </w:trPr>
              <w:tc>
                <w:tcPr>
                  <w:tcW w:w="263"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4</w:t>
                  </w:r>
                </w:p>
              </w:tc>
              <w:tc>
                <w:tcPr>
                  <w:tcW w:w="4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实验室废液</w:t>
                  </w:r>
                </w:p>
              </w:tc>
              <w:tc>
                <w:tcPr>
                  <w:tcW w:w="486" w:type="pct"/>
                  <w:vMerge/>
                  <w:tcBorders>
                    <w:tl2br w:val="nil"/>
                    <w:tr2bl w:val="nil"/>
                  </w:tcBorders>
                  <w:vAlign w:val="center"/>
                </w:tcPr>
                <w:p/>
              </w:tc>
              <w:tc>
                <w:tcPr>
                  <w:tcW w:w="750"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900-047-49</w:t>
                  </w:r>
                </w:p>
              </w:tc>
              <w:tc>
                <w:tcPr>
                  <w:tcW w:w="53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1.8</w:t>
                  </w:r>
                </w:p>
              </w:tc>
              <w:tc>
                <w:tcPr>
                  <w:tcW w:w="483" w:type="pct"/>
                  <w:vMerge/>
                  <w:tcBorders>
                    <w:tl2br w:val="nil"/>
                    <w:tr2bl w:val="nil"/>
                  </w:tcBorders>
                  <w:vAlign w:val="center"/>
                </w:tcPr>
                <w:p/>
              </w:tc>
              <w:tc>
                <w:tcPr>
                  <w:tcW w:w="29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液体</w:t>
                  </w:r>
                </w:p>
              </w:tc>
              <w:tc>
                <w:tcPr>
                  <w:tcW w:w="414" w:type="pct"/>
                  <w:vMerge/>
                  <w:tcBorders>
                    <w:tl2br w:val="nil"/>
                    <w:tr2bl w:val="nil"/>
                  </w:tcBorders>
                  <w:vAlign w:val="center"/>
                </w:tcPr>
                <w:p/>
              </w:tc>
              <w:tc>
                <w:tcPr>
                  <w:tcW w:w="391" w:type="pct"/>
                  <w:tcBorders>
                    <w:tl2br w:val="nil"/>
                    <w:tr2bl w:val="nil"/>
                  </w:tcBorders>
                  <w:vAlign w:val="center"/>
                </w:tcPr>
                <w:p>
                  <w:pPr>
                    <w:pStyle w:val="23"/>
                    <w:bidi w:val="0"/>
                    <w:rPr>
                      <w:color w:val="auto"/>
                    </w:rPr>
                  </w:pPr>
                  <w:r>
                    <w:rPr>
                      <w:rFonts w:hint="eastAsia"/>
                      <w:color w:val="auto"/>
                      <w:lang w:val="en-US" w:eastAsia="zh-CN"/>
                    </w:rPr>
                    <w:t>1月</w:t>
                  </w:r>
                </w:p>
              </w:tc>
              <w:tc>
                <w:tcPr>
                  <w:tcW w:w="544"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T/C/I/R</w:t>
                  </w:r>
                </w:p>
                <w:p>
                  <w:pPr>
                    <w:pStyle w:val="23"/>
                    <w:bidi w:val="0"/>
                    <w:rPr>
                      <w:color w:val="auto"/>
                      <w:lang w:val="en-US" w:eastAsia="zh-CN"/>
                    </w:rPr>
                  </w:pPr>
                  <w:r>
                    <w:rPr>
                      <w:rFonts w:hint="eastAsia"/>
                      <w:color w:val="auto"/>
                      <w:lang w:val="en-US" w:eastAsia="zh-CN"/>
                    </w:rPr>
                    <w:t>T</w:t>
                  </w:r>
                </w:p>
              </w:tc>
              <w:tc>
                <w:tcPr>
                  <w:tcW w:w="400" w:type="pct"/>
                  <w:vMerge/>
                  <w:tcBorders>
                    <w:tl2br w:val="nil"/>
                    <w:tr2bl w:val="nil"/>
                  </w:tcBorders>
                  <w:vAlign w:val="center"/>
                </w:tcPr>
                <w:p/>
              </w:tc>
            </w:tr>
            <w:tr>
              <w:trPr>
                <w:trHeight w:val="23"/>
              </w:trPr>
              <w:tc>
                <w:tcPr>
                  <w:tcW w:w="263" w:type="pct"/>
                  <w:tcBorders>
                    <w:tl2br w:val="nil"/>
                    <w:tr2bl w:val="nil"/>
                  </w:tcBorders>
                  <w:vAlign w:val="center"/>
                </w:tcPr>
                <w:p>
                  <w:pPr>
                    <w:pStyle w:val="23"/>
                    <w:bidi w:val="0"/>
                    <w:rPr>
                      <w:rFonts w:eastAsia="宋体" w:hint="eastAsia"/>
                      <w:color w:val="auto"/>
                      <w:lang w:val="en-US" w:eastAsia="zh-CN"/>
                    </w:rPr>
                  </w:pPr>
                  <w:r>
                    <w:rPr>
                      <w:rFonts w:hint="eastAsia"/>
                      <w:color w:val="auto"/>
                      <w:lang w:val="en-US" w:eastAsia="zh-CN"/>
                    </w:rPr>
                    <w:t>5</w:t>
                  </w:r>
                </w:p>
              </w:tc>
              <w:tc>
                <w:tcPr>
                  <w:tcW w:w="4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废UV灯管</w:t>
                  </w:r>
                </w:p>
              </w:tc>
              <w:tc>
                <w:tcPr>
                  <w:tcW w:w="486" w:type="pc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HW29含汞废物</w:t>
                  </w:r>
                </w:p>
              </w:tc>
              <w:tc>
                <w:tcPr>
                  <w:tcW w:w="750"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900-023-29</w:t>
                  </w:r>
                </w:p>
              </w:tc>
              <w:tc>
                <w:tcPr>
                  <w:tcW w:w="53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0.002</w:t>
                  </w:r>
                </w:p>
              </w:tc>
              <w:tc>
                <w:tcPr>
                  <w:tcW w:w="483" w:type="pct"/>
                  <w:vMerge/>
                  <w:tcBorders>
                    <w:tl2br w:val="nil"/>
                    <w:tr2bl w:val="nil"/>
                  </w:tcBorders>
                  <w:vAlign w:val="center"/>
                </w:tcPr>
                <w:p/>
              </w:tc>
              <w:tc>
                <w:tcPr>
                  <w:tcW w:w="29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固体</w:t>
                  </w:r>
                </w:p>
              </w:tc>
              <w:tc>
                <w:tcPr>
                  <w:tcW w:w="414" w:type="pct"/>
                  <w:tcBorders>
                    <w:tl2br w:val="nil"/>
                    <w:tr2bl w:val="nil"/>
                  </w:tcBorders>
                  <w:vAlign w:val="center"/>
                </w:tcPr>
                <w:p>
                  <w:pPr>
                    <w:pStyle w:val="23"/>
                    <w:bidi w:val="0"/>
                    <w:rPr>
                      <w:rFonts w:hint="eastAsia"/>
                      <w:color w:val="auto"/>
                      <w:lang w:val="en-US" w:eastAsia="zh-CN"/>
                    </w:rPr>
                  </w:pPr>
                  <w:r>
                    <w:rPr>
                      <w:rFonts w:hint="eastAsia"/>
                      <w:color w:val="auto"/>
                      <w:lang w:val="en-US" w:eastAsia="zh-CN"/>
                    </w:rPr>
                    <w:t>重金属</w:t>
                  </w:r>
                </w:p>
              </w:tc>
              <w:tc>
                <w:tcPr>
                  <w:tcW w:w="391" w:type="pct"/>
                  <w:tcBorders>
                    <w:tl2br w:val="nil"/>
                    <w:tr2bl w:val="nil"/>
                  </w:tcBorders>
                  <w:vAlign w:val="center"/>
                </w:tcPr>
                <w:p>
                  <w:pPr>
                    <w:pStyle w:val="23"/>
                    <w:bidi w:val="0"/>
                    <w:rPr>
                      <w:color w:val="auto"/>
                    </w:rPr>
                  </w:pPr>
                  <w:r>
                    <w:rPr>
                      <w:color w:val="auto"/>
                    </w:rPr>
                    <w:t>1年</w:t>
                  </w:r>
                </w:p>
              </w:tc>
              <w:tc>
                <w:tcPr>
                  <w:tcW w:w="544" w:type="pct"/>
                  <w:vMerge/>
                  <w:tcBorders>
                    <w:tl2br w:val="nil"/>
                    <w:tr2bl w:val="nil"/>
                  </w:tcBorders>
                  <w:shd w:val="clear" w:color="auto" w:fill="auto"/>
                  <w:vAlign w:val="center"/>
                </w:tcPr>
                <w:p/>
              </w:tc>
              <w:tc>
                <w:tcPr>
                  <w:tcW w:w="400" w:type="pct"/>
                  <w:vMerge/>
                  <w:tcBorders>
                    <w:tl2br w:val="nil"/>
                    <w:tr2bl w:val="nil"/>
                  </w:tcBorders>
                  <w:vAlign w:val="center"/>
                </w:tcPr>
                <w:p/>
              </w:tc>
            </w:tr>
            <w:tr>
              <w:trPr>
                <w:trHeight w:val="23"/>
              </w:trPr>
              <w:tc>
                <w:tcPr>
                  <w:tcW w:w="263" w:type="pct"/>
                  <w:tcBorders>
                    <w:tl2br w:val="nil"/>
                    <w:tr2bl w:val="nil"/>
                  </w:tcBorders>
                  <w:vAlign w:val="center"/>
                </w:tcPr>
                <w:p>
                  <w:pPr>
                    <w:pStyle w:val="23"/>
                    <w:bidi w:val="0"/>
                    <w:rPr>
                      <w:color w:val="auto"/>
                      <w:lang w:val="en-US" w:eastAsia="zh-CN"/>
                    </w:rPr>
                  </w:pPr>
                  <w:r>
                    <w:rPr>
                      <w:rFonts w:hint="eastAsia"/>
                      <w:color w:val="auto"/>
                      <w:lang w:val="en-US" w:eastAsia="zh-CN"/>
                    </w:rPr>
                    <w:t>6</w:t>
                  </w:r>
                </w:p>
              </w:tc>
              <w:tc>
                <w:tcPr>
                  <w:tcW w:w="4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废润滑油</w:t>
                  </w:r>
                </w:p>
              </w:tc>
              <w:tc>
                <w:tcPr>
                  <w:tcW w:w="486" w:type="pct"/>
                  <w:vMerge w:val="restart"/>
                  <w:tcBorders>
                    <w:tl2br w:val="nil"/>
                    <w:tr2bl w:val="nil"/>
                  </w:tcBorders>
                  <w:shd w:val="clear" w:color="auto" w:fill="auto"/>
                  <w:vAlign w:val="center"/>
                </w:tcPr>
                <w:p>
                  <w:pPr>
                    <w:pStyle w:val="23"/>
                    <w:bidi w:val="0"/>
                    <w:ind w:left="0" w:right="0" w:firstLine="0"/>
                    <w:jc w:val="center"/>
                    <w:rPr>
                      <w:rFonts w:ascii="Times New Roman" w:eastAsia="宋体" w:cs="Times New Roman" w:hAnsi="Times New Roman"/>
                      <w:color w:val="auto"/>
                      <w:kern w:val="0"/>
                      <w:sz w:val="21"/>
                      <w:szCs w:val="24"/>
                      <w:lang w:val="en-US" w:eastAsia="zh-CN" w:bidi="ar-SA"/>
                    </w:rPr>
                  </w:pPr>
                  <w:r>
                    <w:rPr>
                      <w:color w:val="auto"/>
                    </w:rPr>
                    <w:t>HW08废矿物油与含矿物油废物</w:t>
                  </w:r>
                </w:p>
              </w:tc>
              <w:tc>
                <w:tcPr>
                  <w:tcW w:w="750"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900-2</w:t>
                  </w:r>
                  <w:r>
                    <w:rPr>
                      <w:rFonts w:hint="eastAsia"/>
                      <w:color w:val="auto"/>
                      <w:lang w:val="en-US" w:eastAsia="zh-CN"/>
                    </w:rPr>
                    <w:t>17</w:t>
                  </w:r>
                  <w:r>
                    <w:rPr>
                      <w:color w:val="auto"/>
                    </w:rPr>
                    <w:t>-08</w:t>
                  </w:r>
                </w:p>
              </w:tc>
              <w:tc>
                <w:tcPr>
                  <w:tcW w:w="53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c>
                <w:tcPr>
                  <w:tcW w:w="483" w:type="pct"/>
                  <w:vMerge w:val="restart"/>
                  <w:tcBorders>
                    <w:tl2br w:val="nil"/>
                    <w:tr2bl w:val="nil"/>
                  </w:tcBorders>
                  <w:shd w:val="clear" w:color="auto" w:fill="auto"/>
                  <w:vAlign w:val="center"/>
                </w:tcPr>
                <w:p>
                  <w:pPr>
                    <w:pStyle w:val="23"/>
                    <w:bidi w:val="0"/>
                    <w:rPr>
                      <w:rFonts w:hint="eastAsia"/>
                      <w:color w:val="auto"/>
                      <w:lang w:val="en-US" w:eastAsia="zh-CN"/>
                    </w:rPr>
                  </w:pPr>
                  <w:r>
                    <w:rPr>
                      <w:rFonts w:hint="eastAsia"/>
                      <w:color w:val="auto"/>
                      <w:lang w:val="en-US" w:eastAsia="zh-CN"/>
                    </w:rPr>
                    <w:t>设备</w:t>
                  </w:r>
                </w:p>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维护</w:t>
                  </w:r>
                </w:p>
              </w:tc>
              <w:tc>
                <w:tcPr>
                  <w:tcW w:w="29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液体</w:t>
                  </w:r>
                </w:p>
              </w:tc>
              <w:tc>
                <w:tcPr>
                  <w:tcW w:w="414" w:type="pct"/>
                  <w:vMerge w:val="restart"/>
                  <w:tcBorders>
                    <w:tl2br w:val="nil"/>
                    <w:tr2bl w:val="nil"/>
                  </w:tcBorders>
                  <w:vAlign w:val="center"/>
                </w:tcPr>
                <w:p>
                  <w:pPr>
                    <w:pStyle w:val="23"/>
                    <w:bidi w:val="0"/>
                    <w:rPr>
                      <w:rFonts w:hint="eastAsia"/>
                      <w:color w:val="auto"/>
                      <w:lang w:val="en-US" w:eastAsia="zh-CN"/>
                    </w:rPr>
                  </w:pPr>
                  <w:r>
                    <w:rPr>
                      <w:rFonts w:hint="eastAsia"/>
                      <w:color w:val="auto"/>
                      <w:lang w:val="en-US" w:eastAsia="zh-CN"/>
                    </w:rPr>
                    <w:t>矿物油</w:t>
                  </w:r>
                </w:p>
              </w:tc>
              <w:tc>
                <w:tcPr>
                  <w:tcW w:w="391" w:type="pct"/>
                  <w:tcBorders>
                    <w:tl2br w:val="nil"/>
                    <w:tr2bl w:val="nil"/>
                  </w:tcBorders>
                  <w:vAlign w:val="center"/>
                </w:tcPr>
                <w:p>
                  <w:pPr>
                    <w:pStyle w:val="23"/>
                    <w:bidi w:val="0"/>
                    <w:rPr>
                      <w:color w:val="auto"/>
                    </w:rPr>
                  </w:pPr>
                  <w:r>
                    <w:rPr>
                      <w:color w:val="auto"/>
                    </w:rPr>
                    <w:t>1年</w:t>
                  </w:r>
                </w:p>
              </w:tc>
              <w:tc>
                <w:tcPr>
                  <w:tcW w:w="544" w:type="pct"/>
                  <w:vMerge w:val="restart"/>
                  <w:tcBorders>
                    <w:tl2br w:val="nil"/>
                    <w:tr2bl w:val="nil"/>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T,I</w:t>
                  </w:r>
                </w:p>
              </w:tc>
              <w:tc>
                <w:tcPr>
                  <w:tcW w:w="400" w:type="pct"/>
                  <w:vMerge/>
                  <w:tcBorders>
                    <w:tl2br w:val="nil"/>
                    <w:tr2bl w:val="nil"/>
                  </w:tcBorders>
                  <w:vAlign w:val="center"/>
                </w:tcPr>
                <w:p/>
              </w:tc>
            </w:tr>
            <w:tr>
              <w:trPr>
                <w:trHeight w:val="23"/>
              </w:trPr>
              <w:tc>
                <w:tcPr>
                  <w:tcW w:w="263" w:type="pct"/>
                  <w:tcBorders>
                    <w:tl2br w:val="nil"/>
                    <w:tr2bl w:val="nil"/>
                  </w:tcBorders>
                  <w:vAlign w:val="center"/>
                </w:tcPr>
                <w:p>
                  <w:pPr>
                    <w:pStyle w:val="23"/>
                    <w:bidi w:val="0"/>
                    <w:rPr>
                      <w:color w:val="auto"/>
                      <w:lang w:val="en-US" w:eastAsia="zh-CN"/>
                    </w:rPr>
                  </w:pPr>
                  <w:r>
                    <w:rPr>
                      <w:rFonts w:hint="eastAsia"/>
                      <w:color w:val="auto"/>
                      <w:lang w:val="en-US" w:eastAsia="zh-CN"/>
                    </w:rPr>
                    <w:t>7</w:t>
                  </w:r>
                </w:p>
              </w:tc>
              <w:tc>
                <w:tcPr>
                  <w:tcW w:w="437"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废润滑油桶</w:t>
                  </w:r>
                </w:p>
              </w:tc>
              <w:tc>
                <w:tcPr>
                  <w:tcW w:w="486" w:type="pct"/>
                  <w:vMerge/>
                  <w:tcBorders>
                    <w:tl2br w:val="nil"/>
                    <w:tr2bl w:val="nil"/>
                  </w:tcBorders>
                  <w:vAlign w:val="center"/>
                </w:tcPr>
                <w:p/>
              </w:tc>
              <w:tc>
                <w:tcPr>
                  <w:tcW w:w="750"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900-249-08</w:t>
                  </w:r>
                </w:p>
              </w:tc>
              <w:tc>
                <w:tcPr>
                  <w:tcW w:w="535"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0.001</w:t>
                  </w:r>
                </w:p>
              </w:tc>
              <w:tc>
                <w:tcPr>
                  <w:tcW w:w="483" w:type="pct"/>
                  <w:vMerge/>
                  <w:tcBorders>
                    <w:tl2br w:val="nil"/>
                    <w:tr2bl w:val="nil"/>
                  </w:tcBorders>
                  <w:vAlign w:val="center"/>
                </w:tcPr>
                <w:p/>
              </w:tc>
              <w:tc>
                <w:tcPr>
                  <w:tcW w:w="292" w:type="pct"/>
                  <w:tcBorders>
                    <w:tl2br w:val="nil"/>
                    <w:tr2bl w:val="nil"/>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固体</w:t>
                  </w:r>
                </w:p>
              </w:tc>
              <w:tc>
                <w:tcPr>
                  <w:tcW w:w="414" w:type="pct"/>
                  <w:vMerge/>
                  <w:tcBorders>
                    <w:tl2br w:val="nil"/>
                    <w:tr2bl w:val="nil"/>
                  </w:tcBorders>
                  <w:vAlign w:val="center"/>
                </w:tcPr>
                <w:p/>
              </w:tc>
              <w:tc>
                <w:tcPr>
                  <w:tcW w:w="391" w:type="pct"/>
                  <w:tcBorders>
                    <w:tl2br w:val="nil"/>
                    <w:tr2bl w:val="nil"/>
                  </w:tcBorders>
                  <w:vAlign w:val="center"/>
                </w:tcPr>
                <w:p>
                  <w:pPr>
                    <w:pStyle w:val="23"/>
                    <w:bidi w:val="0"/>
                    <w:rPr>
                      <w:color w:val="auto"/>
                    </w:rPr>
                  </w:pPr>
                  <w:r>
                    <w:rPr>
                      <w:color w:val="auto"/>
                    </w:rPr>
                    <w:t>1年</w:t>
                  </w:r>
                </w:p>
              </w:tc>
              <w:tc>
                <w:tcPr>
                  <w:tcW w:w="544" w:type="pct"/>
                  <w:vMerge/>
                  <w:tcBorders>
                    <w:tl2br w:val="nil"/>
                    <w:tr2bl w:val="nil"/>
                  </w:tcBorders>
                  <w:vAlign w:val="center"/>
                </w:tcPr>
                <w:p/>
              </w:tc>
              <w:tc>
                <w:tcPr>
                  <w:tcW w:w="400" w:type="pct"/>
                  <w:vMerge/>
                  <w:tcBorders>
                    <w:tl2br w:val="nil"/>
                    <w:tr2bl w:val="nil"/>
                  </w:tcBorders>
                  <w:vAlign w:val="center"/>
                </w:tcPr>
                <w:p/>
              </w:tc>
            </w:tr>
          </w:tbl>
          <w:p>
            <w:pPr>
              <w:spacing w:line="480" w:lineRule="exact"/>
              <w:ind w:firstLineChars="200" w:firstLine="480"/>
              <w:rPr>
                <w:color w:val="auto"/>
                <w:sz w:val="24"/>
              </w:rPr>
            </w:pPr>
            <w:r>
              <w:rPr>
                <w:rFonts w:hint="eastAsia"/>
                <w:color w:val="auto"/>
                <w:sz w:val="24"/>
                <w:lang w:val="en-US" w:eastAsia="zh-CN"/>
              </w:rPr>
              <w:t>4、</w:t>
            </w:r>
            <w:r>
              <w:rPr>
                <w:rFonts w:hint="eastAsia"/>
                <w:color w:val="auto"/>
                <w:sz w:val="24"/>
              </w:rPr>
              <w:t>危险废物管理措施</w:t>
            </w:r>
          </w:p>
          <w:p>
            <w:pPr>
              <w:spacing w:line="480" w:lineRule="exact"/>
              <w:ind w:firstLineChars="200" w:firstLine="480"/>
              <w:rPr>
                <w:color w:val="auto"/>
                <w:sz w:val="24"/>
              </w:rPr>
            </w:pPr>
            <w:r>
              <w:rPr>
                <w:color w:val="auto"/>
                <w:sz w:val="24"/>
              </w:rPr>
              <w:t>1）危险废物贮存管理要求</w:t>
            </w:r>
          </w:p>
          <w:p>
            <w:pPr>
              <w:spacing w:line="480" w:lineRule="exact"/>
              <w:ind w:firstLineChars="200" w:firstLine="480"/>
              <w:rPr>
                <w:color w:val="auto"/>
                <w:sz w:val="24"/>
              </w:rPr>
            </w:pPr>
            <w:r>
              <w:rPr>
                <w:color w:val="auto"/>
                <w:sz w:val="24"/>
              </w:rPr>
              <w:t>依照《中华人民共和国固体废物污染环境防治法》，对危险废物提出以下要求：</w:t>
            </w:r>
          </w:p>
          <w:p>
            <w:pPr>
              <w:spacing w:line="480" w:lineRule="exact"/>
              <w:ind w:firstLineChars="200" w:firstLine="480"/>
              <w:rPr>
                <w:color w:val="auto"/>
                <w:sz w:val="24"/>
              </w:rPr>
            </w:pPr>
            <w:r>
              <w:rPr>
                <w:color w:val="auto"/>
                <w:sz w:val="24"/>
              </w:rPr>
              <w:t>危险废物贮存按危险废物执行《危险废物贮存污染控制标准》 （GB18597-2023）中相关规定进行：</w:t>
            </w:r>
          </w:p>
          <w:p>
            <w:pPr>
              <w:spacing w:line="480" w:lineRule="exact"/>
              <w:ind w:firstLineChars="200" w:firstLine="480"/>
              <w:rPr>
                <w:color w:val="auto"/>
                <w:sz w:val="24"/>
              </w:rPr>
            </w:pPr>
            <w:r>
              <w:rPr>
                <w:color w:val="auto"/>
                <w:sz w:val="24"/>
              </w:rPr>
              <w:t>①必须将危险废物装入容器内。</w:t>
            </w:r>
          </w:p>
          <w:p>
            <w:pPr>
              <w:spacing w:line="480" w:lineRule="exact"/>
              <w:ind w:firstLineChars="200" w:firstLine="480"/>
              <w:rPr>
                <w:color w:val="auto"/>
                <w:sz w:val="24"/>
              </w:rPr>
            </w:pPr>
            <w:r>
              <w:rPr>
                <w:color w:val="auto"/>
                <w:sz w:val="24"/>
              </w:rPr>
              <w:t>②盛装危险废物的容器上必须粘贴符合标准要求的标签。</w:t>
            </w:r>
          </w:p>
          <w:p>
            <w:pPr>
              <w:spacing w:line="480" w:lineRule="exact"/>
              <w:ind w:firstLineChars="200" w:firstLine="480"/>
              <w:rPr>
                <w:color w:val="auto"/>
                <w:sz w:val="24"/>
              </w:rPr>
            </w:pPr>
            <w:r>
              <w:rPr>
                <w:color w:val="auto"/>
                <w:sz w:val="24"/>
              </w:rPr>
              <w:t>③装载危险废物的容器及材质要满足相应的强度要求，装载危险废物的容器必须完好无损。</w:t>
            </w:r>
          </w:p>
          <w:p>
            <w:pPr>
              <w:spacing w:line="480" w:lineRule="exact"/>
              <w:ind w:firstLineChars="200" w:firstLine="480"/>
              <w:rPr>
                <w:color w:val="auto"/>
                <w:sz w:val="24"/>
              </w:rPr>
            </w:pPr>
            <w:r>
              <w:rPr>
                <w:color w:val="auto"/>
                <w:sz w:val="24"/>
              </w:rPr>
              <w:t>④</w:t>
            </w:r>
            <w:r>
              <w:rPr>
                <w:rFonts w:hint="eastAsia"/>
                <w:color w:val="auto"/>
                <w:sz w:val="24"/>
                <w:lang w:eastAsia="zh-CN"/>
              </w:rPr>
              <w:t>做好</w:t>
            </w:r>
            <w:r>
              <w:rPr>
                <w:color w:val="auto"/>
                <w:sz w:val="24"/>
              </w:rPr>
              <w:t>危险废物情况的记录，记录上须注明危险废物的名称、来源、数量、特性和包装容器的类别、入库日期、存放库位、废物出库日期及接收单位名称。</w:t>
            </w:r>
            <w:r>
              <w:rPr>
                <w:bCs/>
                <w:color w:val="auto"/>
                <w:sz w:val="24"/>
              </w:rPr>
              <w:t>按照电子台账和纸质台账两种记录形式同步管理，保存时间不低于</w:t>
            </w:r>
            <w:r>
              <w:rPr>
                <w:rFonts w:hint="eastAsia"/>
                <w:bCs/>
                <w:color w:val="auto"/>
                <w:sz w:val="24"/>
              </w:rPr>
              <w:t>5</w:t>
            </w:r>
            <w:r>
              <w:rPr>
                <w:bCs/>
                <w:color w:val="auto"/>
                <w:sz w:val="24"/>
              </w:rPr>
              <w:t>年</w:t>
            </w:r>
            <w:r>
              <w:rPr>
                <w:color w:val="auto"/>
                <w:sz w:val="24"/>
              </w:rPr>
              <w:t>。</w:t>
            </w:r>
          </w:p>
          <w:p>
            <w:pPr>
              <w:spacing w:line="480" w:lineRule="exact"/>
              <w:ind w:firstLineChars="200" w:firstLine="480"/>
              <w:rPr>
                <w:color w:val="auto"/>
                <w:sz w:val="24"/>
              </w:rPr>
            </w:pPr>
            <w:r>
              <w:rPr>
                <w:color w:val="auto"/>
                <w:sz w:val="24"/>
              </w:rPr>
              <w:t>⑤必须定期对所贮存的危险废物包装容器及贮存设施进行检查，发现破损，应及时采取措施清理更换。</w:t>
            </w:r>
          </w:p>
          <w:p>
            <w:pPr>
              <w:spacing w:line="480" w:lineRule="exact"/>
              <w:ind w:firstLineChars="200" w:firstLine="480"/>
              <w:rPr>
                <w:color w:val="auto"/>
                <w:sz w:val="24"/>
              </w:rPr>
            </w:pPr>
            <w:r>
              <w:rPr>
                <w:rFonts w:hint="eastAsia"/>
                <w:color w:val="auto"/>
                <w:sz w:val="24"/>
              </w:rPr>
              <w:t>2）</w:t>
            </w:r>
            <w:r>
              <w:rPr>
                <w:color w:val="auto"/>
                <w:sz w:val="24"/>
              </w:rPr>
              <w:t>贮存场所环境影响分析</w:t>
            </w:r>
          </w:p>
          <w:p>
            <w:pPr>
              <w:spacing w:line="480" w:lineRule="exact"/>
              <w:ind w:firstLineChars="200" w:firstLine="480"/>
              <w:rPr>
                <w:color w:val="auto"/>
                <w:sz w:val="24"/>
              </w:rPr>
            </w:pPr>
            <w:r>
              <w:rPr>
                <w:color w:val="auto"/>
                <w:sz w:val="24"/>
              </w:rPr>
              <w:t>A</w:t>
            </w:r>
            <w:r>
              <w:rPr>
                <w:rFonts w:hint="eastAsia"/>
                <w:color w:val="auto"/>
                <w:sz w:val="24"/>
                <w:lang w:eastAsia="zh-CN"/>
              </w:rPr>
              <w:t>.</w:t>
            </w:r>
            <w:r>
              <w:rPr>
                <w:color w:val="auto"/>
                <w:sz w:val="24"/>
              </w:rPr>
              <w:t>选址可行性分析</w:t>
            </w:r>
          </w:p>
          <w:p>
            <w:pPr>
              <w:spacing w:line="480" w:lineRule="exact"/>
              <w:ind w:firstLineChars="200" w:firstLine="480"/>
              <w:rPr>
                <w:color w:val="auto"/>
                <w:sz w:val="24"/>
              </w:rPr>
            </w:pPr>
            <w:r>
              <w:rPr>
                <w:color w:val="auto"/>
                <w:sz w:val="24"/>
              </w:rPr>
              <w:t>现有危险废物储存间所处位置地质结构稳定，危废间底部高于地下水最高水位，距离最近的居民区100m以上，其所处位置不属于溶洞区或已遭受自然灾害的地区，采取了基础防渗措施，以保证等效防渗系数≤10</w:t>
            </w:r>
            <w:r>
              <w:rPr>
                <w:rFonts w:hint="eastAsia"/>
                <w:color w:val="auto"/>
                <w:sz w:val="24"/>
                <w:vertAlign w:val="superscript"/>
                <w:lang w:val="en-US" w:eastAsia="zh-CN"/>
              </w:rPr>
              <w:t>-10</w:t>
            </w:r>
            <w:r>
              <w:rPr>
                <w:color w:val="auto"/>
                <w:sz w:val="24"/>
              </w:rPr>
              <w:t>cm/s。</w:t>
            </w:r>
          </w:p>
          <w:p>
            <w:pPr>
              <w:spacing w:line="480" w:lineRule="exact"/>
              <w:ind w:firstLineChars="200" w:firstLine="480"/>
              <w:rPr>
                <w:color w:val="auto"/>
                <w:sz w:val="24"/>
              </w:rPr>
            </w:pPr>
            <w:r>
              <w:rPr>
                <w:color w:val="auto"/>
                <w:sz w:val="24"/>
              </w:rPr>
              <w:t>B</w:t>
            </w:r>
            <w:r>
              <w:rPr>
                <w:rFonts w:hint="eastAsia"/>
                <w:color w:val="auto"/>
                <w:sz w:val="24"/>
                <w:lang w:eastAsia="zh-CN"/>
              </w:rPr>
              <w:t>.</w:t>
            </w:r>
            <w:r>
              <w:rPr>
                <w:color w:val="auto"/>
                <w:sz w:val="24"/>
              </w:rPr>
              <w:t>对周围环境和敏感保护目标的影响</w:t>
            </w:r>
          </w:p>
          <w:p>
            <w:pPr>
              <w:spacing w:line="480" w:lineRule="exact"/>
              <w:ind w:firstLineChars="200" w:firstLine="480"/>
              <w:rPr>
                <w:color w:val="auto"/>
                <w:sz w:val="24"/>
              </w:rPr>
            </w:pPr>
            <w:r>
              <w:rPr>
                <w:color w:val="auto"/>
                <w:sz w:val="24"/>
              </w:rPr>
              <w:t>现有危废暂存间对产生的危废进行储存，并按相关要求进行了防渗处理，对周围环境及敏感目标的影响较小。</w:t>
            </w:r>
          </w:p>
          <w:p>
            <w:pPr>
              <w:spacing w:line="480" w:lineRule="exact"/>
              <w:ind w:firstLineChars="200" w:firstLine="480"/>
              <w:rPr>
                <w:color w:val="auto"/>
                <w:sz w:val="24"/>
              </w:rPr>
            </w:pPr>
            <w:r>
              <w:rPr>
                <w:color w:val="auto"/>
                <w:sz w:val="24"/>
              </w:rPr>
              <w:t>3）运输过程的环境影响</w:t>
            </w:r>
          </w:p>
          <w:p>
            <w:pPr>
              <w:spacing w:line="480" w:lineRule="exact"/>
              <w:ind w:firstLineChars="200" w:firstLine="480"/>
              <w:rPr>
                <w:color w:val="auto"/>
                <w:sz w:val="24"/>
              </w:rPr>
            </w:pPr>
            <w:r>
              <w:rPr>
                <w:color w:val="auto"/>
                <w:sz w:val="24"/>
              </w:rPr>
              <w:t>厂内危废主要由员工收集后运输至危废暂存间，定期交由有资质的单位统一转运。厂内危险废物的收集要根据危险废物的排放周期和特性</w:t>
            </w:r>
            <w:r>
              <w:rPr>
                <w:rFonts w:hint="eastAsia"/>
                <w:color w:val="auto"/>
                <w:sz w:val="24"/>
                <w:lang w:eastAsia="zh-CN"/>
              </w:rPr>
              <w:t>制定</w:t>
            </w:r>
            <w:r>
              <w:rPr>
                <w:color w:val="auto"/>
                <w:sz w:val="24"/>
              </w:rPr>
              <w:t>收集计划和操作规程，并对收集人员进行培训，并根据需要配备必要的个人防护装备和防火、防爆、防泄漏等污染防治措施。采用专用工具进行收集和运输，减少对周围环境的影响。因此在做好相关防范措施的基础上，危险废物的运输对周围环境影响较小。</w:t>
            </w:r>
          </w:p>
          <w:p>
            <w:pPr>
              <w:spacing w:line="480" w:lineRule="exact"/>
              <w:ind w:firstLineChars="200" w:firstLine="480"/>
              <w:rPr>
                <w:color w:val="auto"/>
                <w:sz w:val="24"/>
              </w:rPr>
            </w:pPr>
            <w:r>
              <w:rPr>
                <w:color w:val="auto"/>
                <w:sz w:val="24"/>
              </w:rPr>
              <w:t>4）委托处置的环境影响分析</w:t>
            </w:r>
          </w:p>
          <w:p>
            <w:pPr>
              <w:spacing w:line="480" w:lineRule="exact"/>
              <w:ind w:firstLineChars="200" w:firstLine="480"/>
              <w:rPr>
                <w:color w:val="auto"/>
                <w:sz w:val="24"/>
              </w:rPr>
            </w:pPr>
            <w:r>
              <w:rPr>
                <w:rFonts w:hint="eastAsia"/>
                <w:color w:val="auto"/>
                <w:sz w:val="24"/>
                <w:szCs w:val="32"/>
              </w:rPr>
              <w:t>本项目</w:t>
            </w:r>
            <w:r>
              <w:rPr>
                <w:color w:val="auto"/>
                <w:sz w:val="24"/>
              </w:rPr>
              <w:t>的危险废物委托有</w:t>
            </w:r>
            <w:r>
              <w:rPr>
                <w:rFonts w:hint="eastAsia"/>
                <w:color w:val="auto"/>
                <w:sz w:val="24"/>
                <w:szCs w:val="32"/>
              </w:rPr>
              <w:t>本项目</w:t>
            </w:r>
            <w:r>
              <w:rPr>
                <w:color w:val="auto"/>
                <w:sz w:val="24"/>
              </w:rPr>
              <w:t>危险废物种类处置资质的单位进行安全处置。接收单位要具有环保部门颁发的危险废物经营许可证，许可证范围内的种类和数量方可接受，范围外不得接受。</w:t>
            </w:r>
          </w:p>
          <w:p>
            <w:pPr>
              <w:spacing w:line="480" w:lineRule="exact"/>
              <w:ind w:firstLineChars="200" w:firstLine="480"/>
              <w:rPr>
                <w:color w:val="auto"/>
                <w:sz w:val="24"/>
              </w:rPr>
            </w:pPr>
            <w:r>
              <w:rPr>
                <w:color w:val="auto"/>
                <w:sz w:val="24"/>
              </w:rPr>
              <w:t>因此，从危险废物贮存场所（设施）的设置、运输过程、委托处置单位角度进行分析可知，本项目运营期间采取的危险废物处置措施是可行的，且对环境的影响较小。</w:t>
            </w:r>
          </w:p>
          <w:p>
            <w:pPr>
              <w:spacing w:line="480" w:lineRule="exact"/>
              <w:ind w:firstLineChars="200" w:firstLine="480"/>
              <w:rPr>
                <w:color w:val="auto"/>
                <w:sz w:val="24"/>
              </w:rPr>
            </w:pPr>
            <w:r>
              <w:rPr>
                <w:rFonts w:hint="eastAsia"/>
                <w:color w:val="auto"/>
                <w:sz w:val="24"/>
                <w:lang w:val="en-US" w:eastAsia="zh-CN"/>
              </w:rPr>
              <w:t>5、</w:t>
            </w:r>
            <w:r>
              <w:rPr>
                <w:color w:val="auto"/>
                <w:sz w:val="24"/>
              </w:rPr>
              <w:t xml:space="preserve">固体废物环境管理要求 </w:t>
            </w:r>
          </w:p>
          <w:p>
            <w:pPr>
              <w:spacing w:line="480" w:lineRule="exact"/>
              <w:ind w:firstLineChars="200" w:firstLine="480"/>
              <w:rPr>
                <w:color w:val="auto"/>
                <w:sz w:val="24"/>
              </w:rPr>
            </w:pPr>
            <w:r>
              <w:rPr>
                <w:color w:val="auto"/>
                <w:sz w:val="24"/>
              </w:rPr>
              <w:t>1）</w:t>
            </w:r>
            <w:r>
              <w:rPr>
                <w:rFonts w:hint="eastAsia"/>
                <w:color w:val="auto"/>
                <w:sz w:val="24"/>
              </w:rPr>
              <w:t>一般</w:t>
            </w:r>
            <w:r>
              <w:rPr>
                <w:color w:val="auto"/>
                <w:sz w:val="24"/>
              </w:rPr>
              <w:t xml:space="preserve">固体废物 </w:t>
            </w:r>
          </w:p>
          <w:p>
            <w:pPr>
              <w:spacing w:line="480" w:lineRule="exact"/>
              <w:ind w:firstLineChars="200" w:firstLine="480"/>
              <w:rPr>
                <w:color w:val="auto"/>
                <w:sz w:val="24"/>
              </w:rPr>
            </w:pPr>
            <w:r>
              <w:rPr>
                <w:color w:val="auto"/>
                <w:sz w:val="24"/>
              </w:rPr>
              <w:t xml:space="preserve">①一般固体废弃物不得露天堆放； </w:t>
            </w:r>
          </w:p>
          <w:p>
            <w:pPr>
              <w:spacing w:line="480" w:lineRule="exact"/>
              <w:ind w:firstLineChars="200" w:firstLine="480"/>
              <w:rPr>
                <w:color w:val="auto"/>
                <w:sz w:val="24"/>
              </w:rPr>
            </w:pPr>
            <w:r>
              <w:rPr>
                <w:color w:val="auto"/>
                <w:sz w:val="24"/>
              </w:rPr>
              <w:t>②对暂时不利用或者不能利用的，应当按照国务院生态环境等主管部门规定建设贮存设施、场所，安全分类存放，或者采取无害化处置措施。贮存工业固体废物应当采取符合国家环境保护标准的防护措施。</w:t>
            </w:r>
          </w:p>
          <w:p>
            <w:pPr>
              <w:spacing w:line="480" w:lineRule="exact"/>
              <w:ind w:firstLineChars="200" w:firstLine="480"/>
              <w:rPr>
                <w:color w:val="auto"/>
                <w:sz w:val="24"/>
              </w:rPr>
            </w:pPr>
            <w:r>
              <w:rPr>
                <w:color w:val="auto"/>
                <w:sz w:val="24"/>
              </w:rPr>
              <w:t>③张贴一般固废贮存场所标牌。</w:t>
            </w:r>
          </w:p>
          <w:p>
            <w:pPr>
              <w:spacing w:line="240" w:lineRule="auto"/>
              <w:ind w:left="0" w:right="0" w:firstLineChars="0" w:firstLine="0"/>
              <w:jc w:val="center"/>
              <w:rPr>
                <w:color w:val="auto"/>
                <w:sz w:val="24"/>
              </w:rPr>
            </w:pPr>
            <w:r>
              <w:rPr>
                <w:color w:val="auto"/>
                <w:sz w:val="24"/>
              </w:rPr>
              <w:drawing>
                <wp:inline distT="0" distB="0" distL="114300" distR="114300">
                  <wp:extent cx="2114550" cy="1934210"/>
                  <wp:effectExtent l="0" t="0" r="0" b="0"/>
                  <wp:docPr id="1066" name="图片 7"/>
                  <wp:cNvGraphicFramePr>
                    <a:graphicFrameLocks noChangeAspect="1"/>
                  </wp:cNvGraphicFramePr>
                  <a:graphic>
                    <a:graphicData uri="http://schemas.openxmlformats.org/drawingml/2006/picture">
                      <pic:pic>
                        <pic:nvPicPr>
                          <pic:cNvPr id="112" name="图片 7 112"/>
                          <pic:cNvPicPr/>
                        </pic:nvPicPr>
                        <pic:blipFill>
                          <a:blip r:embed="rId50"/>
                          <a:stretch>
                            <a:fillRect/>
                          </a:stretch>
                        </pic:blipFill>
                        <pic:spPr>
                          <a:xfrm rot="0">
                            <a:off x="0" y="0"/>
                            <a:ext cx="2114550" cy="1934210"/>
                          </a:xfrm>
                          <a:prstGeom prst="rect"/>
                          <a:noFill/>
                          <a:ln cmpd="sng" cap="flat">
                            <a:noFill/>
                            <a:prstDash val="solid"/>
                            <a:round/>
                          </a:ln>
                        </pic:spPr>
                      </pic:pic>
                    </a:graphicData>
                  </a:graphic>
                </wp:inline>
              </w:drawing>
            </w:r>
          </w:p>
          <w:p>
            <w:pPr>
              <w:pStyle w:val="24"/>
              <w:bidi w:val="0"/>
              <w:rPr>
                <w:color w:val="auto"/>
                <w:lang w:val="en-US" w:eastAsia="zh-CN"/>
              </w:rPr>
            </w:pPr>
            <w:r>
              <w:rPr>
                <w:rFonts w:hint="eastAsia"/>
                <w:color w:val="auto"/>
                <w:lang w:val="en-US" w:eastAsia="zh-CN"/>
              </w:rPr>
              <w:t>图4-2  一般固废贮存场所标牌</w:t>
            </w:r>
          </w:p>
          <w:p>
            <w:pPr>
              <w:spacing w:line="480" w:lineRule="exact"/>
              <w:ind w:firstLineChars="200" w:firstLine="480"/>
              <w:rPr>
                <w:color w:val="auto"/>
                <w:sz w:val="24"/>
              </w:rPr>
            </w:pPr>
            <w:r>
              <w:rPr>
                <w:color w:val="auto"/>
                <w:sz w:val="24"/>
              </w:rPr>
              <w:t>④产生工业固体废物的单位终止的，应当在终止前对工业固体废物的贮存、处置的设施、场所采取污染防治措施，并对未处置的工业固体废物作出妥善处置，防止污染环境</w:t>
            </w:r>
            <w:r>
              <w:rPr>
                <w:rFonts w:hint="eastAsia"/>
                <w:color w:val="auto"/>
                <w:sz w:val="24"/>
              </w:rPr>
              <w:t>。</w:t>
            </w:r>
          </w:p>
          <w:p>
            <w:pPr>
              <w:bidi w:val="0"/>
              <w:rPr>
                <w:color w:val="auto"/>
              </w:rPr>
            </w:pPr>
            <w:r>
              <w:rPr>
                <w:rFonts w:hint="eastAsia"/>
                <w:color w:val="auto"/>
              </w:rPr>
              <w:t>2）危险废物</w:t>
            </w:r>
          </w:p>
          <w:p>
            <w:pPr>
              <w:bidi w:val="0"/>
              <w:rPr>
                <w:color w:val="auto"/>
              </w:rPr>
            </w:pPr>
            <w:r>
              <w:rPr>
                <w:color w:val="auto"/>
              </w:rPr>
              <w:t>①危险废物存入贮存设施前应对危险废物类别和特性与危险废物标签等危险废物识别标志的一致性进行核验，不一致的或类别、特性不明的不应存入。</w:t>
            </w:r>
          </w:p>
          <w:p>
            <w:pPr>
              <w:bidi w:val="0"/>
              <w:rPr>
                <w:color w:val="auto"/>
              </w:rPr>
            </w:pPr>
            <w:r>
              <w:rPr>
                <w:color w:val="auto"/>
              </w:rPr>
              <w:t>②应定期检查危险废物的贮存状况，及时清理贮存设施地面，更换破损泄漏的危险废物贮存容器和包装物，保证堆存危险废物的防雨、防风、防扬尘等设施功能完好。</w:t>
            </w:r>
          </w:p>
          <w:p>
            <w:pPr>
              <w:bidi w:val="0"/>
              <w:rPr>
                <w:color w:val="auto"/>
              </w:rPr>
            </w:pPr>
            <w:r>
              <w:rPr>
                <w:color w:val="auto"/>
              </w:rPr>
              <w:t>③作业设备及车辆等结束作业离开贮存设施时，应对其残留的危险废物进行清理，清理的废物或清洗废水应收集处理。</w:t>
            </w:r>
          </w:p>
          <w:p>
            <w:pPr>
              <w:bidi w:val="0"/>
              <w:rPr>
                <w:color w:val="auto"/>
              </w:rPr>
            </w:pPr>
            <w:r>
              <w:rPr>
                <w:color w:val="auto"/>
              </w:rPr>
              <w:t>④贮存设施运行期间，应按国家有关标准和规定建立危险废物管理台账并保存。</w:t>
            </w:r>
          </w:p>
          <w:p>
            <w:pPr>
              <w:bidi w:val="0"/>
              <w:rPr>
                <w:color w:val="auto"/>
              </w:rPr>
            </w:pPr>
            <w:r>
              <w:rPr>
                <w:color w:val="auto"/>
              </w:rPr>
              <w:t>⑤贮存设施所有者或运营者应建立贮存设施环境管理制度、管理人员岗位职责制度、设施运行操作制度、人员岗位培训制度等。</w:t>
            </w:r>
          </w:p>
          <w:p>
            <w:pPr>
              <w:bidi w:val="0"/>
              <w:rPr>
                <w:rFonts w:hint="eastAsia"/>
                <w:color w:val="auto"/>
                <w:lang w:eastAsia="zh-CN"/>
              </w:rPr>
            </w:pPr>
            <w:r>
              <w:rPr>
                <w:color w:val="auto"/>
              </w:rPr>
              <w:t>⑥贮存设施所有者或运营者应依据国家土壤和地下水污染防治的有关规定，结合贮存设施特点建立土壤和地下水污染隐患排查制度，并定期开展隐患排查；发现隐患应及时采取措施消除隐患，并建立档案</w:t>
            </w:r>
            <w:r>
              <w:rPr>
                <w:rFonts w:hint="eastAsia"/>
                <w:color w:val="auto"/>
                <w:lang w:eastAsia="zh-CN"/>
              </w:rPr>
              <w:t>。</w:t>
            </w:r>
          </w:p>
          <w:tbl>
            <w:tblPr>
              <w:jc w:val="center"/>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8388"/>
            </w:tblGrid>
            <w:tr>
              <w:tc>
                <w:tcPr>
                  <w:tcW w:w="8388" w:type="dxa"/>
                </w:tcPr>
                <w:p>
                  <w:pPr>
                    <w:pStyle w:val="23"/>
                    <w:bidi w:val="0"/>
                    <w:rPr>
                      <w:color w:val="auto"/>
                    </w:rPr>
                  </w:pPr>
                  <w:r>
                    <w:rPr>
                      <w:color w:val="auto"/>
                    </w:rPr>
                    <w:drawing>
                      <wp:inline distT="0" distB="0" distL="114300" distR="114300">
                        <wp:extent cx="2173605" cy="1259839"/>
                        <wp:effectExtent l="0" t="0" r="0" b="0"/>
                        <wp:docPr id="1067" name="图片 3"/>
                        <wp:cNvGraphicFramePr>
                          <a:graphicFrameLocks noChangeAspect="1"/>
                        </wp:cNvGraphicFramePr>
                        <a:graphic>
                          <a:graphicData uri="http://schemas.openxmlformats.org/drawingml/2006/picture">
                            <pic:pic>
                              <pic:nvPicPr>
                                <pic:cNvPr id="114" name="图片 3 114"/>
                                <pic:cNvPicPr/>
                              </pic:nvPicPr>
                              <pic:blipFill>
                                <a:blip r:embed="rId51"/>
                                <a:stretch>
                                  <a:fillRect/>
                                </a:stretch>
                              </pic:blipFill>
                              <pic:spPr>
                                <a:xfrm rot="0">
                                  <a:off x="0" y="0"/>
                                  <a:ext cx="2173605" cy="1259839"/>
                                </a:xfrm>
                                <a:prstGeom prst="rect"/>
                                <a:noFill/>
                                <a:ln cmpd="sng" cap="flat">
                                  <a:noFill/>
                                  <a:prstDash val="solid"/>
                                  <a:round/>
                                </a:ln>
                              </pic:spPr>
                            </pic:pic>
                          </a:graphicData>
                        </a:graphic>
                      </wp:inline>
                    </w:drawing>
                  </w:r>
                </w:p>
              </w:tc>
            </w:tr>
            <w:tr>
              <w:tc>
                <w:tcPr>
                  <w:tcW w:w="8388" w:type="dxa"/>
                </w:tcPr>
                <w:p>
                  <w:pPr>
                    <w:pStyle w:val="23"/>
                    <w:bidi w:val="0"/>
                    <w:rPr>
                      <w:color w:val="auto"/>
                    </w:rPr>
                  </w:pPr>
                  <w:r>
                    <w:rPr>
                      <w:color w:val="auto"/>
                    </w:rPr>
                    <w:drawing>
                      <wp:inline distT="0" distB="0" distL="114300" distR="114300">
                        <wp:extent cx="1962785" cy="1979930"/>
                        <wp:effectExtent l="0" t="0" r="0" b="1"/>
                        <wp:docPr id="1068" name="图片 4"/>
                        <wp:cNvGraphicFramePr>
                          <a:graphicFrameLocks noChangeAspect="1"/>
                        </wp:cNvGraphicFramePr>
                        <a:graphic>
                          <a:graphicData uri="http://schemas.openxmlformats.org/drawingml/2006/picture">
                            <pic:pic>
                              <pic:nvPicPr>
                                <pic:cNvPr id="116" name="图片 4 116"/>
                                <pic:cNvPicPr/>
                              </pic:nvPicPr>
                              <pic:blipFill>
                                <a:blip r:embed="rId52"/>
                                <a:stretch>
                                  <a:fillRect/>
                                </a:stretch>
                              </pic:blipFill>
                              <pic:spPr>
                                <a:xfrm rot="0">
                                  <a:off x="0" y="0"/>
                                  <a:ext cx="1962785" cy="1979930"/>
                                </a:xfrm>
                                <a:prstGeom prst="rect"/>
                                <a:noFill/>
                                <a:ln cmpd="sng" cap="flat">
                                  <a:noFill/>
                                  <a:prstDash val="solid"/>
                                  <a:round/>
                                </a:ln>
                              </pic:spPr>
                            </pic:pic>
                          </a:graphicData>
                        </a:graphic>
                      </wp:inline>
                    </w:drawing>
                  </w:r>
                </w:p>
              </w:tc>
            </w:tr>
            <w:tr>
              <w:tc>
                <w:tcPr>
                  <w:tcW w:w="8388" w:type="dxa"/>
                </w:tcPr>
                <w:p>
                  <w:pPr>
                    <w:pStyle w:val="23"/>
                    <w:bidi w:val="0"/>
                    <w:rPr>
                      <w:color w:val="auto"/>
                    </w:rPr>
                  </w:pPr>
                  <w:r>
                    <w:rPr>
                      <w:color w:val="auto"/>
                    </w:rPr>
                    <w:drawing>
                      <wp:inline distT="0" distB="0" distL="114300" distR="114300">
                        <wp:extent cx="2148204" cy="1800225"/>
                        <wp:effectExtent l="0" t="0" r="0" b="0"/>
                        <wp:docPr id="1069" name="图片 5"/>
                        <wp:cNvGraphicFramePr>
                          <a:graphicFrameLocks noChangeAspect="1"/>
                        </wp:cNvGraphicFramePr>
                        <a:graphic>
                          <a:graphicData uri="http://schemas.openxmlformats.org/drawingml/2006/picture">
                            <pic:pic>
                              <pic:nvPicPr>
                                <pic:cNvPr id="118" name="图片 5 118"/>
                                <pic:cNvPicPr/>
                              </pic:nvPicPr>
                              <pic:blipFill>
                                <a:blip r:embed="rId53"/>
                                <a:stretch>
                                  <a:fillRect/>
                                </a:stretch>
                              </pic:blipFill>
                              <pic:spPr>
                                <a:xfrm rot="0">
                                  <a:off x="0" y="0"/>
                                  <a:ext cx="2148204" cy="1800225"/>
                                </a:xfrm>
                                <a:prstGeom prst="rect"/>
                                <a:noFill/>
                                <a:ln cmpd="sng" cap="flat">
                                  <a:noFill/>
                                  <a:prstDash val="solid"/>
                                  <a:round/>
                                </a:ln>
                              </pic:spPr>
                            </pic:pic>
                          </a:graphicData>
                        </a:graphic>
                      </wp:inline>
                    </w:drawing>
                  </w:r>
                </w:p>
              </w:tc>
            </w:tr>
          </w:tbl>
          <w:p>
            <w:pPr>
              <w:pStyle w:val="24"/>
              <w:bidi w:val="0"/>
              <w:rPr>
                <w:color w:val="auto"/>
                <w:lang w:val="en-US" w:eastAsia="zh-CN"/>
              </w:rPr>
            </w:pPr>
            <w:r>
              <w:rPr>
                <w:rFonts w:hint="eastAsia"/>
                <w:color w:val="auto"/>
                <w:lang w:val="en-US" w:eastAsia="zh-CN"/>
              </w:rPr>
              <w:t>图4-3  危废间及储存容器标签示例图</w:t>
            </w:r>
          </w:p>
          <w:p>
            <w:pPr>
              <w:spacing w:line="360" w:lineRule="auto"/>
              <w:rPr>
                <w:color w:val="auto"/>
                <w:sz w:val="24"/>
                <w:szCs w:val="24"/>
              </w:rPr>
            </w:pPr>
            <w:r>
              <w:rPr>
                <w:rFonts w:hint="eastAsia"/>
                <w:color w:val="auto"/>
                <w:sz w:val="24"/>
                <w:szCs w:val="24"/>
              </w:rPr>
              <w:t>3）</w:t>
            </w:r>
            <w:r>
              <w:rPr>
                <w:color w:val="auto"/>
                <w:sz w:val="24"/>
                <w:szCs w:val="24"/>
              </w:rPr>
              <w:t>台账管理制度：</w:t>
            </w:r>
          </w:p>
          <w:p>
            <w:pPr>
              <w:spacing w:line="360" w:lineRule="auto"/>
              <w:rPr>
                <w:color w:val="auto"/>
                <w:sz w:val="24"/>
                <w:szCs w:val="24"/>
              </w:rPr>
            </w:pPr>
            <w:r>
              <w:rPr>
                <w:color w:val="auto"/>
                <w:sz w:val="24"/>
                <w:szCs w:val="24"/>
              </w:rPr>
              <w:t xml:space="preserve">①台账录入要及时、准确、清晰，便于查看。 </w:t>
            </w:r>
          </w:p>
          <w:p>
            <w:pPr>
              <w:spacing w:line="360" w:lineRule="auto"/>
              <w:rPr>
                <w:color w:val="auto"/>
                <w:sz w:val="24"/>
                <w:szCs w:val="24"/>
              </w:rPr>
            </w:pPr>
            <w:r>
              <w:rPr>
                <w:color w:val="auto"/>
                <w:sz w:val="24"/>
                <w:szCs w:val="24"/>
              </w:rPr>
              <w:t xml:space="preserve">②台账要专人录入，数据、信息、记录内容要真实，与实际相符。 </w:t>
            </w:r>
          </w:p>
          <w:p>
            <w:pPr>
              <w:spacing w:line="360" w:lineRule="auto"/>
              <w:rPr>
                <w:color w:val="auto"/>
                <w:sz w:val="24"/>
                <w:szCs w:val="24"/>
              </w:rPr>
            </w:pPr>
            <w:r>
              <w:rPr>
                <w:color w:val="auto"/>
                <w:sz w:val="24"/>
                <w:szCs w:val="24"/>
              </w:rPr>
              <w:t xml:space="preserve">③台账要设专人管理，定点存放。无关人员不得随意移动、查看。 </w:t>
            </w:r>
          </w:p>
          <w:p>
            <w:pPr>
              <w:spacing w:line="360" w:lineRule="auto"/>
              <w:rPr>
                <w:color w:val="auto"/>
                <w:sz w:val="24"/>
                <w:szCs w:val="24"/>
              </w:rPr>
            </w:pPr>
            <w:r>
              <w:rPr>
                <w:color w:val="auto"/>
                <w:sz w:val="24"/>
                <w:szCs w:val="24"/>
              </w:rPr>
              <w:t xml:space="preserve">④重要台账必须纸版与电子版两种形式保存。 </w:t>
            </w:r>
          </w:p>
          <w:p>
            <w:pPr>
              <w:spacing w:line="360" w:lineRule="auto"/>
              <w:rPr>
                <w:color w:val="auto"/>
                <w:sz w:val="24"/>
                <w:szCs w:val="24"/>
              </w:rPr>
            </w:pPr>
            <w:r>
              <w:rPr>
                <w:color w:val="auto"/>
                <w:sz w:val="24"/>
                <w:szCs w:val="24"/>
              </w:rPr>
              <w:t xml:space="preserve">⑤业务部定期对台账数据进行审核，定期检查台账录入内容，确保台账数据的准确性、及时性和完整性。 </w:t>
            </w:r>
          </w:p>
          <w:p>
            <w:pPr>
              <w:spacing w:line="360" w:lineRule="auto"/>
              <w:rPr>
                <w:color w:val="auto"/>
                <w:sz w:val="24"/>
                <w:szCs w:val="24"/>
              </w:rPr>
            </w:pPr>
            <w:r>
              <w:rPr>
                <w:color w:val="auto"/>
                <w:sz w:val="24"/>
                <w:szCs w:val="24"/>
              </w:rPr>
              <w:t xml:space="preserve">⑥安全台账应与其他台账分开放置，由专职安全员亲自管理。 </w:t>
            </w:r>
          </w:p>
          <w:p>
            <w:pPr>
              <w:spacing w:line="360" w:lineRule="auto"/>
              <w:rPr>
                <w:color w:val="auto"/>
              </w:rPr>
            </w:pPr>
            <w:r>
              <w:rPr>
                <w:color w:val="auto"/>
                <w:sz w:val="24"/>
                <w:szCs w:val="24"/>
              </w:rPr>
              <w:t xml:space="preserve">⑦所有台账盒签必须统一打印，名称清楚、完整。 </w:t>
            </w:r>
          </w:p>
          <w:p>
            <w:pPr>
              <w:spacing w:line="360" w:lineRule="auto"/>
              <w:ind w:firstLineChars="200" w:firstLine="480"/>
              <w:rPr>
                <w:color w:val="auto"/>
                <w:sz w:val="24"/>
              </w:rPr>
            </w:pPr>
            <w:r>
              <w:rPr>
                <w:rFonts w:hint="eastAsia"/>
                <w:color w:val="auto"/>
                <w:sz w:val="24"/>
                <w:szCs w:val="32"/>
                <w:lang w:val="en-US" w:eastAsia="zh-CN"/>
              </w:rPr>
              <w:t>综上，</w:t>
            </w:r>
            <w:r>
              <w:rPr>
                <w:rFonts w:hint="eastAsia"/>
                <w:color w:val="auto"/>
                <w:sz w:val="24"/>
                <w:szCs w:val="32"/>
              </w:rPr>
              <w:t>本项目</w:t>
            </w:r>
            <w:r>
              <w:rPr>
                <w:color w:val="auto"/>
                <w:sz w:val="24"/>
              </w:rPr>
              <w:t>产生的固体废物全部得到利用和无害化处置，不会对周围环境产生不利影响。</w:t>
            </w:r>
          </w:p>
          <w:p>
            <w:pPr>
              <w:spacing w:line="360" w:lineRule="auto"/>
              <w:ind w:firstLineChars="200" w:firstLine="480"/>
              <w:rPr>
                <w:color w:val="auto"/>
                <w:sz w:val="24"/>
              </w:rPr>
            </w:pPr>
          </w:p>
          <w:p>
            <w:pPr>
              <w:spacing w:line="360" w:lineRule="auto"/>
              <w:ind w:firstLineChars="200" w:firstLine="480"/>
              <w:rPr>
                <w:color w:val="auto"/>
                <w:sz w:val="24"/>
                <w:highlight w:val="magenta"/>
              </w:rPr>
            </w:pPr>
            <w:r>
              <w:rPr>
                <w:rFonts w:hint="eastAsia"/>
                <w:b/>
                <w:bCs/>
                <w:color w:val="auto"/>
                <w:sz w:val="24"/>
                <w:lang w:val="en-US" w:eastAsia="zh-CN"/>
              </w:rPr>
              <w:t>五</w:t>
            </w:r>
            <w:r>
              <w:rPr>
                <w:b/>
                <w:bCs/>
                <w:color w:val="auto"/>
                <w:sz w:val="24"/>
              </w:rPr>
              <w:t>、土壤、地下水环境影响分析</w:t>
            </w:r>
          </w:p>
          <w:p>
            <w:pPr>
              <w:spacing w:line="360" w:lineRule="auto"/>
              <w:ind w:firstLineChars="200" w:firstLine="480"/>
              <w:rPr>
                <w:color w:val="auto"/>
                <w:sz w:val="24"/>
              </w:rPr>
            </w:pPr>
            <w:r>
              <w:rPr>
                <w:rFonts w:hint="eastAsia"/>
                <w:color w:val="auto"/>
                <w:sz w:val="24"/>
              </w:rPr>
              <w:t>本项目</w:t>
            </w:r>
            <w:r>
              <w:rPr>
                <w:color w:val="auto"/>
                <w:sz w:val="24"/>
              </w:rPr>
              <w:t>产生的废水均排入厂区污水处理站处理，处理后经市政管网排入</w:t>
            </w:r>
            <w:r>
              <w:rPr>
                <w:rFonts w:hint="eastAsia"/>
                <w:color w:val="auto"/>
                <w:sz w:val="24"/>
              </w:rPr>
              <w:t>德威华泰石家庄市栾城水务有限公司</w:t>
            </w:r>
            <w:r>
              <w:rPr>
                <w:color w:val="auto"/>
                <w:sz w:val="24"/>
              </w:rPr>
              <w:t>。</w:t>
            </w:r>
          </w:p>
          <w:p>
            <w:pPr>
              <w:spacing w:line="360" w:lineRule="auto"/>
              <w:ind w:firstLineChars="200" w:firstLine="480"/>
              <w:rPr>
                <w:color w:val="auto"/>
                <w:sz w:val="24"/>
              </w:rPr>
            </w:pPr>
            <w:r>
              <w:rPr>
                <w:color w:val="auto"/>
                <w:sz w:val="24"/>
              </w:rPr>
              <w:t>为防止对地下水和土壤的污染，按照重点防渗区、一般防渗区、简单防渗区进行防渗处理，对防渗区分别采取不同等级的防渗方案。具体防渗措施如下：</w:t>
            </w:r>
          </w:p>
          <w:p>
            <w:pPr>
              <w:pStyle w:val="24"/>
              <w:bidi w:val="0"/>
              <w:rPr>
                <w:color w:val="auto"/>
              </w:rPr>
            </w:pPr>
            <w:r>
              <w:rPr>
                <w:color w:val="auto"/>
              </w:rPr>
              <w:t>表</w:t>
            </w:r>
            <w:r>
              <w:rPr>
                <w:rFonts w:hint="eastAsia"/>
                <w:color w:val="auto"/>
              </w:rPr>
              <w:t>4-2</w:t>
            </w:r>
            <w:r>
              <w:rPr>
                <w:rFonts w:hint="eastAsia"/>
                <w:color w:val="auto"/>
                <w:lang w:val="en-US" w:eastAsia="zh-CN"/>
              </w:rPr>
              <w:t>3</w:t>
            </w:r>
            <w:r>
              <w:rPr>
                <w:rFonts w:hint="eastAsia"/>
                <w:color w:val="auto"/>
              </w:rPr>
              <w:t xml:space="preserve"> </w:t>
            </w:r>
            <w:r>
              <w:rPr>
                <w:color w:val="auto"/>
              </w:rPr>
              <w:t xml:space="preserve"> 全厂分区防渗措施一览表</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80"/>
              <w:gridCol w:w="1354"/>
              <w:gridCol w:w="2245"/>
              <w:gridCol w:w="4137"/>
            </w:tblGrid>
            <w:tr>
              <w:tc>
                <w:tcPr>
                  <w:tcW w:w="404" w:type="pct"/>
                  <w:vAlign w:val="center"/>
                </w:tcPr>
                <w:p>
                  <w:pPr>
                    <w:pStyle w:val="23"/>
                    <w:bidi w:val="0"/>
                    <w:rPr>
                      <w:color w:val="auto"/>
                    </w:rPr>
                  </w:pPr>
                  <w:r>
                    <w:rPr>
                      <w:rFonts w:hint="eastAsia"/>
                      <w:color w:val="auto"/>
                    </w:rPr>
                    <w:t>序号</w:t>
                  </w:r>
                </w:p>
              </w:tc>
              <w:tc>
                <w:tcPr>
                  <w:tcW w:w="804" w:type="pct"/>
                  <w:vAlign w:val="center"/>
                </w:tcPr>
                <w:p>
                  <w:pPr>
                    <w:pStyle w:val="23"/>
                    <w:bidi w:val="0"/>
                    <w:rPr>
                      <w:color w:val="auto"/>
                    </w:rPr>
                  </w:pPr>
                  <w:r>
                    <w:rPr>
                      <w:rFonts w:hint="eastAsia"/>
                      <w:color w:val="auto"/>
                    </w:rPr>
                    <w:t>区域</w:t>
                  </w:r>
                </w:p>
              </w:tc>
              <w:tc>
                <w:tcPr>
                  <w:tcW w:w="1333" w:type="pct"/>
                  <w:vAlign w:val="center"/>
                </w:tcPr>
                <w:p>
                  <w:pPr>
                    <w:pStyle w:val="23"/>
                    <w:bidi w:val="0"/>
                    <w:rPr>
                      <w:color w:val="auto"/>
                    </w:rPr>
                  </w:pPr>
                  <w:r>
                    <w:rPr>
                      <w:color w:val="auto"/>
                    </w:rPr>
                    <w:t>分区</w:t>
                  </w:r>
                </w:p>
              </w:tc>
              <w:tc>
                <w:tcPr>
                  <w:tcW w:w="2457" w:type="pct"/>
                  <w:vAlign w:val="center"/>
                </w:tcPr>
                <w:p>
                  <w:pPr>
                    <w:pStyle w:val="23"/>
                    <w:bidi w:val="0"/>
                    <w:rPr>
                      <w:color w:val="auto"/>
                    </w:rPr>
                  </w:pPr>
                  <w:r>
                    <w:rPr>
                      <w:rFonts w:hint="eastAsia"/>
                      <w:color w:val="auto"/>
                    </w:rPr>
                    <w:t>防渗要求</w:t>
                  </w:r>
                </w:p>
              </w:tc>
            </w:tr>
            <w:tr>
              <w:tc>
                <w:tcPr>
                  <w:tcW w:w="404" w:type="pct"/>
                  <w:vAlign w:val="center"/>
                </w:tcPr>
                <w:p>
                  <w:pPr>
                    <w:pStyle w:val="23"/>
                    <w:bidi w:val="0"/>
                    <w:rPr>
                      <w:color w:val="auto"/>
                    </w:rPr>
                  </w:pPr>
                  <w:r>
                    <w:rPr>
                      <w:rFonts w:hint="eastAsia"/>
                      <w:color w:val="auto"/>
                    </w:rPr>
                    <w:t>1</w:t>
                  </w:r>
                </w:p>
              </w:tc>
              <w:tc>
                <w:tcPr>
                  <w:tcW w:w="804" w:type="pct"/>
                  <w:tcBorders>
                    <w:left w:val="single" w:sz="4" w:space="0" w:color="auto"/>
                  </w:tcBorders>
                  <w:vAlign w:val="center"/>
                </w:tcPr>
                <w:p>
                  <w:pPr>
                    <w:pStyle w:val="23"/>
                    <w:bidi w:val="0"/>
                    <w:rPr>
                      <w:color w:val="auto"/>
                    </w:rPr>
                  </w:pPr>
                  <w:r>
                    <w:rPr>
                      <w:color w:val="auto"/>
                    </w:rPr>
                    <w:t>重点防渗区</w:t>
                  </w:r>
                </w:p>
              </w:tc>
              <w:tc>
                <w:tcPr>
                  <w:tcW w:w="1333" w:type="pct"/>
                  <w:tcBorders>
                    <w:left w:val="single" w:sz="4" w:space="0" w:color="auto"/>
                  </w:tcBorders>
                  <w:vAlign w:val="center"/>
                </w:tcPr>
                <w:p>
                  <w:pPr>
                    <w:pStyle w:val="23"/>
                    <w:bidi w:val="0"/>
                    <w:rPr>
                      <w:rFonts w:hint="eastAsia"/>
                      <w:color w:val="auto"/>
                      <w:lang w:eastAsia="zh-CN"/>
                    </w:rPr>
                  </w:pPr>
                  <w:r>
                    <w:rPr>
                      <w:color w:val="auto"/>
                    </w:rPr>
                    <w:t>危废暂存间</w:t>
                  </w:r>
                  <w:r>
                    <w:rPr>
                      <w:rFonts w:hint="eastAsia"/>
                      <w:color w:val="auto"/>
                      <w:lang w:eastAsia="zh-CN"/>
                    </w:rPr>
                    <w:t>、</w:t>
                  </w:r>
                </w:p>
                <w:p>
                  <w:pPr>
                    <w:pStyle w:val="23"/>
                    <w:bidi w:val="0"/>
                    <w:rPr>
                      <w:rFonts w:eastAsia="宋体"/>
                      <w:color w:val="auto"/>
                      <w:lang w:val="en-US" w:eastAsia="zh-CN"/>
                    </w:rPr>
                  </w:pPr>
                  <w:r>
                    <w:rPr>
                      <w:rFonts w:hint="eastAsia"/>
                      <w:color w:val="auto"/>
                      <w:lang w:val="en-US" w:eastAsia="zh-CN"/>
                    </w:rPr>
                    <w:t>污水处理站</w:t>
                  </w:r>
                </w:p>
              </w:tc>
              <w:tc>
                <w:tcPr>
                  <w:tcW w:w="2457" w:type="pct"/>
                  <w:tcBorders>
                    <w:left w:val="single" w:sz="4" w:space="0" w:color="auto"/>
                  </w:tcBorders>
                  <w:vAlign w:val="center"/>
                </w:tcPr>
                <w:p>
                  <w:pPr>
                    <w:pStyle w:val="23"/>
                    <w:bidi w:val="0"/>
                    <w:rPr>
                      <w:rFonts w:eastAsia="宋体" w:hint="eastAsia"/>
                      <w:color w:val="auto"/>
                      <w:lang w:eastAsia="zh-CN"/>
                    </w:rPr>
                  </w:pPr>
                  <w:r>
                    <w:rPr>
                      <w:rFonts w:hint="eastAsia"/>
                      <w:color w:val="auto"/>
                      <w:lang w:val="en-US" w:eastAsia="zh-CN"/>
                    </w:rPr>
                    <w:t>防渗层</w:t>
                  </w:r>
                  <w:r>
                    <w:rPr>
                      <w:color w:val="auto"/>
                      <w:lang w:val="en-US" w:eastAsia="zh-CN"/>
                    </w:rPr>
                    <w:t>至少1m厚黏土层</w:t>
                  </w:r>
                  <w:r>
                    <w:rPr>
                      <w:rFonts w:hint="eastAsia"/>
                      <w:color w:val="auto"/>
                      <w:lang w:val="en-US" w:eastAsia="zh-CN"/>
                    </w:rPr>
                    <w:t>，</w:t>
                  </w:r>
                  <w:r>
                    <w:rPr>
                      <w:color w:val="auto"/>
                    </w:rPr>
                    <w:t>保证防渗层</w:t>
                  </w:r>
                  <w:r>
                    <w:rPr>
                      <w:rFonts w:hint="eastAsia"/>
                      <w:color w:val="auto"/>
                      <w:lang w:eastAsia="zh-CN"/>
                    </w:rPr>
                    <w:t>的</w:t>
                  </w:r>
                  <w:r>
                    <w:rPr>
                      <w:color w:val="auto"/>
                    </w:rPr>
                    <w:t>渗透系数≤10</w:t>
                  </w:r>
                  <w:r>
                    <w:rPr>
                      <w:rFonts w:hint="eastAsia"/>
                      <w:color w:val="auto"/>
                      <w:vertAlign w:val="superscript"/>
                      <w:lang w:val="en-US" w:eastAsia="zh-CN"/>
                    </w:rPr>
                    <w:t>-10</w:t>
                  </w:r>
                  <w:r>
                    <w:rPr>
                      <w:color w:val="auto"/>
                    </w:rPr>
                    <w:t>cm/s</w:t>
                  </w:r>
                </w:p>
              </w:tc>
            </w:tr>
            <w:tr>
              <w:tc>
                <w:tcPr>
                  <w:tcW w:w="404" w:type="pct"/>
                  <w:vAlign w:val="center"/>
                </w:tcPr>
                <w:p>
                  <w:pPr>
                    <w:pStyle w:val="23"/>
                    <w:bidi w:val="0"/>
                    <w:rPr>
                      <w:color w:val="auto"/>
                    </w:rPr>
                  </w:pPr>
                  <w:r>
                    <w:rPr>
                      <w:rFonts w:hint="eastAsia"/>
                      <w:color w:val="auto"/>
                    </w:rPr>
                    <w:t>2</w:t>
                  </w:r>
                </w:p>
              </w:tc>
              <w:tc>
                <w:tcPr>
                  <w:tcW w:w="804" w:type="pct"/>
                  <w:tcBorders>
                    <w:left w:val="single" w:sz="4" w:space="0" w:color="auto"/>
                  </w:tcBorders>
                  <w:vAlign w:val="center"/>
                </w:tcPr>
                <w:p>
                  <w:pPr>
                    <w:pStyle w:val="23"/>
                    <w:bidi w:val="0"/>
                    <w:rPr>
                      <w:color w:val="auto"/>
                    </w:rPr>
                  </w:pPr>
                  <w:r>
                    <w:rPr>
                      <w:color w:val="auto"/>
                    </w:rPr>
                    <w:t>一般防渗区</w:t>
                  </w:r>
                </w:p>
              </w:tc>
              <w:tc>
                <w:tcPr>
                  <w:tcW w:w="1333" w:type="pct"/>
                  <w:tcBorders>
                    <w:left w:val="single" w:sz="4" w:space="0" w:color="auto"/>
                  </w:tcBorders>
                  <w:vAlign w:val="center"/>
                </w:tcPr>
                <w:p>
                  <w:pPr>
                    <w:pStyle w:val="23"/>
                    <w:bidi w:val="0"/>
                    <w:rPr>
                      <w:rFonts w:hint="eastAsia"/>
                      <w:color w:val="auto"/>
                      <w:lang w:val="en-US" w:eastAsia="zh-CN"/>
                    </w:rPr>
                  </w:pPr>
                  <w:r>
                    <w:rPr>
                      <w:rFonts w:hint="eastAsia"/>
                      <w:color w:val="auto"/>
                      <w:lang w:val="en-US" w:eastAsia="zh-CN"/>
                    </w:rPr>
                    <w:t>1#车间、2#车间、</w:t>
                  </w:r>
                </w:p>
                <w:p>
                  <w:pPr>
                    <w:pStyle w:val="23"/>
                    <w:bidi w:val="0"/>
                    <w:rPr>
                      <w:rFonts w:eastAsia="宋体"/>
                      <w:color w:val="auto"/>
                      <w:lang w:val="en-US" w:eastAsia="zh-CN"/>
                    </w:rPr>
                  </w:pPr>
                  <w:r>
                    <w:rPr>
                      <w:rFonts w:hint="eastAsia"/>
                      <w:color w:val="auto"/>
                      <w:lang w:val="en-US" w:eastAsia="zh-CN"/>
                    </w:rPr>
                    <w:t>3#车间</w:t>
                  </w:r>
                </w:p>
              </w:tc>
              <w:tc>
                <w:tcPr>
                  <w:tcW w:w="2457" w:type="pct"/>
                  <w:tcBorders>
                    <w:left w:val="single" w:sz="4" w:space="0" w:color="auto"/>
                  </w:tcBorders>
                  <w:vAlign w:val="center"/>
                </w:tcPr>
                <w:p>
                  <w:pPr>
                    <w:pStyle w:val="23"/>
                    <w:bidi w:val="0"/>
                    <w:rPr>
                      <w:color w:val="auto"/>
                    </w:rPr>
                  </w:pPr>
                  <w:r>
                    <w:rPr>
                      <w:color w:val="auto"/>
                    </w:rPr>
                    <w:t>等效黏土防渗层Mb≥1.5m，防渗层系数≤10</w:t>
                  </w:r>
                  <w:r>
                    <w:rPr>
                      <w:rFonts w:hint="eastAsia"/>
                      <w:color w:val="auto"/>
                      <w:vertAlign w:val="superscript"/>
                      <w:lang w:val="en-US" w:eastAsia="zh-CN"/>
                    </w:rPr>
                    <w:t>-</w:t>
                  </w:r>
                  <w:r>
                    <w:rPr>
                      <w:color w:val="auto"/>
                      <w:vertAlign w:val="superscript"/>
                    </w:rPr>
                    <w:t>7</w:t>
                  </w:r>
                  <w:r>
                    <w:rPr>
                      <w:color w:val="auto"/>
                    </w:rPr>
                    <w:t>cm</w:t>
                  </w:r>
                  <w:r>
                    <w:rPr>
                      <w:rFonts w:hint="eastAsia"/>
                      <w:color w:val="auto"/>
                    </w:rPr>
                    <w:t>，污水排放管采用耐腐蚀PVC管材</w:t>
                  </w:r>
                </w:p>
              </w:tc>
            </w:tr>
            <w:tr>
              <w:tc>
                <w:tcPr>
                  <w:tcW w:w="404" w:type="pct"/>
                  <w:vAlign w:val="center"/>
                </w:tcPr>
                <w:p>
                  <w:pPr>
                    <w:pStyle w:val="23"/>
                    <w:bidi w:val="0"/>
                    <w:rPr>
                      <w:color w:val="auto"/>
                    </w:rPr>
                  </w:pPr>
                  <w:r>
                    <w:rPr>
                      <w:rFonts w:hint="eastAsia"/>
                      <w:color w:val="auto"/>
                    </w:rPr>
                    <w:t>3</w:t>
                  </w:r>
                </w:p>
              </w:tc>
              <w:tc>
                <w:tcPr>
                  <w:tcW w:w="804" w:type="pct"/>
                  <w:tcBorders>
                    <w:left w:val="single" w:sz="4" w:space="0" w:color="auto"/>
                  </w:tcBorders>
                  <w:vAlign w:val="center"/>
                </w:tcPr>
                <w:p>
                  <w:pPr>
                    <w:pStyle w:val="23"/>
                    <w:bidi w:val="0"/>
                    <w:rPr>
                      <w:color w:val="auto"/>
                    </w:rPr>
                  </w:pPr>
                  <w:r>
                    <w:rPr>
                      <w:color w:val="auto"/>
                    </w:rPr>
                    <w:t>简单防渗区</w:t>
                  </w:r>
                </w:p>
              </w:tc>
              <w:tc>
                <w:tcPr>
                  <w:tcW w:w="1333" w:type="pct"/>
                  <w:tcBorders>
                    <w:left w:val="single" w:sz="4" w:space="0" w:color="auto"/>
                  </w:tcBorders>
                  <w:vAlign w:val="center"/>
                </w:tcPr>
                <w:p>
                  <w:pPr>
                    <w:pStyle w:val="23"/>
                    <w:bidi w:val="0"/>
                    <w:rPr>
                      <w:color w:val="auto"/>
                    </w:rPr>
                  </w:pPr>
                  <w:r>
                    <w:rPr>
                      <w:color w:val="auto"/>
                    </w:rPr>
                    <w:t>厂区道路及其他区域</w:t>
                  </w:r>
                </w:p>
              </w:tc>
              <w:tc>
                <w:tcPr>
                  <w:tcW w:w="2457" w:type="pct"/>
                  <w:tcBorders>
                    <w:left w:val="single" w:sz="4" w:space="0" w:color="auto"/>
                  </w:tcBorders>
                  <w:vAlign w:val="center"/>
                </w:tcPr>
                <w:p>
                  <w:pPr>
                    <w:pStyle w:val="23"/>
                    <w:bidi w:val="0"/>
                    <w:rPr>
                      <w:color w:val="auto"/>
                    </w:rPr>
                  </w:pPr>
                  <w:r>
                    <w:rPr>
                      <w:color w:val="auto"/>
                    </w:rPr>
                    <w:t>一般地面硬化</w:t>
                  </w:r>
                </w:p>
              </w:tc>
            </w:tr>
          </w:tbl>
          <w:p>
            <w:pPr>
              <w:spacing w:line="360" w:lineRule="auto"/>
              <w:ind w:firstLineChars="200" w:firstLine="480"/>
              <w:rPr>
                <w:color w:val="auto"/>
                <w:sz w:val="24"/>
              </w:rPr>
            </w:pPr>
            <w:r>
              <w:rPr>
                <w:color w:val="auto"/>
                <w:sz w:val="24"/>
              </w:rPr>
              <w:t>综上所述，</w:t>
            </w:r>
            <w:r>
              <w:rPr>
                <w:rFonts w:hint="eastAsia"/>
                <w:color w:val="auto"/>
                <w:sz w:val="24"/>
                <w:lang w:val="en-US" w:eastAsia="zh-CN"/>
              </w:rPr>
              <w:t>本项目</w:t>
            </w:r>
            <w:r>
              <w:rPr>
                <w:color w:val="auto"/>
                <w:sz w:val="24"/>
              </w:rPr>
              <w:t>对污染防治区应分别采取不同等级的防渗方案后，</w:t>
            </w:r>
            <w:r>
              <w:rPr>
                <w:rFonts w:hint="eastAsia"/>
                <w:color w:val="auto"/>
                <w:sz w:val="24"/>
              </w:rPr>
              <w:t>本</w:t>
            </w:r>
            <w:r>
              <w:rPr>
                <w:color w:val="auto"/>
                <w:sz w:val="24"/>
              </w:rPr>
              <w:t>项目无地下水、土壤污染途径，不会对地下水及土壤环境产生影响。</w:t>
            </w:r>
          </w:p>
          <w:p>
            <w:pPr>
              <w:spacing w:line="360" w:lineRule="auto"/>
              <w:ind w:firstLineChars="200" w:firstLine="480"/>
              <w:rPr>
                <w:b/>
                <w:bCs/>
                <w:color w:val="auto"/>
                <w:sz w:val="24"/>
              </w:rPr>
            </w:pPr>
            <w:r>
              <w:rPr>
                <w:rFonts w:hint="eastAsia"/>
                <w:b/>
                <w:bCs/>
                <w:color w:val="auto"/>
                <w:sz w:val="24"/>
                <w:szCs w:val="21"/>
                <w:lang w:val="en-US" w:eastAsia="zh-CN"/>
              </w:rPr>
              <w:t>六</w:t>
            </w:r>
            <w:r>
              <w:rPr>
                <w:b/>
                <w:bCs/>
                <w:color w:val="auto"/>
                <w:sz w:val="24"/>
              </w:rPr>
              <w:t>、环境风险分析</w:t>
            </w:r>
          </w:p>
          <w:p>
            <w:pPr>
              <w:spacing w:line="360" w:lineRule="auto"/>
              <w:ind w:firstLineChars="200" w:firstLine="480"/>
              <w:rPr>
                <w:color w:val="auto"/>
                <w:sz w:val="24"/>
              </w:rPr>
            </w:pPr>
            <w:r>
              <w:rPr>
                <w:color w:val="auto"/>
                <w:sz w:val="24"/>
              </w:rPr>
              <w:t>本次环境风险评价的目的在于识别物料生产、贮存、转运过程中的风险因素及可能诱发的环境问题，以突发性事故导致的危险物质环境急性损害防控为目标，对建设项目的环境风险进行分析，提出环境风险预防、控制、减缓措施，明确环境风险监控及应急建议要求，为建设项目环境风险防控提供科学依据，力求将建设项目的环境风险降至可防控水平。</w:t>
            </w:r>
          </w:p>
          <w:p>
            <w:pPr>
              <w:spacing w:line="360" w:lineRule="auto"/>
              <w:ind w:firstLineChars="200" w:firstLine="480"/>
              <w:rPr>
                <w:color w:val="auto"/>
                <w:sz w:val="24"/>
              </w:rPr>
            </w:pPr>
            <w:r>
              <w:rPr>
                <w:color w:val="auto"/>
                <w:sz w:val="24"/>
              </w:rPr>
              <w:t>（1）物质识别</w:t>
            </w:r>
          </w:p>
          <w:p>
            <w:pPr>
              <w:spacing w:line="360" w:lineRule="auto"/>
              <w:ind w:firstLineChars="200" w:firstLine="480"/>
              <w:rPr>
                <w:color w:val="auto"/>
                <w:sz w:val="24"/>
              </w:rPr>
            </w:pPr>
            <w:r>
              <w:rPr>
                <w:color w:val="auto"/>
                <w:sz w:val="24"/>
              </w:rPr>
              <w:t>根据《建设项目环境风险评价技术导则》（HJ169-2018），本</w:t>
            </w:r>
            <w:r>
              <w:rPr>
                <w:rFonts w:hint="eastAsia"/>
                <w:color w:val="auto"/>
                <w:sz w:val="24"/>
                <w:szCs w:val="32"/>
              </w:rPr>
              <w:t>项目</w:t>
            </w:r>
            <w:r>
              <w:rPr>
                <w:rFonts w:hint="eastAsia"/>
                <w:color w:val="auto"/>
                <w:sz w:val="24"/>
                <w:szCs w:val="32"/>
                <w:lang w:val="en-US" w:eastAsia="zh-CN"/>
              </w:rPr>
              <w:t>风险物质包括危废暂存间暂存的</w:t>
            </w:r>
            <w:r>
              <w:rPr>
                <w:rFonts w:hint="eastAsia"/>
                <w:color w:val="auto"/>
                <w:sz w:val="24"/>
                <w:lang w:val="en-US" w:eastAsia="zh-CN"/>
              </w:rPr>
              <w:t>危险废物（废过滤棉、废活性炭、废试剂瓶、实验室废液、废UV灯管、废润滑油和废润滑油桶）和天然气管道内的天然气，本项目</w:t>
            </w:r>
            <w:r>
              <w:rPr>
                <w:color w:val="auto"/>
                <w:sz w:val="24"/>
              </w:rPr>
              <w:t>Q值确定表见</w:t>
            </w:r>
            <w:r>
              <w:rPr>
                <w:rFonts w:hint="eastAsia"/>
                <w:color w:val="auto"/>
                <w:sz w:val="24"/>
                <w:lang w:val="en-US" w:eastAsia="zh-CN"/>
              </w:rPr>
              <w:t>下</w:t>
            </w:r>
            <w:r>
              <w:rPr>
                <w:color w:val="auto"/>
                <w:sz w:val="24"/>
              </w:rPr>
              <w:t>表。</w:t>
            </w:r>
          </w:p>
          <w:p>
            <w:pPr>
              <w:pStyle w:val="24"/>
              <w:bidi w:val="0"/>
              <w:rPr>
                <w:color w:val="auto"/>
              </w:rPr>
            </w:pPr>
            <w:r>
              <w:rPr>
                <w:color w:val="auto"/>
              </w:rPr>
              <w:t>表</w:t>
            </w:r>
            <w:r>
              <w:rPr>
                <w:rFonts w:hint="eastAsia"/>
                <w:color w:val="auto"/>
              </w:rPr>
              <w:t>4-2</w:t>
            </w:r>
            <w:r>
              <w:rPr>
                <w:rFonts w:hint="eastAsia"/>
                <w:color w:val="auto"/>
                <w:lang w:val="en-US" w:eastAsia="zh-CN"/>
              </w:rPr>
              <w:t>4</w:t>
            </w:r>
            <w:r>
              <w:rPr>
                <w:color w:val="auto"/>
              </w:rPr>
              <w:t xml:space="preserve">  危险物质数量与临界量比值Q值确定表</w:t>
            </w:r>
          </w:p>
          <w:tbl>
            <w:tblPr>
              <w:jc w:val="center"/>
              <w:tblW w:w="843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Look w:val="0600" w:firstRow="0" w:lastRow="0" w:firstColumn="0" w:lastColumn="0" w:noHBand="1" w:noVBand="1"/>
            </w:tblPr>
            <w:tblGrid>
              <w:gridCol w:w="460"/>
              <w:gridCol w:w="2349"/>
              <w:gridCol w:w="781"/>
              <w:gridCol w:w="1713"/>
              <w:gridCol w:w="1772"/>
              <w:gridCol w:w="1354"/>
            </w:tblGrid>
            <w:tr>
              <w:trPr>
                <w:trHeight w:val="23"/>
              </w:trPr>
              <w:tc>
                <w:tcPr>
                  <w:tcW w:w="273" w:type="pct"/>
                  <w:tcBorders>
                    <w:top w:val="single" w:sz="8" w:space="0" w:color="000000"/>
                    <w:left w:val="single" w:sz="8" w:space="0" w:color="000000"/>
                    <w:bottom w:val="single" w:sz="4" w:space="0" w:color="000000"/>
                    <w:right w:val="single" w:sz="4" w:space="0" w:color="000000"/>
                  </w:tcBorders>
                  <w:vAlign w:val="center"/>
                </w:tcPr>
                <w:p>
                  <w:pPr>
                    <w:pStyle w:val="23"/>
                    <w:bidi w:val="0"/>
                    <w:rPr>
                      <w:color w:val="auto"/>
                    </w:rPr>
                  </w:pPr>
                  <w:r>
                    <w:rPr>
                      <w:color w:val="auto"/>
                    </w:rPr>
                    <w:t>序号</w:t>
                  </w:r>
                </w:p>
              </w:tc>
              <w:tc>
                <w:tcPr>
                  <w:tcW w:w="1393" w:type="pct"/>
                  <w:tcBorders>
                    <w:top w:val="single" w:sz="8"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危险物质名称</w:t>
                  </w:r>
                </w:p>
              </w:tc>
              <w:tc>
                <w:tcPr>
                  <w:tcW w:w="463" w:type="pct"/>
                  <w:tcBorders>
                    <w:top w:val="single" w:sz="8"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CAS号</w:t>
                  </w:r>
                </w:p>
              </w:tc>
              <w:tc>
                <w:tcPr>
                  <w:tcW w:w="1016" w:type="pct"/>
                  <w:tcBorders>
                    <w:top w:val="single" w:sz="8"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最大存在总量qn/t</w:t>
                  </w:r>
                </w:p>
              </w:tc>
              <w:tc>
                <w:tcPr>
                  <w:tcW w:w="1049" w:type="pct"/>
                  <w:tcBorders>
                    <w:top w:val="single" w:sz="8"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临界量Qn/t</w:t>
                  </w:r>
                </w:p>
              </w:tc>
              <w:tc>
                <w:tcPr>
                  <w:tcW w:w="803" w:type="pct"/>
                  <w:tcBorders>
                    <w:top w:val="single" w:sz="8" w:space="0" w:color="000000"/>
                    <w:left w:val="single" w:sz="4" w:space="0" w:color="000000"/>
                    <w:bottom w:val="single" w:sz="4" w:space="0" w:color="000000"/>
                    <w:right w:val="single" w:sz="8" w:space="0" w:color="000000"/>
                  </w:tcBorders>
                  <w:vAlign w:val="center"/>
                </w:tcPr>
                <w:p>
                  <w:pPr>
                    <w:pStyle w:val="23"/>
                    <w:bidi w:val="0"/>
                    <w:rPr>
                      <w:color w:val="auto"/>
                    </w:rPr>
                  </w:pPr>
                  <w:r>
                    <w:rPr>
                      <w:color w:val="auto"/>
                    </w:rPr>
                    <w:t>危险物质Q值</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1</w:t>
                  </w:r>
                </w:p>
              </w:tc>
              <w:tc>
                <w:tcPr>
                  <w:tcW w:w="1393"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废活性炭</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w:t>
                  </w:r>
                </w:p>
              </w:tc>
              <w:tc>
                <w:tcPr>
                  <w:tcW w:w="1016"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4.575</w:t>
                  </w:r>
                </w:p>
              </w:tc>
              <w:tc>
                <w:tcPr>
                  <w:tcW w:w="1049"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lang w:val="en-US" w:eastAsia="zh-CN"/>
                    </w:rPr>
                  </w:pPr>
                  <w:r>
                    <w:rPr>
                      <w:rFonts w:hint="eastAsia"/>
                      <w:color w:val="auto"/>
                      <w:lang w:val="en-US" w:eastAsia="zh-CN"/>
                    </w:rPr>
                    <w:t>50</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0.0915</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rPr>
                    <w:t>2</w:t>
                  </w:r>
                </w:p>
              </w:tc>
              <w:tc>
                <w:tcPr>
                  <w:tcW w:w="1393"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废过滤棉</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w:t>
                  </w:r>
                </w:p>
              </w:tc>
              <w:tc>
                <w:tcPr>
                  <w:tcW w:w="1016"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c>
                <w:tcPr>
                  <w:tcW w:w="1049" w:type="pct"/>
                  <w:tcBorders>
                    <w:top w:val="single" w:sz="4" w:space="0" w:color="000000"/>
                    <w:left w:val="single" w:sz="4" w:space="0" w:color="000000"/>
                    <w:bottom w:val="single" w:sz="4" w:space="0" w:color="000000"/>
                    <w:right w:val="single" w:sz="4" w:space="0" w:color="000000"/>
                  </w:tcBorders>
                  <w:vAlign w:val="center"/>
                </w:tcPr>
                <w:p>
                  <w:pPr>
                    <w:pStyle w:val="23"/>
                    <w:bidi w:val="0"/>
                    <w:ind w:firstLine="0"/>
                    <w:rPr>
                      <w:color w:val="auto"/>
                      <w:lang w:val="en-US" w:eastAsia="zh-CN"/>
                    </w:rPr>
                  </w:pPr>
                  <w:r>
                    <w:rPr>
                      <w:rFonts w:hint="eastAsia"/>
                      <w:color w:val="auto"/>
                      <w:lang w:val="en-US" w:eastAsia="zh-CN"/>
                    </w:rPr>
                    <w:t>50</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0.0002</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w:t>
                  </w:r>
                </w:p>
              </w:tc>
              <w:tc>
                <w:tcPr>
                  <w:tcW w:w="1393"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废试剂瓶</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w:t>
                  </w:r>
                </w:p>
              </w:tc>
              <w:tc>
                <w:tcPr>
                  <w:tcW w:w="1016"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c>
                <w:tcPr>
                  <w:tcW w:w="1049" w:type="pct"/>
                  <w:tcBorders>
                    <w:top w:val="single" w:sz="4" w:space="0" w:color="000000"/>
                    <w:left w:val="single" w:sz="4" w:space="0" w:color="000000"/>
                    <w:bottom w:val="single" w:sz="4" w:space="0" w:color="000000"/>
                    <w:right w:val="single" w:sz="4" w:space="0" w:color="000000"/>
                  </w:tcBorders>
                  <w:vAlign w:val="center"/>
                </w:tcPr>
                <w:p>
                  <w:pPr>
                    <w:pStyle w:val="23"/>
                    <w:bidi w:val="0"/>
                    <w:ind w:firstLine="0"/>
                    <w:rPr>
                      <w:color w:val="auto"/>
                      <w:lang w:val="en-US" w:eastAsia="zh-CN"/>
                    </w:rPr>
                  </w:pPr>
                  <w:r>
                    <w:rPr>
                      <w:rFonts w:hint="eastAsia"/>
                      <w:color w:val="auto"/>
                      <w:lang w:val="en-US" w:eastAsia="zh-CN"/>
                    </w:rPr>
                    <w:t>50</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0.0002</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w:t>
                  </w:r>
                </w:p>
              </w:tc>
              <w:tc>
                <w:tcPr>
                  <w:tcW w:w="1393"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实验室废液</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w:t>
                  </w:r>
                </w:p>
              </w:tc>
              <w:tc>
                <w:tcPr>
                  <w:tcW w:w="1016"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1.8</w:t>
                  </w:r>
                </w:p>
              </w:tc>
              <w:tc>
                <w:tcPr>
                  <w:tcW w:w="1049" w:type="pct"/>
                  <w:tcBorders>
                    <w:top w:val="single" w:sz="4" w:space="0" w:color="000000"/>
                    <w:left w:val="single" w:sz="4" w:space="0" w:color="000000"/>
                    <w:bottom w:val="single" w:sz="4" w:space="0" w:color="000000"/>
                    <w:right w:val="single" w:sz="4" w:space="0" w:color="000000"/>
                  </w:tcBorders>
                  <w:vAlign w:val="center"/>
                </w:tcPr>
                <w:p>
                  <w:pPr>
                    <w:pStyle w:val="23"/>
                    <w:bidi w:val="0"/>
                    <w:ind w:firstLine="0"/>
                    <w:rPr>
                      <w:color w:val="auto"/>
                      <w:lang w:val="en-US" w:eastAsia="zh-CN"/>
                    </w:rPr>
                  </w:pPr>
                  <w:r>
                    <w:rPr>
                      <w:rFonts w:hint="eastAsia"/>
                      <w:color w:val="auto"/>
                      <w:lang w:val="en-US" w:eastAsia="zh-CN"/>
                    </w:rPr>
                    <w:t>50</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0.036</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w:t>
                  </w:r>
                </w:p>
              </w:tc>
              <w:tc>
                <w:tcPr>
                  <w:tcW w:w="1393"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废UV灯管</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rPr>
                  </w:pPr>
                  <w:r>
                    <w:rPr>
                      <w:color w:val="auto"/>
                    </w:rPr>
                    <w:t>/</w:t>
                  </w:r>
                </w:p>
              </w:tc>
              <w:tc>
                <w:tcPr>
                  <w:tcW w:w="1016"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0.002</w:t>
                  </w:r>
                </w:p>
              </w:tc>
              <w:tc>
                <w:tcPr>
                  <w:tcW w:w="1049" w:type="pct"/>
                  <w:tcBorders>
                    <w:top w:val="single" w:sz="4" w:space="0" w:color="000000"/>
                    <w:left w:val="single" w:sz="4" w:space="0" w:color="000000"/>
                    <w:bottom w:val="single" w:sz="4" w:space="0" w:color="000000"/>
                    <w:right w:val="single" w:sz="4" w:space="0" w:color="000000"/>
                  </w:tcBorders>
                  <w:vAlign w:val="center"/>
                </w:tcPr>
                <w:p>
                  <w:pPr>
                    <w:pStyle w:val="23"/>
                    <w:bidi w:val="0"/>
                    <w:ind w:firstLine="0"/>
                    <w:rPr>
                      <w:color w:val="auto"/>
                      <w:lang w:val="en-US" w:eastAsia="zh-CN"/>
                    </w:rPr>
                  </w:pPr>
                  <w:r>
                    <w:rPr>
                      <w:rFonts w:hint="eastAsia"/>
                      <w:color w:val="auto"/>
                      <w:lang w:val="en-US" w:eastAsia="zh-CN"/>
                    </w:rPr>
                    <w:t>50</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0.00004</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rFonts w:hint="eastAsia"/>
                      <w:color w:val="auto"/>
                      <w:lang w:val="en-US" w:eastAsia="zh-CN"/>
                    </w:rPr>
                  </w:pPr>
                  <w:r>
                    <w:rPr>
                      <w:rFonts w:hint="eastAsia"/>
                      <w:color w:val="auto"/>
                      <w:lang w:val="en-US" w:eastAsia="zh-CN"/>
                    </w:rPr>
                    <w:t>6</w:t>
                  </w:r>
                </w:p>
              </w:tc>
              <w:tc>
                <w:tcPr>
                  <w:tcW w:w="1393"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废润滑油</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rFonts w:hint="eastAsia"/>
                      <w:color w:val="auto"/>
                    </w:rPr>
                  </w:pPr>
                  <w:r>
                    <w:rPr>
                      <w:color w:val="auto"/>
                    </w:rPr>
                    <w:t>/</w:t>
                  </w:r>
                </w:p>
              </w:tc>
              <w:tc>
                <w:tcPr>
                  <w:tcW w:w="1016"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c>
                <w:tcPr>
                  <w:tcW w:w="1049"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lang w:val="en-US" w:eastAsia="zh-CN"/>
                    </w:rPr>
                  </w:pPr>
                  <w:r>
                    <w:rPr>
                      <w:rFonts w:hint="eastAsia"/>
                      <w:color w:val="auto"/>
                      <w:lang w:val="en-US" w:eastAsia="zh-CN"/>
                    </w:rPr>
                    <w:t>50</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0.0002</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rFonts w:hint="eastAsia"/>
                      <w:color w:val="auto"/>
                      <w:lang w:val="en-US" w:eastAsia="zh-CN"/>
                    </w:rPr>
                  </w:pPr>
                  <w:r>
                    <w:rPr>
                      <w:rFonts w:hint="eastAsia"/>
                      <w:color w:val="auto"/>
                      <w:lang w:val="en-US" w:eastAsia="zh-CN"/>
                    </w:rPr>
                    <w:t>7</w:t>
                  </w:r>
                </w:p>
              </w:tc>
              <w:tc>
                <w:tcPr>
                  <w:tcW w:w="1393"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废润滑油桶</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rFonts w:hint="eastAsia"/>
                      <w:color w:val="auto"/>
                    </w:rPr>
                  </w:pPr>
                  <w:r>
                    <w:rPr>
                      <w:color w:val="auto"/>
                    </w:rPr>
                    <w:t>/</w:t>
                  </w:r>
                </w:p>
              </w:tc>
              <w:tc>
                <w:tcPr>
                  <w:tcW w:w="1016"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0.001</w:t>
                  </w:r>
                </w:p>
              </w:tc>
              <w:tc>
                <w:tcPr>
                  <w:tcW w:w="104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50</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0.00002</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color w:val="auto"/>
                      <w:lang w:val="en-US" w:eastAsia="zh-CN"/>
                    </w:rPr>
                  </w:pPr>
                  <w:r>
                    <w:rPr>
                      <w:rFonts w:hint="eastAsia"/>
                      <w:color w:val="auto"/>
                      <w:lang w:val="en-US" w:eastAsia="zh-CN"/>
                    </w:rPr>
                    <w:t>8</w:t>
                  </w:r>
                </w:p>
              </w:tc>
              <w:tc>
                <w:tcPr>
                  <w:tcW w:w="1393"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lang w:val="en-US" w:eastAsia="zh-CN"/>
                    </w:rPr>
                  </w:pPr>
                  <w:r>
                    <w:rPr>
                      <w:rFonts w:hint="eastAsia"/>
                      <w:color w:val="auto"/>
                      <w:lang w:val="en-US" w:eastAsia="zh-CN"/>
                    </w:rPr>
                    <w:t>天然气（甲烷）</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lang w:val="en-US" w:eastAsia="zh-CN"/>
                    </w:rPr>
                  </w:pPr>
                  <w:r>
                    <w:rPr>
                      <w:rFonts w:hint="eastAsia"/>
                      <w:color w:val="auto"/>
                      <w:lang w:val="en-US" w:eastAsia="zh-CN"/>
                    </w:rPr>
                    <w:t>74-82-8</w:t>
                  </w:r>
                </w:p>
              </w:tc>
              <w:tc>
                <w:tcPr>
                  <w:tcW w:w="1016" w:type="pct"/>
                  <w:tcBorders>
                    <w:top w:val="single" w:sz="4" w:space="0" w:color="000000"/>
                    <w:left w:val="single" w:sz="4" w:space="0" w:color="000000"/>
                    <w:bottom w:val="single" w:sz="4" w:space="0" w:color="000000"/>
                    <w:right w:val="single" w:sz="4" w:space="0" w:color="000000"/>
                  </w:tcBorders>
                  <w:vAlign w:val="center"/>
                </w:tcPr>
                <w:p>
                  <w:pPr>
                    <w:pStyle w:val="23"/>
                    <w:bidi w:val="0"/>
                    <w:ind w:firstLine="0"/>
                    <w:rPr>
                      <w:color w:val="auto"/>
                      <w:lang w:val="en-US" w:eastAsia="zh-CN"/>
                    </w:rPr>
                  </w:pPr>
                  <w:r>
                    <w:rPr>
                      <w:color w:val="auto"/>
                      <w:lang w:val="en-US" w:eastAsia="zh-CN"/>
                    </w:rPr>
                    <w:t>0.000</w:t>
                  </w:r>
                  <w:r>
                    <w:rPr>
                      <w:rFonts w:hint="eastAsia"/>
                      <w:color w:val="auto"/>
                      <w:lang w:val="en-US" w:eastAsia="zh-CN"/>
                    </w:rPr>
                    <w:t>2</w:t>
                  </w:r>
                </w:p>
              </w:tc>
              <w:tc>
                <w:tcPr>
                  <w:tcW w:w="1049" w:type="pct"/>
                  <w:tcBorders>
                    <w:top w:val="single" w:sz="4" w:space="0" w:color="000000"/>
                    <w:left w:val="single" w:sz="4" w:space="0" w:color="000000"/>
                    <w:bottom w:val="single" w:sz="4" w:space="0" w:color="000000"/>
                    <w:right w:val="single" w:sz="4" w:space="0" w:color="000000"/>
                  </w:tcBorders>
                  <w:vAlign w:val="center"/>
                </w:tcPr>
                <w:p>
                  <w:pPr>
                    <w:pStyle w:val="23"/>
                    <w:bidi w:val="0"/>
                    <w:ind w:firstLine="0"/>
                    <w:rPr>
                      <w:color w:val="auto"/>
                      <w:lang w:val="en-US" w:eastAsia="zh-CN"/>
                    </w:rPr>
                  </w:pPr>
                  <w:r>
                    <w:rPr>
                      <w:rFonts w:hint="eastAsia"/>
                      <w:color w:val="auto"/>
                      <w:lang w:val="en-US" w:eastAsia="zh-CN"/>
                    </w:rPr>
                    <w:t>10</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0.00002</w:t>
                  </w:r>
                </w:p>
              </w:tc>
            </w:tr>
            <w:tr>
              <w:trPr>
                <w:trHeight w:val="23"/>
              </w:trPr>
              <w:tc>
                <w:tcPr>
                  <w:tcW w:w="273" w:type="pct"/>
                  <w:tcBorders>
                    <w:top w:val="single" w:sz="4" w:space="0" w:color="000000"/>
                    <w:left w:val="single" w:sz="8" w:space="0" w:color="000000"/>
                    <w:bottom w:val="single" w:sz="4" w:space="0" w:color="000000"/>
                    <w:right w:val="single" w:sz="4" w:space="0" w:color="000000"/>
                  </w:tcBorders>
                  <w:vAlign w:val="center"/>
                </w:tcPr>
                <w:p>
                  <w:pPr>
                    <w:pStyle w:val="23"/>
                    <w:bidi w:val="0"/>
                    <w:ind w:firstLine="0"/>
                    <w:rPr>
                      <w:color w:val="auto"/>
                      <w:lang w:val="en-US" w:eastAsia="zh-CN"/>
                    </w:rPr>
                  </w:pPr>
                  <w:r>
                    <w:rPr>
                      <w:rFonts w:hint="eastAsia"/>
                      <w:color w:val="auto"/>
                      <w:lang w:val="en-US" w:eastAsia="zh-CN"/>
                    </w:rPr>
                    <w:t>9</w:t>
                  </w:r>
                </w:p>
              </w:tc>
              <w:tc>
                <w:tcPr>
                  <w:tcW w:w="1393" w:type="pct"/>
                  <w:tcBorders>
                    <w:top w:val="single" w:sz="4" w:space="0" w:color="000000"/>
                    <w:left w:val="single" w:sz="4" w:space="0" w:color="000000"/>
                    <w:bottom w:val="single" w:sz="4" w:space="0" w:color="000000"/>
                    <w:right w:val="single" w:sz="4" w:space="0" w:color="000000"/>
                  </w:tcBorders>
                  <w:vAlign w:val="center"/>
                </w:tcPr>
                <w:p>
                  <w:pPr>
                    <w:pStyle w:val="23"/>
                    <w:bidi w:val="0"/>
                    <w:rPr>
                      <w:rFonts w:hint="eastAsia"/>
                      <w:color w:val="auto"/>
                      <w:lang w:val="en-US" w:eastAsia="zh-CN"/>
                    </w:rPr>
                  </w:pPr>
                  <w:r>
                    <w:rPr>
                      <w:rFonts w:hint="eastAsia"/>
                      <w:color w:val="auto"/>
                      <w:lang w:val="en-US" w:eastAsia="zh-CN"/>
                    </w:rPr>
                    <w:t>二乙氨基二硫代甲酸银（银及其化合物）</w:t>
                  </w:r>
                </w:p>
              </w:tc>
              <w:tc>
                <w:tcPr>
                  <w:tcW w:w="463" w:type="pct"/>
                  <w:tcBorders>
                    <w:top w:val="single" w:sz="4" w:space="0" w:color="000000"/>
                    <w:left w:val="single" w:sz="4" w:space="0" w:color="000000"/>
                    <w:bottom w:val="single" w:sz="4" w:space="0" w:color="000000"/>
                    <w:right w:val="single" w:sz="4" w:space="0" w:color="000000"/>
                  </w:tcBorders>
                  <w:vAlign w:val="center"/>
                </w:tcPr>
                <w:p>
                  <w:pPr>
                    <w:pStyle w:val="23"/>
                    <w:bidi w:val="0"/>
                    <w:rPr>
                      <w:color w:val="auto"/>
                      <w:lang w:val="en-US" w:eastAsia="zh-CN"/>
                    </w:rPr>
                  </w:pPr>
                  <w:r>
                    <w:rPr>
                      <w:rFonts w:hint="eastAsia"/>
                      <w:color w:val="auto"/>
                      <w:lang w:val="en-US" w:eastAsia="zh-CN"/>
                    </w:rPr>
                    <w:t>/</w:t>
                  </w:r>
                </w:p>
              </w:tc>
              <w:tc>
                <w:tcPr>
                  <w:tcW w:w="1016" w:type="pct"/>
                  <w:tcBorders>
                    <w:top w:val="single" w:sz="4" w:space="0" w:color="000000"/>
                    <w:left w:val="single" w:sz="4" w:space="0" w:color="000000"/>
                    <w:bottom w:val="single" w:sz="4" w:space="0" w:color="000000"/>
                    <w:right w:val="single" w:sz="4" w:space="0" w:color="000000"/>
                  </w:tcBorders>
                  <w:vAlign w:val="center"/>
                </w:tcPr>
                <w:p>
                  <w:pPr>
                    <w:pStyle w:val="23"/>
                    <w:bidi w:val="0"/>
                    <w:ind w:firstLine="0"/>
                    <w:rPr>
                      <w:color w:val="auto"/>
                      <w:lang w:val="en-US" w:eastAsia="zh-CN"/>
                    </w:rPr>
                  </w:pPr>
                  <w:r>
                    <w:rPr>
                      <w:color w:val="auto"/>
                      <w:lang w:val="en-US" w:eastAsia="zh-CN"/>
                    </w:rPr>
                    <w:t>0.000005</w:t>
                  </w:r>
                </w:p>
              </w:tc>
              <w:tc>
                <w:tcPr>
                  <w:tcW w:w="1049" w:type="pct"/>
                  <w:tcBorders>
                    <w:top w:val="single" w:sz="4" w:space="0" w:color="000000"/>
                    <w:left w:val="single" w:sz="4" w:space="0" w:color="000000"/>
                    <w:bottom w:val="single" w:sz="4" w:space="0" w:color="000000"/>
                    <w:right w:val="single" w:sz="4" w:space="0" w:color="000000"/>
                  </w:tcBorders>
                  <w:vAlign w:val="center"/>
                </w:tcPr>
                <w:p>
                  <w:pPr>
                    <w:pStyle w:val="23"/>
                    <w:bidi w:val="0"/>
                    <w:ind w:firstLine="0"/>
                    <w:rPr>
                      <w:color w:val="auto"/>
                      <w:lang w:val="en-US" w:eastAsia="zh-CN"/>
                    </w:rPr>
                  </w:pPr>
                  <w:r>
                    <w:rPr>
                      <w:rFonts w:hint="eastAsia"/>
                      <w:color w:val="auto"/>
                      <w:lang w:val="en-US" w:eastAsia="zh-CN"/>
                    </w:rPr>
                    <w:t>0.25</w:t>
                  </w:r>
                </w:p>
              </w:tc>
              <w:tc>
                <w:tcPr>
                  <w:tcW w:w="803" w:type="pct"/>
                  <w:tcBorders>
                    <w:top w:val="single" w:sz="4" w:space="0" w:color="000000"/>
                    <w:left w:val="single" w:sz="4" w:space="0" w:color="000000"/>
                    <w:bottom w:val="single" w:sz="4" w:space="0" w:color="000000"/>
                    <w:right w:val="single" w:sz="8" w:space="0" w:color="000000"/>
                  </w:tcBorders>
                  <w:shd w:val="clear" w:color="auto" w:fill="auto"/>
                  <w:vAlign w:val="center"/>
                </w:tcPr>
                <w:p>
                  <w:pPr>
                    <w:pStyle w:val="23"/>
                    <w:bidi w:val="0"/>
                    <w:rPr>
                      <w:rFonts w:hint="eastAsia"/>
                      <w:color w:val="auto"/>
                      <w:lang w:val="en-US" w:eastAsia="zh-CN"/>
                    </w:rPr>
                  </w:pPr>
                  <w:r>
                    <w:rPr>
                      <w:rFonts w:hint="eastAsia"/>
                      <w:color w:val="auto"/>
                      <w:lang w:val="en-US" w:eastAsia="zh-CN"/>
                    </w:rPr>
                    <w:t>0.00002</w:t>
                  </w:r>
                </w:p>
              </w:tc>
            </w:tr>
            <w:tr>
              <w:trPr>
                <w:trHeight w:val="23"/>
              </w:trPr>
              <w:tc>
                <w:tcPr>
                  <w:tcW w:w="4196" w:type="pct"/>
                  <w:gridSpan w:val="5"/>
                  <w:tcBorders>
                    <w:top w:val="single" w:sz="4" w:space="0" w:color="000000"/>
                    <w:left w:val="single" w:sz="8" w:space="0" w:color="000000"/>
                    <w:bottom w:val="single" w:sz="8" w:space="0" w:color="000000"/>
                    <w:right w:val="single" w:sz="4" w:space="0" w:color="000000"/>
                  </w:tcBorders>
                  <w:vAlign w:val="center"/>
                </w:tcPr>
                <w:p>
                  <w:pPr>
                    <w:pStyle w:val="23"/>
                    <w:bidi w:val="0"/>
                    <w:rPr>
                      <w:color w:val="auto"/>
                    </w:rPr>
                  </w:pPr>
                  <w:r>
                    <w:rPr>
                      <w:color w:val="auto"/>
                    </w:rPr>
                    <w:t>项目Q值</w:t>
                  </w:r>
                </w:p>
              </w:tc>
              <w:tc>
                <w:tcPr>
                  <w:tcW w:w="803" w:type="pct"/>
                  <w:tcBorders>
                    <w:top w:val="single" w:sz="4" w:space="0" w:color="000000"/>
                    <w:left w:val="single" w:sz="4" w:space="0" w:color="000000"/>
                    <w:bottom w:val="single" w:sz="8" w:space="0" w:color="000000"/>
                    <w:right w:val="single" w:sz="8" w:space="0" w:color="000000"/>
                  </w:tcBorders>
                  <w:vAlign w:val="center"/>
                </w:tcPr>
                <w:p>
                  <w:pPr>
                    <w:pStyle w:val="23"/>
                    <w:bidi w:val="0"/>
                    <w:rPr>
                      <w:rFonts w:eastAsia="宋体"/>
                      <w:color w:val="auto"/>
                      <w:lang w:val="en-US" w:eastAsia="zh-CN"/>
                    </w:rPr>
                  </w:pPr>
                  <w:r>
                    <w:rPr>
                      <w:rFonts w:eastAsia="宋体"/>
                      <w:color w:val="auto"/>
                      <w:lang w:val="en-US" w:eastAsia="zh-CN"/>
                    </w:rPr>
                    <w:t>0.1282</w:t>
                  </w:r>
                </w:p>
              </w:tc>
            </w:tr>
          </w:tbl>
          <w:p>
            <w:pPr>
              <w:spacing w:line="360" w:lineRule="auto"/>
              <w:ind w:firstLineChars="200" w:firstLine="480"/>
              <w:rPr>
                <w:bCs/>
                <w:color w:val="auto"/>
                <w:sz w:val="24"/>
              </w:rPr>
            </w:pPr>
            <w:bookmarkStart w:id="2" w:name="_Toc7246170"/>
            <w:bookmarkStart w:id="3" w:name="_Toc4835424"/>
            <w:r>
              <w:rPr>
                <w:bCs/>
                <w:color w:val="auto"/>
                <w:sz w:val="24"/>
              </w:rPr>
              <w:t>（</w:t>
            </w:r>
            <w:r>
              <w:rPr>
                <w:rFonts w:hint="eastAsia"/>
                <w:bCs/>
                <w:color w:val="auto"/>
                <w:sz w:val="24"/>
                <w:lang w:val="en-US" w:eastAsia="zh-CN"/>
              </w:rPr>
              <w:t>2</w:t>
            </w:r>
            <w:r>
              <w:rPr>
                <w:bCs/>
                <w:color w:val="auto"/>
                <w:sz w:val="24"/>
              </w:rPr>
              <w:t>）环境风险识别</w:t>
            </w:r>
            <w:bookmarkEnd w:id="2"/>
            <w:bookmarkEnd w:id="3"/>
          </w:p>
          <w:p>
            <w:pPr>
              <w:spacing w:line="360" w:lineRule="auto"/>
              <w:ind w:firstLineChars="200" w:firstLine="480"/>
              <w:rPr>
                <w:color w:val="auto"/>
              </w:rPr>
            </w:pPr>
            <w:r>
              <w:rPr>
                <w:color w:val="auto"/>
                <w:sz w:val="24"/>
              </w:rPr>
              <w:t>项目环境风险及环境影响途径识别表见表</w:t>
            </w:r>
            <w:r>
              <w:rPr>
                <w:rFonts w:hint="eastAsia"/>
                <w:color w:val="auto"/>
                <w:sz w:val="24"/>
              </w:rPr>
              <w:t>4-2</w:t>
            </w:r>
            <w:r>
              <w:rPr>
                <w:rFonts w:hint="eastAsia"/>
                <w:color w:val="auto"/>
                <w:sz w:val="24"/>
                <w:lang w:val="en-US" w:eastAsia="zh-CN"/>
              </w:rPr>
              <w:t>5</w:t>
            </w:r>
            <w:r>
              <w:rPr>
                <w:color w:val="auto"/>
                <w:sz w:val="24"/>
              </w:rPr>
              <w:t>。</w:t>
            </w:r>
          </w:p>
          <w:p>
            <w:pPr>
              <w:pStyle w:val="24"/>
              <w:bidi w:val="0"/>
              <w:rPr>
                <w:color w:val="auto"/>
              </w:rPr>
            </w:pPr>
            <w:r>
              <w:rPr>
                <w:color w:val="auto"/>
              </w:rPr>
              <w:t>表</w:t>
            </w:r>
            <w:r>
              <w:rPr>
                <w:rFonts w:hint="eastAsia"/>
                <w:color w:val="auto"/>
              </w:rPr>
              <w:t>4-2</w:t>
            </w:r>
            <w:r>
              <w:rPr>
                <w:rFonts w:hint="eastAsia"/>
                <w:color w:val="auto"/>
                <w:lang w:val="en-US" w:eastAsia="zh-CN"/>
              </w:rPr>
              <w:t>5</w:t>
            </w:r>
            <w:r>
              <w:rPr>
                <w:color w:val="auto"/>
              </w:rPr>
              <w:t xml:space="preserve">  项目环境风险及环境影响途径识别表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581"/>
              <w:gridCol w:w="660"/>
              <w:gridCol w:w="1095"/>
              <w:gridCol w:w="1810"/>
              <w:gridCol w:w="1505"/>
              <w:gridCol w:w="1233"/>
              <w:gridCol w:w="1531"/>
            </w:tblGrid>
            <w:tr>
              <w:trPr>
                <w:trHeight w:val="20"/>
              </w:trPr>
              <w:tc>
                <w:tcPr>
                  <w:tcW w:w="345" w:type="pct"/>
                  <w:vAlign w:val="center"/>
                </w:tcPr>
                <w:p>
                  <w:pPr>
                    <w:pStyle w:val="23"/>
                    <w:bidi w:val="0"/>
                    <w:rPr>
                      <w:color w:val="auto"/>
                    </w:rPr>
                  </w:pPr>
                  <w:r>
                    <w:rPr>
                      <w:color w:val="auto"/>
                    </w:rPr>
                    <w:t>序号</w:t>
                  </w:r>
                </w:p>
              </w:tc>
              <w:tc>
                <w:tcPr>
                  <w:tcW w:w="392" w:type="pct"/>
                  <w:vAlign w:val="center"/>
                </w:tcPr>
                <w:p>
                  <w:pPr>
                    <w:pStyle w:val="23"/>
                    <w:bidi w:val="0"/>
                    <w:rPr>
                      <w:color w:val="auto"/>
                    </w:rPr>
                  </w:pPr>
                  <w:r>
                    <w:rPr>
                      <w:color w:val="auto"/>
                    </w:rPr>
                    <w:t>危险</w:t>
                  </w:r>
                </w:p>
                <w:p>
                  <w:pPr>
                    <w:pStyle w:val="23"/>
                    <w:bidi w:val="0"/>
                    <w:rPr>
                      <w:color w:val="auto"/>
                    </w:rPr>
                  </w:pPr>
                  <w:r>
                    <w:rPr>
                      <w:color w:val="auto"/>
                    </w:rPr>
                    <w:t>单元</w:t>
                  </w:r>
                </w:p>
              </w:tc>
              <w:tc>
                <w:tcPr>
                  <w:tcW w:w="650" w:type="pct"/>
                  <w:vAlign w:val="center"/>
                </w:tcPr>
                <w:p>
                  <w:pPr>
                    <w:pStyle w:val="23"/>
                    <w:bidi w:val="0"/>
                    <w:rPr>
                      <w:color w:val="auto"/>
                    </w:rPr>
                  </w:pPr>
                  <w:r>
                    <w:rPr>
                      <w:color w:val="auto"/>
                    </w:rPr>
                    <w:t>风险源</w:t>
                  </w:r>
                </w:p>
              </w:tc>
              <w:tc>
                <w:tcPr>
                  <w:tcW w:w="1075" w:type="pct"/>
                  <w:vAlign w:val="center"/>
                </w:tcPr>
                <w:p>
                  <w:pPr>
                    <w:pStyle w:val="23"/>
                    <w:bidi w:val="0"/>
                    <w:rPr>
                      <w:color w:val="auto"/>
                    </w:rPr>
                  </w:pPr>
                  <w:r>
                    <w:rPr>
                      <w:color w:val="auto"/>
                    </w:rPr>
                    <w:t>主要危险物质</w:t>
                  </w:r>
                </w:p>
              </w:tc>
              <w:tc>
                <w:tcPr>
                  <w:tcW w:w="894" w:type="pct"/>
                  <w:vAlign w:val="center"/>
                </w:tcPr>
                <w:p>
                  <w:pPr>
                    <w:pStyle w:val="23"/>
                    <w:bidi w:val="0"/>
                    <w:rPr>
                      <w:color w:val="auto"/>
                    </w:rPr>
                  </w:pPr>
                  <w:r>
                    <w:rPr>
                      <w:color w:val="auto"/>
                    </w:rPr>
                    <w:t>环境风险类型</w:t>
                  </w:r>
                </w:p>
              </w:tc>
              <w:tc>
                <w:tcPr>
                  <w:tcW w:w="732" w:type="pct"/>
                  <w:vAlign w:val="center"/>
                </w:tcPr>
                <w:p>
                  <w:pPr>
                    <w:pStyle w:val="23"/>
                    <w:bidi w:val="0"/>
                    <w:rPr>
                      <w:color w:val="auto"/>
                    </w:rPr>
                  </w:pPr>
                  <w:r>
                    <w:rPr>
                      <w:color w:val="auto"/>
                    </w:rPr>
                    <w:t>环境影响途径</w:t>
                  </w:r>
                </w:p>
              </w:tc>
              <w:tc>
                <w:tcPr>
                  <w:tcW w:w="909" w:type="pct"/>
                  <w:vAlign w:val="center"/>
                </w:tcPr>
                <w:p>
                  <w:pPr>
                    <w:pStyle w:val="23"/>
                    <w:bidi w:val="0"/>
                    <w:rPr>
                      <w:color w:val="auto"/>
                    </w:rPr>
                  </w:pPr>
                  <w:r>
                    <w:rPr>
                      <w:color w:val="auto"/>
                    </w:rPr>
                    <w:t>可能受影响的环境敏感目标</w:t>
                  </w:r>
                </w:p>
              </w:tc>
            </w:tr>
            <w:tr>
              <w:trPr>
                <w:trHeight w:val="670"/>
              </w:trPr>
              <w:tc>
                <w:tcPr>
                  <w:tcW w:w="345" w:type="pct"/>
                  <w:vAlign w:val="center"/>
                </w:tcPr>
                <w:p>
                  <w:pPr>
                    <w:pStyle w:val="23"/>
                    <w:bidi w:val="0"/>
                    <w:rPr>
                      <w:color w:val="auto"/>
                    </w:rPr>
                  </w:pPr>
                  <w:r>
                    <w:rPr>
                      <w:color w:val="auto"/>
                    </w:rPr>
                    <w:t>1</w:t>
                  </w:r>
                </w:p>
              </w:tc>
              <w:tc>
                <w:tcPr>
                  <w:tcW w:w="392" w:type="pct"/>
                  <w:tcBorders>
                    <w:left w:val="single" w:sz="4" w:space="0" w:color="auto"/>
                  </w:tcBorders>
                  <w:vAlign w:val="center"/>
                </w:tcPr>
                <w:p>
                  <w:pPr>
                    <w:pStyle w:val="23"/>
                    <w:bidi w:val="0"/>
                    <w:rPr>
                      <w:color w:val="auto"/>
                    </w:rPr>
                  </w:pPr>
                  <w:r>
                    <w:rPr>
                      <w:color w:val="auto"/>
                    </w:rPr>
                    <w:t>危废间</w:t>
                  </w:r>
                </w:p>
              </w:tc>
              <w:tc>
                <w:tcPr>
                  <w:tcW w:w="650"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危险废物</w:t>
                  </w:r>
                </w:p>
              </w:tc>
              <w:tc>
                <w:tcPr>
                  <w:tcW w:w="1075"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废活性炭、废过滤棉、废试剂瓶、实验室废液、废UV灯管、废润滑油、废润滑油桶</w:t>
                  </w:r>
                </w:p>
              </w:tc>
              <w:tc>
                <w:tcPr>
                  <w:tcW w:w="894" w:type="pct"/>
                  <w:tcBorders>
                    <w:left w:val="single" w:sz="4" w:space="0" w:color="auto"/>
                  </w:tcBorders>
                  <w:vAlign w:val="center"/>
                </w:tcPr>
                <w:p>
                  <w:pPr>
                    <w:pStyle w:val="23"/>
                    <w:bidi w:val="0"/>
                    <w:rPr>
                      <w:color w:val="auto"/>
                    </w:rPr>
                  </w:pPr>
                  <w:r>
                    <w:rPr>
                      <w:color w:val="auto"/>
                    </w:rPr>
                    <w:t>危险物质泄漏</w:t>
                  </w:r>
                  <w:r>
                    <w:rPr>
                      <w:rFonts w:hint="eastAsia"/>
                      <w:color w:val="auto"/>
                    </w:rPr>
                    <w:t>、火灾</w:t>
                  </w:r>
                </w:p>
              </w:tc>
              <w:tc>
                <w:tcPr>
                  <w:tcW w:w="732" w:type="pct"/>
                  <w:tcBorders>
                    <w:left w:val="single" w:sz="4" w:space="0" w:color="auto"/>
                  </w:tcBorders>
                  <w:vAlign w:val="center"/>
                </w:tcPr>
                <w:p>
                  <w:pPr>
                    <w:pStyle w:val="23"/>
                    <w:bidi w:val="0"/>
                    <w:rPr>
                      <w:color w:val="auto"/>
                    </w:rPr>
                  </w:pPr>
                  <w:r>
                    <w:rPr>
                      <w:rFonts w:hint="eastAsia"/>
                      <w:color w:val="auto"/>
                      <w:lang w:val="en-US" w:eastAsia="zh-CN"/>
                    </w:rPr>
                    <w:t>大气、</w:t>
                  </w:r>
                  <w:r>
                    <w:rPr>
                      <w:rFonts w:hint="eastAsia"/>
                      <w:color w:val="auto"/>
                    </w:rPr>
                    <w:t>水、土壤</w:t>
                  </w:r>
                </w:p>
              </w:tc>
              <w:tc>
                <w:tcPr>
                  <w:tcW w:w="909" w:type="pct"/>
                  <w:vMerge w:val="restart"/>
                  <w:tcBorders>
                    <w:left w:val="single" w:sz="4" w:space="0" w:color="auto"/>
                  </w:tcBorders>
                  <w:vAlign w:val="center"/>
                </w:tcPr>
                <w:p>
                  <w:pPr>
                    <w:pStyle w:val="23"/>
                    <w:bidi w:val="0"/>
                    <w:rPr>
                      <w:color w:val="auto"/>
                    </w:rPr>
                  </w:pPr>
                  <w:r>
                    <w:rPr>
                      <w:color w:val="auto"/>
                    </w:rPr>
                    <w:t>企业</w:t>
                  </w:r>
                  <w:r>
                    <w:rPr>
                      <w:rFonts w:hint="eastAsia"/>
                      <w:color w:val="auto"/>
                    </w:rPr>
                    <w:t>及周边</w:t>
                  </w:r>
                  <w:r>
                    <w:rPr>
                      <w:color w:val="auto"/>
                    </w:rPr>
                    <w:t>职工</w:t>
                  </w:r>
                  <w:r>
                    <w:rPr>
                      <w:rFonts w:hint="eastAsia"/>
                      <w:color w:val="auto"/>
                    </w:rPr>
                    <w:t>、周边居民</w:t>
                  </w:r>
                </w:p>
              </w:tc>
            </w:tr>
            <w:tr>
              <w:trPr>
                <w:trHeight w:val="670"/>
              </w:trPr>
              <w:tc>
                <w:tcPr>
                  <w:tcW w:w="345" w:type="pct"/>
                  <w:vAlign w:val="center"/>
                </w:tcPr>
                <w:p>
                  <w:pPr>
                    <w:pStyle w:val="23"/>
                    <w:bidi w:val="0"/>
                    <w:rPr>
                      <w:rFonts w:eastAsia="宋体" w:hint="eastAsia"/>
                      <w:color w:val="auto"/>
                      <w:lang w:val="en-US" w:eastAsia="zh-CN"/>
                    </w:rPr>
                  </w:pPr>
                  <w:r>
                    <w:rPr>
                      <w:rFonts w:hint="eastAsia"/>
                      <w:color w:val="auto"/>
                      <w:lang w:val="en-US" w:eastAsia="zh-CN"/>
                    </w:rPr>
                    <w:t>2</w:t>
                  </w:r>
                </w:p>
              </w:tc>
              <w:tc>
                <w:tcPr>
                  <w:tcW w:w="392"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锅炉房</w:t>
                  </w:r>
                </w:p>
              </w:tc>
              <w:tc>
                <w:tcPr>
                  <w:tcW w:w="650" w:type="pct"/>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天然气管道</w:t>
                  </w:r>
                </w:p>
              </w:tc>
              <w:tc>
                <w:tcPr>
                  <w:tcW w:w="1075" w:type="pct"/>
                  <w:tcBorders>
                    <w:left w:val="single" w:sz="4" w:space="0" w:color="auto"/>
                  </w:tcBorders>
                  <w:vAlign w:val="center"/>
                </w:tcPr>
                <w:p>
                  <w:pPr>
                    <w:pStyle w:val="23"/>
                    <w:bidi w:val="0"/>
                    <w:rPr>
                      <w:color w:val="auto"/>
                      <w:lang w:val="en-US" w:eastAsia="zh-CN"/>
                    </w:rPr>
                  </w:pPr>
                  <w:r>
                    <w:rPr>
                      <w:rFonts w:hint="eastAsia"/>
                      <w:color w:val="auto"/>
                      <w:lang w:val="en-US" w:eastAsia="zh-CN"/>
                    </w:rPr>
                    <w:t>天然气</w:t>
                  </w:r>
                </w:p>
              </w:tc>
              <w:tc>
                <w:tcPr>
                  <w:tcW w:w="894" w:type="pct"/>
                  <w:tcBorders>
                    <w:left w:val="single" w:sz="4" w:space="0" w:color="auto"/>
                  </w:tcBorders>
                  <w:vAlign w:val="center"/>
                </w:tcPr>
                <w:p>
                  <w:pPr>
                    <w:pStyle w:val="23"/>
                    <w:bidi w:val="0"/>
                    <w:rPr>
                      <w:color w:val="auto"/>
                    </w:rPr>
                  </w:pPr>
                  <w:r>
                    <w:rPr>
                      <w:rFonts w:hint="eastAsia"/>
                      <w:color w:val="auto"/>
                      <w:lang w:val="en-US" w:eastAsia="zh-CN"/>
                    </w:rPr>
                    <w:t>天然气泄漏</w:t>
                  </w:r>
                  <w:r>
                    <w:rPr>
                      <w:rFonts w:hint="eastAsia"/>
                      <w:color w:val="auto"/>
                    </w:rPr>
                    <w:t>、火灾</w:t>
                  </w:r>
                </w:p>
              </w:tc>
              <w:tc>
                <w:tcPr>
                  <w:tcW w:w="732" w:type="pct"/>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大气、</w:t>
                  </w:r>
                  <w:r>
                    <w:rPr>
                      <w:rFonts w:hint="eastAsia"/>
                      <w:color w:val="auto"/>
                    </w:rPr>
                    <w:t>水、土壤</w:t>
                  </w:r>
                </w:p>
              </w:tc>
              <w:tc>
                <w:tcPr>
                  <w:tcW w:w="909" w:type="pct"/>
                  <w:vMerge/>
                  <w:tcBorders>
                    <w:left w:val="single" w:sz="4" w:space="0" w:color="auto"/>
                  </w:tcBorders>
                  <w:vAlign w:val="center"/>
                </w:tcPr>
                <w:p/>
              </w:tc>
            </w:tr>
          </w:tbl>
          <w:p>
            <w:pPr>
              <w:tabs>
                <w:tab w:val="left" w:pos="5040"/>
              </w:tabs>
              <w:spacing w:line="360" w:lineRule="auto"/>
              <w:ind w:firstLineChars="200" w:firstLine="480"/>
              <w:rPr>
                <w:color w:val="auto"/>
                <w:sz w:val="24"/>
              </w:rPr>
            </w:pPr>
            <w:r>
              <w:rPr>
                <w:color w:val="auto"/>
                <w:sz w:val="24"/>
              </w:rPr>
              <w:t>（</w:t>
            </w:r>
            <w:r>
              <w:rPr>
                <w:rFonts w:hint="eastAsia"/>
                <w:color w:val="auto"/>
                <w:sz w:val="24"/>
                <w:lang w:val="en-US" w:eastAsia="zh-CN"/>
              </w:rPr>
              <w:t>3</w:t>
            </w:r>
            <w:r>
              <w:rPr>
                <w:color w:val="auto"/>
                <w:sz w:val="24"/>
              </w:rPr>
              <w:t>）环境风险分析</w:t>
            </w:r>
          </w:p>
          <w:p>
            <w:pPr>
              <w:tabs>
                <w:tab w:val="left" w:pos="5040"/>
              </w:tabs>
              <w:spacing w:line="360" w:lineRule="auto"/>
              <w:ind w:firstLineChars="200" w:firstLine="480"/>
              <w:rPr>
                <w:color w:val="auto"/>
                <w:sz w:val="24"/>
              </w:rPr>
            </w:pPr>
            <w:r>
              <w:rPr>
                <w:rFonts w:hint="eastAsia"/>
                <w:color w:val="auto"/>
                <w:sz w:val="24"/>
              </w:rPr>
              <w:t>天然气发生泄漏排放的甲烷对项目区域大气环境造成污染；</w:t>
            </w:r>
          </w:p>
          <w:p>
            <w:pPr>
              <w:tabs>
                <w:tab w:val="left" w:pos="5040"/>
              </w:tabs>
              <w:spacing w:line="360" w:lineRule="auto"/>
              <w:ind w:firstLineChars="200" w:firstLine="480"/>
              <w:rPr>
                <w:color w:val="auto"/>
                <w:sz w:val="24"/>
              </w:rPr>
            </w:pPr>
            <w:r>
              <w:rPr>
                <w:rFonts w:hint="eastAsia"/>
                <w:color w:val="auto"/>
                <w:sz w:val="24"/>
              </w:rPr>
              <w:t>危险废物发生泄漏事件，对周边</w:t>
            </w:r>
            <w:r>
              <w:rPr>
                <w:rFonts w:hint="eastAsia"/>
                <w:color w:val="auto"/>
                <w:sz w:val="24"/>
                <w:lang w:val="en-US" w:eastAsia="zh-CN"/>
              </w:rPr>
              <w:t>大气、</w:t>
            </w:r>
            <w:r>
              <w:rPr>
                <w:rFonts w:hint="eastAsia"/>
                <w:color w:val="auto"/>
                <w:sz w:val="24"/>
              </w:rPr>
              <w:t>水体、土壤及地下水造成污染；</w:t>
            </w:r>
          </w:p>
          <w:p>
            <w:pPr>
              <w:tabs>
                <w:tab w:val="left" w:pos="5040"/>
              </w:tabs>
              <w:spacing w:line="360" w:lineRule="auto"/>
              <w:ind w:firstLineChars="200" w:firstLine="480"/>
              <w:rPr>
                <w:rFonts w:ascii="宋体" w:cs="宋体" w:hAnsi="宋体"/>
                <w:bCs/>
                <w:color w:val="auto"/>
                <w:sz w:val="24"/>
              </w:rPr>
            </w:pPr>
            <w:r>
              <w:rPr>
                <w:color w:val="auto"/>
                <w:sz w:val="24"/>
              </w:rPr>
              <w:t>（</w:t>
            </w:r>
            <w:r>
              <w:rPr>
                <w:rFonts w:hint="eastAsia"/>
                <w:color w:val="auto"/>
                <w:sz w:val="24"/>
                <w:lang w:val="en-US" w:eastAsia="zh-CN"/>
              </w:rPr>
              <w:t>4</w:t>
            </w:r>
            <w:r>
              <w:rPr>
                <w:color w:val="auto"/>
                <w:sz w:val="24"/>
              </w:rPr>
              <w:t>）环境风险</w:t>
            </w:r>
            <w:r>
              <w:rPr>
                <w:rFonts w:hint="eastAsia"/>
                <w:color w:val="auto"/>
                <w:sz w:val="24"/>
              </w:rPr>
              <w:t>防范</w:t>
            </w:r>
            <w:r>
              <w:rPr>
                <w:color w:val="auto"/>
                <w:sz w:val="24"/>
              </w:rPr>
              <w:t>措施</w:t>
            </w:r>
            <w:bookmarkStart w:id="4" w:name="_Toc181784344"/>
            <w:bookmarkStart w:id="5" w:name="_Toc290721474"/>
            <w:bookmarkStart w:id="6" w:name="_Toc183922775"/>
          </w:p>
          <w:p>
            <w:pPr>
              <w:spacing w:line="360" w:lineRule="auto"/>
              <w:ind w:firstLineChars="200" w:firstLine="480"/>
              <w:rPr>
                <w:rFonts w:ascii="宋体" w:cs="宋体" w:hAnsi="宋体"/>
                <w:bCs/>
                <w:color w:val="auto"/>
                <w:sz w:val="24"/>
              </w:rPr>
            </w:pPr>
            <w:r>
              <w:rPr>
                <w:rFonts w:ascii="宋体" w:cs="宋体" w:hAnsi="宋体" w:hint="eastAsia"/>
                <w:bCs/>
                <w:color w:val="auto"/>
                <w:sz w:val="24"/>
              </w:rPr>
              <w:t>为使环境风险减小到最低限度，必须加强劳动安全卫生管理，制定完善、有效的安全防范措施，尽可能降低拟建工程环境风险事故发生的概率。</w:t>
            </w:r>
          </w:p>
          <w:p>
            <w:pPr>
              <w:spacing w:line="360" w:lineRule="auto"/>
              <w:ind w:firstLineChars="200" w:firstLine="480"/>
              <w:rPr>
                <w:rFonts w:eastAsia="宋体" w:hint="eastAsia"/>
                <w:bCs/>
                <w:color w:val="auto"/>
                <w:sz w:val="24"/>
                <w:lang w:eastAsia="zh-CN"/>
              </w:rPr>
            </w:pPr>
            <w:r>
              <w:rPr>
                <w:bCs/>
                <w:color w:val="auto"/>
                <w:sz w:val="24"/>
              </w:rPr>
              <w:t>①事故发现应急处理措施</w:t>
            </w:r>
          </w:p>
          <w:p>
            <w:pPr>
              <w:spacing w:line="360" w:lineRule="auto"/>
              <w:ind w:firstLineChars="200" w:firstLine="480"/>
              <w:rPr>
                <w:bCs/>
                <w:color w:val="auto"/>
                <w:sz w:val="24"/>
              </w:rPr>
            </w:pPr>
            <w:r>
              <w:rPr>
                <w:bCs/>
                <w:color w:val="auto"/>
                <w:sz w:val="24"/>
              </w:rPr>
              <w:t>现场操作人员巡回检查时发现</w:t>
            </w:r>
            <w:r>
              <w:rPr>
                <w:rFonts w:hint="eastAsia"/>
                <w:bCs/>
                <w:color w:val="auto"/>
                <w:sz w:val="24"/>
                <w:lang w:eastAsia="zh-CN"/>
              </w:rPr>
              <w:t>泄漏</w:t>
            </w:r>
            <w:r>
              <w:rPr>
                <w:bCs/>
                <w:color w:val="auto"/>
                <w:sz w:val="24"/>
              </w:rPr>
              <w:t>时，应初步判断泄漏（散落）位置、泄漏（散落）设备或管道、泄漏（散落）量、危险性等情况。</w:t>
            </w:r>
          </w:p>
          <w:p>
            <w:pPr>
              <w:spacing w:line="360" w:lineRule="auto"/>
              <w:ind w:firstLineChars="200" w:firstLine="480"/>
              <w:rPr>
                <w:bCs/>
                <w:color w:val="auto"/>
                <w:sz w:val="24"/>
              </w:rPr>
            </w:pPr>
            <w:r>
              <w:rPr>
                <w:bCs/>
                <w:color w:val="auto"/>
                <w:sz w:val="24"/>
              </w:rPr>
              <w:t>容器破裂发生泄漏，采取以下应急处理措施：1）隔离泄漏污染区，限制出入，现场禁带火种；2）对破损的</w:t>
            </w:r>
            <w:r>
              <w:rPr>
                <w:rFonts w:hint="eastAsia"/>
                <w:bCs/>
                <w:color w:val="auto"/>
                <w:sz w:val="24"/>
                <w:lang w:val="en-US" w:eastAsia="zh-CN"/>
              </w:rPr>
              <w:t>危险废物容器</w:t>
            </w:r>
            <w:r>
              <w:rPr>
                <w:bCs/>
                <w:color w:val="auto"/>
                <w:sz w:val="24"/>
              </w:rPr>
              <w:t>进行止漏处理，同时对泄漏的</w:t>
            </w:r>
            <w:r>
              <w:rPr>
                <w:rFonts w:hint="eastAsia"/>
                <w:bCs/>
                <w:color w:val="auto"/>
                <w:sz w:val="24"/>
                <w:lang w:val="en-US" w:eastAsia="zh-CN"/>
              </w:rPr>
              <w:t>危险废物</w:t>
            </w:r>
            <w:r>
              <w:rPr>
                <w:bCs/>
                <w:color w:val="auto"/>
                <w:sz w:val="24"/>
              </w:rPr>
              <w:t>收集至容器内；3）不能收集的用消防砂进行现场掩埋覆盖吸附，然后移入存放器具内；4）及时将未泄漏的周边</w:t>
            </w:r>
            <w:r>
              <w:rPr>
                <w:rFonts w:hint="eastAsia"/>
                <w:bCs/>
                <w:color w:val="auto"/>
                <w:sz w:val="24"/>
                <w:lang w:val="en-US" w:eastAsia="zh-CN"/>
              </w:rPr>
              <w:t>物品</w:t>
            </w:r>
            <w:r>
              <w:rPr>
                <w:bCs/>
                <w:color w:val="auto"/>
                <w:sz w:val="24"/>
              </w:rPr>
              <w:t>转</w:t>
            </w:r>
            <w:r>
              <w:rPr>
                <w:rFonts w:hint="eastAsia"/>
                <w:bCs/>
                <w:color w:val="auto"/>
                <w:sz w:val="24"/>
                <w:lang w:eastAsia="zh-CN"/>
              </w:rPr>
              <w:t>移至</w:t>
            </w:r>
            <w:r>
              <w:rPr>
                <w:bCs/>
                <w:color w:val="auto"/>
                <w:sz w:val="24"/>
              </w:rPr>
              <w:t>安全地带，以防污染扩大。</w:t>
            </w:r>
          </w:p>
          <w:p>
            <w:pPr>
              <w:spacing w:line="360" w:lineRule="auto"/>
              <w:ind w:firstLineChars="200" w:firstLine="480"/>
              <w:rPr>
                <w:bCs/>
                <w:color w:val="auto"/>
                <w:sz w:val="24"/>
              </w:rPr>
            </w:pPr>
            <w:bookmarkEnd w:id="4"/>
            <w:bookmarkEnd w:id="5"/>
            <w:bookmarkEnd w:id="6"/>
            <w:r>
              <w:rPr>
                <w:rFonts w:ascii="宋体" w:cs="宋体" w:hAnsi="宋体" w:hint="eastAsia"/>
                <w:bCs/>
                <w:color w:val="auto"/>
                <w:sz w:val="24"/>
              </w:rPr>
              <w:t>②</w:t>
            </w:r>
            <w:r>
              <w:rPr>
                <w:bCs/>
                <w:color w:val="auto"/>
                <w:sz w:val="24"/>
              </w:rPr>
              <w:t>危废间防范措施</w:t>
            </w:r>
          </w:p>
          <w:p>
            <w:pPr>
              <w:spacing w:line="360" w:lineRule="auto"/>
              <w:ind w:firstLineChars="200" w:firstLine="480"/>
              <w:rPr>
                <w:color w:val="auto"/>
                <w:sz w:val="24"/>
              </w:rPr>
            </w:pPr>
            <w:r>
              <w:rPr>
                <w:bCs/>
                <w:color w:val="auto"/>
                <w:sz w:val="24"/>
              </w:rPr>
              <w:t>a项目产生的危险废物使用密闭桶盛装，暂存于危废间指定区域内，周</w:t>
            </w:r>
            <w:r>
              <w:rPr>
                <w:color w:val="auto"/>
                <w:sz w:val="24"/>
              </w:rPr>
              <w:t>围做围堰，危废间地面做好防渗，四周设0.1m以上溢流围堰，防渗要求保证渗透系数小于1×10</w:t>
            </w:r>
            <w:r>
              <w:rPr>
                <w:rFonts w:hint="eastAsia"/>
                <w:color w:val="auto"/>
                <w:sz w:val="24"/>
                <w:vertAlign w:val="superscript"/>
                <w:lang w:val="en-US" w:eastAsia="zh-CN"/>
              </w:rPr>
              <w:t>-</w:t>
            </w:r>
            <w:r>
              <w:rPr>
                <w:color w:val="auto"/>
                <w:sz w:val="24"/>
                <w:vertAlign w:val="superscript"/>
              </w:rPr>
              <w:t>10</w:t>
            </w:r>
            <w:r>
              <w:rPr>
                <w:color w:val="auto"/>
                <w:sz w:val="24"/>
              </w:rPr>
              <w:t>cm/s。</w:t>
            </w:r>
          </w:p>
          <w:p>
            <w:pPr>
              <w:spacing w:line="360" w:lineRule="auto"/>
              <w:ind w:firstLineChars="200" w:firstLine="480"/>
              <w:rPr>
                <w:color w:val="auto"/>
                <w:sz w:val="24"/>
              </w:rPr>
            </w:pPr>
            <w:r>
              <w:rPr>
                <w:color w:val="auto"/>
                <w:sz w:val="24"/>
              </w:rPr>
              <w:t>b危废间必须由专人管理，双人双锁，其他人未经允许不得进入库内。</w:t>
            </w:r>
          </w:p>
          <w:p>
            <w:pPr>
              <w:spacing w:line="360" w:lineRule="auto"/>
              <w:ind w:firstLineChars="200" w:firstLine="480"/>
              <w:rPr>
                <w:color w:val="auto"/>
                <w:sz w:val="24"/>
              </w:rPr>
            </w:pPr>
            <w:r>
              <w:rPr>
                <w:color w:val="auto"/>
                <w:sz w:val="24"/>
              </w:rPr>
              <w:t>C危险废物贮存方式要符合国家对安全、消防的标准要求，设置明显的安全警示标志。</w:t>
            </w:r>
          </w:p>
          <w:p>
            <w:pPr>
              <w:spacing w:line="360" w:lineRule="auto"/>
              <w:ind w:firstLineChars="200" w:firstLine="480"/>
              <w:rPr>
                <w:color w:val="auto"/>
                <w:sz w:val="24"/>
              </w:rPr>
            </w:pPr>
            <w:r>
              <w:rPr>
                <w:color w:val="auto"/>
                <w:sz w:val="24"/>
              </w:rPr>
              <w:t>d准备相应的消防应急物资，砂土、灭火器、消防栓等配备齐全。</w:t>
            </w:r>
          </w:p>
          <w:p>
            <w:pPr>
              <w:spacing w:line="360" w:lineRule="auto"/>
              <w:ind w:firstLineChars="200" w:firstLine="480"/>
              <w:rPr>
                <w:color w:val="auto"/>
                <w:sz w:val="24"/>
              </w:rPr>
            </w:pPr>
            <w:r>
              <w:rPr>
                <w:color w:val="auto"/>
                <w:sz w:val="24"/>
              </w:rPr>
              <w:t>e安排专人对环保设施和生产设施进行日常维护，如发现问题及时上报维修，必要时要停产检修，确保污染物达标排放。</w:t>
            </w:r>
          </w:p>
          <w:p>
            <w:pPr>
              <w:spacing w:line="360" w:lineRule="auto"/>
              <w:ind w:firstLineChars="200" w:firstLine="480"/>
              <w:rPr>
                <w:color w:val="auto"/>
                <w:sz w:val="24"/>
              </w:rPr>
            </w:pPr>
            <w:r>
              <w:rPr>
                <w:rFonts w:hint="eastAsia"/>
                <w:color w:val="auto"/>
                <w:sz w:val="24"/>
                <w:lang w:val="en-US" w:eastAsia="zh-CN"/>
              </w:rPr>
              <w:t>③</w:t>
            </w:r>
            <w:r>
              <w:rPr>
                <w:rFonts w:hint="eastAsia"/>
                <w:color w:val="auto"/>
                <w:sz w:val="24"/>
              </w:rPr>
              <w:t>天然气管道防范措施</w:t>
            </w:r>
          </w:p>
          <w:p>
            <w:pPr>
              <w:spacing w:line="360" w:lineRule="auto"/>
              <w:ind w:firstLineChars="200" w:firstLine="480"/>
              <w:rPr>
                <w:color w:val="auto"/>
                <w:sz w:val="24"/>
              </w:rPr>
            </w:pPr>
            <w:r>
              <w:rPr>
                <w:rFonts w:hint="eastAsia"/>
                <w:color w:val="auto"/>
                <w:sz w:val="24"/>
              </w:rPr>
              <w:t>1）加强设备维护保养，所有管道、阀门等连接部位都应连接牢固，做到严密、不渗、不漏；2）地面设置非燃烧材料的灭火器材；3）提高操作管理水平，严禁明火，操作、维修人员进行培训，避免操作失误引发的事故。</w:t>
            </w:r>
          </w:p>
          <w:p>
            <w:pPr>
              <w:spacing w:line="360" w:lineRule="auto"/>
              <w:ind w:firstLineChars="200" w:firstLine="480"/>
              <w:rPr>
                <w:bCs/>
                <w:color w:val="auto"/>
                <w:sz w:val="24"/>
              </w:rPr>
            </w:pPr>
            <w:r>
              <w:rPr>
                <w:rFonts w:hint="eastAsia"/>
                <w:bCs/>
                <w:color w:val="auto"/>
                <w:sz w:val="24"/>
              </w:rPr>
              <w:t>（</w:t>
            </w:r>
            <w:r>
              <w:rPr>
                <w:rFonts w:hint="eastAsia"/>
                <w:bCs/>
                <w:color w:val="auto"/>
                <w:sz w:val="24"/>
                <w:lang w:val="en-US" w:eastAsia="zh-CN"/>
              </w:rPr>
              <w:t>5</w:t>
            </w:r>
            <w:r>
              <w:rPr>
                <w:rFonts w:hint="eastAsia"/>
                <w:bCs/>
                <w:color w:val="auto"/>
                <w:sz w:val="24"/>
              </w:rPr>
              <w:t>）环境风险应急预案</w:t>
            </w:r>
          </w:p>
          <w:p>
            <w:pPr>
              <w:spacing w:line="360" w:lineRule="auto"/>
              <w:ind w:firstLineChars="200" w:firstLine="480"/>
              <w:rPr>
                <w:color w:val="auto"/>
                <w:sz w:val="24"/>
              </w:rPr>
            </w:pPr>
            <w:r>
              <w:rPr>
                <w:color w:val="auto"/>
                <w:sz w:val="24"/>
              </w:rPr>
              <w:t>事故应急预案是在发生事故后，按照预先</w:t>
            </w:r>
            <w:r>
              <w:rPr>
                <w:rFonts w:hint="eastAsia"/>
                <w:color w:val="auto"/>
                <w:sz w:val="24"/>
                <w:lang w:eastAsia="zh-CN"/>
              </w:rPr>
              <w:t>制定</w:t>
            </w:r>
            <w:r>
              <w:rPr>
                <w:color w:val="auto"/>
                <w:sz w:val="24"/>
              </w:rPr>
              <w:t>的方案</w:t>
            </w:r>
            <w:r>
              <w:rPr>
                <w:rFonts w:hint="eastAsia"/>
                <w:color w:val="auto"/>
                <w:sz w:val="24"/>
                <w:lang w:eastAsia="zh-CN"/>
              </w:rPr>
              <w:t>采取</w:t>
            </w:r>
            <w:r>
              <w:rPr>
                <w:color w:val="auto"/>
                <w:sz w:val="24"/>
              </w:rPr>
              <w:t>一系列的措施，将事故的损失降低</w:t>
            </w:r>
            <w:r>
              <w:rPr>
                <w:rFonts w:hint="eastAsia"/>
                <w:color w:val="auto"/>
                <w:sz w:val="24"/>
                <w:lang w:eastAsia="zh-CN"/>
              </w:rPr>
              <w:t>到最低程度</w:t>
            </w:r>
            <w:r>
              <w:rPr>
                <w:color w:val="auto"/>
                <w:sz w:val="24"/>
              </w:rPr>
              <w:t>。本</w:t>
            </w:r>
            <w:r>
              <w:rPr>
                <w:rFonts w:hint="eastAsia"/>
                <w:color w:val="auto"/>
                <w:sz w:val="24"/>
                <w:lang w:val="en-US" w:eastAsia="zh-CN"/>
              </w:rPr>
              <w:t>项目</w:t>
            </w:r>
            <w:r>
              <w:rPr>
                <w:color w:val="auto"/>
                <w:sz w:val="24"/>
              </w:rPr>
              <w:t>应急预案重点如下：</w:t>
            </w:r>
          </w:p>
          <w:p>
            <w:pPr>
              <w:spacing w:line="360" w:lineRule="auto"/>
              <w:ind w:firstLineChars="200" w:firstLine="480"/>
              <w:rPr>
                <w:color w:val="auto"/>
                <w:sz w:val="24"/>
              </w:rPr>
            </w:pPr>
            <w:r>
              <w:rPr>
                <w:color w:val="auto"/>
                <w:sz w:val="24"/>
              </w:rPr>
              <w:t>A</w:t>
            </w:r>
            <w:r>
              <w:rPr>
                <w:rFonts w:hint="eastAsia"/>
                <w:color w:val="auto"/>
                <w:sz w:val="24"/>
                <w:lang w:eastAsia="zh-CN"/>
              </w:rPr>
              <w:t>.</w:t>
            </w:r>
            <w:r>
              <w:rPr>
                <w:color w:val="auto"/>
                <w:sz w:val="24"/>
              </w:rPr>
              <w:t>必须制定应急计划、方案和程序</w:t>
            </w:r>
          </w:p>
          <w:p>
            <w:pPr>
              <w:spacing w:line="360" w:lineRule="auto"/>
              <w:ind w:firstLineChars="200" w:firstLine="480"/>
              <w:rPr>
                <w:color w:val="auto"/>
                <w:sz w:val="24"/>
              </w:rPr>
            </w:pPr>
            <w:r>
              <w:rPr>
                <w:color w:val="auto"/>
                <w:sz w:val="24"/>
              </w:rPr>
              <w:t>为了使突发事故发生后能有条不紊的处理事故，在工程投产之前就应制定好事故应急计划和方案，以备在发生事故后有备无患。</w:t>
            </w:r>
          </w:p>
          <w:p>
            <w:pPr>
              <w:spacing w:line="360" w:lineRule="auto"/>
              <w:ind w:firstLineChars="200" w:firstLine="480"/>
              <w:rPr>
                <w:color w:val="auto"/>
                <w:sz w:val="24"/>
              </w:rPr>
            </w:pPr>
            <w:r>
              <w:rPr>
                <w:color w:val="auto"/>
                <w:sz w:val="24"/>
              </w:rPr>
              <w:t>B</w:t>
            </w:r>
            <w:r>
              <w:rPr>
                <w:rFonts w:hint="eastAsia"/>
                <w:color w:val="auto"/>
                <w:sz w:val="24"/>
                <w:lang w:eastAsia="zh-CN"/>
              </w:rPr>
              <w:t>.</w:t>
            </w:r>
            <w:r>
              <w:rPr>
                <w:color w:val="auto"/>
                <w:sz w:val="24"/>
              </w:rPr>
              <w:t>成立重大事故</w:t>
            </w:r>
            <w:r>
              <w:rPr>
                <w:rFonts w:hint="eastAsia"/>
                <w:color w:val="auto"/>
                <w:sz w:val="24"/>
                <w:lang w:eastAsia="zh-CN"/>
              </w:rPr>
              <w:t>应急救援</w:t>
            </w:r>
            <w:r>
              <w:rPr>
                <w:color w:val="auto"/>
                <w:sz w:val="24"/>
              </w:rPr>
              <w:t>小组</w:t>
            </w:r>
          </w:p>
          <w:p>
            <w:pPr>
              <w:spacing w:line="360" w:lineRule="auto"/>
              <w:ind w:firstLineChars="200" w:firstLine="480"/>
              <w:rPr>
                <w:color w:val="auto"/>
                <w:sz w:val="24"/>
              </w:rPr>
            </w:pPr>
            <w:r>
              <w:rPr>
                <w:color w:val="auto"/>
                <w:sz w:val="24"/>
              </w:rPr>
              <w:t>成立由厂长、分管厂长及生产、安全、环保、保卫等部门组成的重大事故应急救援小组，一旦发生事故，救援小组便及时</w:t>
            </w:r>
            <w:r>
              <w:rPr>
                <w:rFonts w:hint="eastAsia"/>
                <w:color w:val="auto"/>
                <w:sz w:val="24"/>
                <w:lang w:eastAsia="zh-CN"/>
              </w:rPr>
              <w:t>履</w:t>
            </w:r>
            <w:r>
              <w:rPr>
                <w:color w:val="auto"/>
                <w:sz w:val="24"/>
              </w:rPr>
              <w:t>行其相应的职责，处理事故。</w:t>
            </w:r>
          </w:p>
          <w:p>
            <w:pPr>
              <w:spacing w:line="360" w:lineRule="auto"/>
              <w:ind w:firstLineChars="200" w:firstLine="480"/>
              <w:rPr>
                <w:color w:val="auto"/>
                <w:sz w:val="24"/>
              </w:rPr>
            </w:pPr>
            <w:r>
              <w:rPr>
                <w:color w:val="auto"/>
                <w:sz w:val="24"/>
              </w:rPr>
              <w:t>C</w:t>
            </w:r>
            <w:r>
              <w:rPr>
                <w:rFonts w:hint="eastAsia"/>
                <w:color w:val="auto"/>
                <w:sz w:val="24"/>
                <w:lang w:eastAsia="zh-CN"/>
              </w:rPr>
              <w:t>.</w:t>
            </w:r>
            <w:r>
              <w:rPr>
                <w:color w:val="auto"/>
                <w:sz w:val="24"/>
              </w:rPr>
              <w:t>事故发生后应采取紧急隔离和疏散措施</w:t>
            </w:r>
          </w:p>
          <w:p>
            <w:pPr>
              <w:spacing w:line="360" w:lineRule="auto"/>
              <w:ind w:firstLineChars="200" w:firstLine="480"/>
              <w:rPr>
                <w:color w:val="auto"/>
                <w:sz w:val="24"/>
              </w:rPr>
            </w:pPr>
            <w:r>
              <w:rPr>
                <w:color w:val="auto"/>
                <w:sz w:val="24"/>
              </w:rPr>
              <w:t>一旦发生突发事故，应及时发出警报，并在救援小组的领导下，紧急隔离危险物品，切断电源，疏散人群，抢救受害人员。</w:t>
            </w:r>
          </w:p>
          <w:p>
            <w:pPr>
              <w:spacing w:line="360" w:lineRule="auto"/>
              <w:ind w:firstLineChars="200" w:firstLine="480"/>
              <w:rPr>
                <w:color w:val="auto"/>
                <w:sz w:val="24"/>
              </w:rPr>
            </w:pPr>
            <w:r>
              <w:rPr>
                <w:color w:val="auto"/>
                <w:sz w:val="24"/>
              </w:rPr>
              <w:t>（</w:t>
            </w:r>
            <w:r>
              <w:rPr>
                <w:rFonts w:hint="eastAsia"/>
                <w:color w:val="auto"/>
                <w:sz w:val="24"/>
                <w:lang w:val="en-US" w:eastAsia="zh-CN"/>
              </w:rPr>
              <w:t>6</w:t>
            </w:r>
            <w:r>
              <w:rPr>
                <w:color w:val="auto"/>
                <w:sz w:val="24"/>
              </w:rPr>
              <w:t>）突发环境事件应急预案</w:t>
            </w:r>
          </w:p>
          <w:p>
            <w:pPr>
              <w:spacing w:line="360" w:lineRule="auto"/>
              <w:ind w:firstLineChars="200" w:firstLine="480"/>
              <w:rPr>
                <w:color w:val="auto"/>
                <w:sz w:val="24"/>
              </w:rPr>
            </w:pPr>
            <w:r>
              <w:rPr>
                <w:color w:val="auto"/>
                <w:sz w:val="24"/>
              </w:rPr>
              <w:t>制定应急预案的</w:t>
            </w:r>
            <w:r>
              <w:rPr>
                <w:rFonts w:hint="eastAsia"/>
                <w:color w:val="auto"/>
                <w:sz w:val="24"/>
                <w:lang w:eastAsia="zh-CN"/>
              </w:rPr>
              <w:t>目的是</w:t>
            </w:r>
            <w:r>
              <w:rPr>
                <w:color w:val="auto"/>
                <w:sz w:val="24"/>
              </w:rPr>
              <w:t>在发生风险事故时，能以最快的速度发挥最大的效能，有序的实施救援，尽快控制事态的发展，降低事故造成的危害，减少事故造成的损失。</w:t>
            </w:r>
          </w:p>
          <w:p>
            <w:pPr>
              <w:spacing w:line="360" w:lineRule="auto"/>
              <w:ind w:firstLineChars="200" w:firstLine="480"/>
              <w:rPr>
                <w:color w:val="auto"/>
                <w:sz w:val="24"/>
              </w:rPr>
            </w:pPr>
            <w:r>
              <w:rPr>
                <w:rFonts w:hint="eastAsia"/>
                <w:color w:val="auto"/>
                <w:sz w:val="24"/>
                <w:szCs w:val="32"/>
              </w:rPr>
              <w:t>本项目</w:t>
            </w:r>
            <w:r>
              <w:rPr>
                <w:color w:val="auto"/>
                <w:sz w:val="24"/>
              </w:rPr>
              <w:t>应依据</w:t>
            </w:r>
            <w:r>
              <w:rPr>
                <w:rFonts w:hint="eastAsia"/>
                <w:color w:val="auto"/>
                <w:sz w:val="24"/>
              </w:rPr>
              <w:t>栾城区</w:t>
            </w:r>
            <w:r>
              <w:rPr>
                <w:color w:val="auto"/>
                <w:sz w:val="24"/>
              </w:rPr>
              <w:t>突发环境事件应急预案，根据《建设项目环境风险评价技术导则》（HJ169-2018）的要求，提出突发环境事故应急预案纲要，供企业及管理部门参考。企业应在安全管理中具体化和完善突发环境事故应急救援预案，并在地方环保管理部门备案。</w:t>
            </w:r>
          </w:p>
          <w:p>
            <w:pPr>
              <w:spacing w:line="360" w:lineRule="auto"/>
              <w:ind w:firstLineChars="200" w:firstLine="480"/>
              <w:rPr>
                <w:color w:val="auto"/>
                <w:sz w:val="24"/>
              </w:rPr>
            </w:pPr>
            <w:r>
              <w:rPr>
                <w:color w:val="auto"/>
                <w:sz w:val="24"/>
              </w:rPr>
              <w:fldChar w:fldCharType="begin"/>
            </w:r>
            <w:r>
              <w:rPr>
                <w:color w:val="auto"/>
                <w:sz w:val="24"/>
              </w:rPr>
              <w:instrText xml:space="preserve"> = 1 \* GB3 \* MERGEFORMAT </w:instrText>
            </w:r>
            <w:r>
              <w:rPr>
                <w:color w:val="auto"/>
                <w:sz w:val="24"/>
              </w:rPr>
              <w:fldChar w:fldCharType="separate"/>
            </w:r>
            <w:r>
              <w:rPr>
                <w:rFonts w:ascii="宋体" w:cs="宋体" w:hAnsi="宋体" w:hint="eastAsia"/>
                <w:color w:val="auto"/>
              </w:rPr>
              <w:t>①</w:t>
            </w:r>
            <w:r>
              <w:rPr>
                <w:color w:val="auto"/>
                <w:sz w:val="24"/>
              </w:rPr>
              <w:fldChar w:fldCharType="end"/>
            </w:r>
            <w:r>
              <w:rPr>
                <w:color w:val="auto"/>
                <w:sz w:val="24"/>
              </w:rPr>
              <w:t>预案编制程序</w:t>
            </w:r>
          </w:p>
          <w:p>
            <w:pPr>
              <w:spacing w:line="360" w:lineRule="auto"/>
              <w:ind w:firstLineChars="200" w:firstLine="480"/>
              <w:rPr>
                <w:color w:val="auto"/>
              </w:rPr>
            </w:pPr>
            <w:r>
              <w:rPr>
                <w:color w:val="auto"/>
                <w:sz w:val="24"/>
              </w:rPr>
              <w:t>突发环境事故应急预案编制程序，见图</w:t>
            </w:r>
            <w:r>
              <w:rPr>
                <w:rFonts w:hint="eastAsia"/>
                <w:color w:val="auto"/>
                <w:sz w:val="24"/>
              </w:rPr>
              <w:t>4-2</w:t>
            </w:r>
            <w:r>
              <w:rPr>
                <w:color w:val="auto"/>
                <w:sz w:val="24"/>
              </w:rPr>
              <w:t>。</w:t>
            </w:r>
          </w:p>
          <w:p>
            <w:pPr>
              <w:spacing w:line="240" w:lineRule="auto"/>
              <w:ind w:left="0" w:right="0" w:firstLineChars="0" w:firstLine="0"/>
              <w:jc w:val="center"/>
              <w:rPr>
                <w:color w:val="auto"/>
                <w:sz w:val="24"/>
              </w:rPr>
            </w:pPr>
            <w:r>
              <w:rPr>
                <w:color w:val="auto"/>
              </w:rPr>
              <w:drawing>
                <wp:inline distT="0" distB="0" distL="114300" distR="114300">
                  <wp:extent cx="4436745" cy="2667000"/>
                  <wp:effectExtent l="0" t="0" r="1" b="1"/>
                  <wp:docPr id="1070" name="图片 4937"/>
                  <wp:cNvGraphicFramePr>
                    <a:graphicFrameLocks noChangeAspect="1"/>
                  </wp:cNvGraphicFramePr>
                  <a:graphic>
                    <a:graphicData uri="http://schemas.openxmlformats.org/drawingml/2006/picture">
                      <pic:pic>
                        <pic:nvPicPr>
                          <pic:cNvPr id="120" name="图片 4937 120"/>
                          <pic:cNvPicPr/>
                        </pic:nvPicPr>
                        <pic:blipFill>
                          <a:blip r:embed="rId54"/>
                          <a:srcRect t="3413" b="3833"/>
                          <a:stretch>
                            <a:fillRect/>
                          </a:stretch>
                        </pic:blipFill>
                        <pic:spPr>
                          <a:xfrm rot="0">
                            <a:off x="0" y="0"/>
                            <a:ext cx="4436745" cy="2667000"/>
                          </a:xfrm>
                          <a:prstGeom prst="rect"/>
                          <a:noFill/>
                          <a:ln cmpd="sng" cap="flat">
                            <a:noFill/>
                            <a:prstDash val="solid"/>
                            <a:round/>
                          </a:ln>
                        </pic:spPr>
                      </pic:pic>
                    </a:graphicData>
                  </a:graphic>
                </wp:inline>
              </w:drawing>
            </w:r>
          </w:p>
          <w:p>
            <w:pPr>
              <w:spacing w:line="240" w:lineRule="auto"/>
              <w:jc w:val="center"/>
              <w:rPr>
                <w:b/>
                <w:color w:val="auto"/>
                <w:sz w:val="24"/>
              </w:rPr>
            </w:pPr>
            <w:r>
              <w:rPr>
                <w:b/>
                <w:color w:val="auto"/>
                <w:sz w:val="24"/>
              </w:rPr>
              <w:t>图</w:t>
            </w:r>
            <w:r>
              <w:rPr>
                <w:rFonts w:hint="eastAsia"/>
                <w:b/>
                <w:color w:val="auto"/>
                <w:sz w:val="24"/>
              </w:rPr>
              <w:t>4-</w:t>
            </w:r>
            <w:r>
              <w:rPr>
                <w:rFonts w:hint="eastAsia"/>
                <w:b/>
                <w:color w:val="auto"/>
                <w:sz w:val="24"/>
                <w:lang w:val="en-US" w:eastAsia="zh-CN"/>
              </w:rPr>
              <w:t>4</w:t>
            </w:r>
            <w:r>
              <w:rPr>
                <w:b/>
                <w:color w:val="auto"/>
                <w:sz w:val="24"/>
              </w:rPr>
              <w:t xml:space="preserve">  </w:t>
            </w:r>
            <w:r>
              <w:rPr>
                <w:rFonts w:hint="eastAsia"/>
                <w:b/>
                <w:color w:val="auto"/>
                <w:sz w:val="24"/>
              </w:rPr>
              <w:t>突发环境事故应急预案编制工作程序图</w:t>
            </w:r>
          </w:p>
          <w:p>
            <w:pPr>
              <w:spacing w:line="360" w:lineRule="auto"/>
              <w:ind w:firstLineChars="200" w:firstLine="480"/>
              <w:rPr>
                <w:color w:val="auto"/>
                <w:sz w:val="24"/>
              </w:rPr>
            </w:pPr>
            <w:r>
              <w:rPr>
                <w:color w:val="auto"/>
                <w:sz w:val="24"/>
              </w:rPr>
              <w:fldChar w:fldCharType="begin"/>
            </w:r>
            <w:r>
              <w:rPr>
                <w:color w:val="auto"/>
                <w:sz w:val="24"/>
              </w:rPr>
              <w:instrText xml:space="preserve"> = 2 \* GB3 \* MERGEFORMAT </w:instrText>
            </w:r>
            <w:r>
              <w:rPr>
                <w:color w:val="auto"/>
                <w:sz w:val="24"/>
              </w:rPr>
              <w:fldChar w:fldCharType="separate"/>
            </w:r>
            <w:r>
              <w:rPr>
                <w:rFonts w:ascii="宋体" w:cs="宋体" w:hAnsi="宋体" w:hint="eastAsia"/>
                <w:color w:val="auto"/>
              </w:rPr>
              <w:t>②</w:t>
            </w:r>
            <w:r>
              <w:rPr>
                <w:color w:val="auto"/>
                <w:sz w:val="24"/>
              </w:rPr>
              <w:fldChar w:fldCharType="end"/>
            </w:r>
            <w:r>
              <w:rPr>
                <w:color w:val="auto"/>
                <w:sz w:val="24"/>
              </w:rPr>
              <w:t>应急救援预案纲要</w:t>
            </w:r>
          </w:p>
          <w:p>
            <w:pPr>
              <w:spacing w:line="360" w:lineRule="auto"/>
              <w:ind w:firstLineChars="200" w:firstLine="480"/>
              <w:rPr>
                <w:color w:val="auto"/>
                <w:sz w:val="24"/>
              </w:rPr>
            </w:pPr>
            <w:r>
              <w:rPr>
                <w:color w:val="auto"/>
                <w:sz w:val="24"/>
              </w:rPr>
              <w:t>考虑事故触发具有不确定性，厂内环境风险防控系统应纳入区域环境风险防控体系，明确风险防控设施、管理的衔接要求。企业应与地方政府有关部门协调一致、统筹考虑，建立协调统一的环境风险应急体系，企业的事故应与开发区、地方政府的事故应急网络联网。当发生事故，根据应急预案分级响应条件、区域联动原则，启动相应的预案分级响应措施，实现厂内与政府环境风险防控设施及管理有效联动，有效防控环境风险。</w:t>
            </w:r>
          </w:p>
          <w:p>
            <w:pPr>
              <w:spacing w:line="360" w:lineRule="auto"/>
              <w:ind w:firstLineChars="200" w:firstLine="480"/>
              <w:rPr>
                <w:color w:val="auto"/>
                <w:sz w:val="24"/>
              </w:rPr>
            </w:pPr>
            <w:r>
              <w:rPr>
                <w:color w:val="auto"/>
                <w:sz w:val="24"/>
              </w:rPr>
              <w:fldChar w:fldCharType="begin"/>
            </w:r>
            <w:r>
              <w:rPr>
                <w:color w:val="auto"/>
                <w:sz w:val="24"/>
              </w:rPr>
              <w:instrText xml:space="preserve"> = 3 \* GB3 \* MERGEFORMAT </w:instrText>
            </w:r>
            <w:r>
              <w:rPr>
                <w:color w:val="auto"/>
                <w:sz w:val="24"/>
              </w:rPr>
              <w:fldChar w:fldCharType="separate"/>
            </w:r>
            <w:r>
              <w:rPr>
                <w:rFonts w:ascii="宋体" w:cs="宋体" w:hAnsi="宋体" w:hint="eastAsia"/>
                <w:color w:val="auto"/>
              </w:rPr>
              <w:t>③</w:t>
            </w:r>
            <w:r>
              <w:rPr>
                <w:color w:val="auto"/>
                <w:sz w:val="24"/>
              </w:rPr>
              <w:fldChar w:fldCharType="end"/>
            </w:r>
            <w:r>
              <w:rPr>
                <w:color w:val="auto"/>
                <w:sz w:val="24"/>
              </w:rPr>
              <w:t>应急预案的主要内容</w:t>
            </w:r>
          </w:p>
          <w:p>
            <w:pPr>
              <w:spacing w:line="360" w:lineRule="auto"/>
              <w:ind w:firstLineChars="200" w:firstLine="480"/>
              <w:rPr>
                <w:color w:val="auto"/>
                <w:sz w:val="24"/>
              </w:rPr>
            </w:pPr>
            <w:r>
              <w:rPr>
                <w:color w:val="auto"/>
                <w:sz w:val="24"/>
              </w:rPr>
              <w:t>环境风险应急预案的编制，重点应考虑以下几个方面：按照国家、地方和相关部门要求，提出企业突发环境事件应急预案编制或完善的原则要求，包括预案适用范围、环境事件分类与分级、组织机构与职责、监控和预警、应急响应、应急保障、善后处置、预案管理与演练等内容。</w:t>
            </w:r>
          </w:p>
          <w:p>
            <w:pPr>
              <w:spacing w:line="360" w:lineRule="auto"/>
              <w:ind w:firstLineChars="200" w:firstLine="480"/>
              <w:rPr>
                <w:color w:val="auto"/>
                <w:sz w:val="24"/>
              </w:rPr>
            </w:pPr>
            <w:r>
              <w:rPr>
                <w:color w:val="auto"/>
                <w:sz w:val="24"/>
              </w:rPr>
              <w:t>同时提供必要的附件：包括内部应急人员的职责、姓名、电话清单，外部联系电话、人员、电话（政府有关部门、救援单位、专家、环境保护目标等），单位所处地理位置、区域位置及周边关系图，本单位及周边区域人员撤离路线，应急设施（备）布置图等。</w:t>
            </w:r>
          </w:p>
          <w:p>
            <w:pPr>
              <w:spacing w:line="360" w:lineRule="auto"/>
              <w:ind w:firstLineChars="200" w:firstLine="480"/>
              <w:rPr>
                <w:color w:val="auto"/>
                <w:sz w:val="24"/>
              </w:rPr>
            </w:pPr>
            <w:r>
              <w:rPr>
                <w:color w:val="auto"/>
                <w:sz w:val="24"/>
              </w:rPr>
              <w:t>具体突发环境事故应急预案编写内容及要求，见表4</w:t>
            </w:r>
            <w:r>
              <w:rPr>
                <w:rFonts w:hint="eastAsia"/>
                <w:color w:val="auto"/>
                <w:sz w:val="24"/>
              </w:rPr>
              <w:t>-2</w:t>
            </w:r>
            <w:r>
              <w:rPr>
                <w:rFonts w:hint="eastAsia"/>
                <w:color w:val="auto"/>
                <w:sz w:val="24"/>
                <w:lang w:val="en-US" w:eastAsia="zh-CN"/>
              </w:rPr>
              <w:t>6</w:t>
            </w:r>
            <w:r>
              <w:rPr>
                <w:color w:val="auto"/>
                <w:sz w:val="24"/>
              </w:rPr>
              <w:t>。</w:t>
            </w:r>
          </w:p>
          <w:p>
            <w:pPr>
              <w:pStyle w:val="24"/>
              <w:bidi w:val="0"/>
              <w:rPr>
                <w:color w:val="auto"/>
              </w:rPr>
            </w:pPr>
            <w:r>
              <w:rPr>
                <w:color w:val="auto"/>
              </w:rPr>
              <w:t>表</w:t>
            </w:r>
            <w:r>
              <w:rPr>
                <w:rFonts w:hint="eastAsia"/>
                <w:color w:val="auto"/>
              </w:rPr>
              <w:t>4-2</w:t>
            </w:r>
            <w:r>
              <w:rPr>
                <w:rFonts w:hint="eastAsia"/>
                <w:color w:val="auto"/>
                <w:lang w:val="en-US" w:eastAsia="zh-CN"/>
              </w:rPr>
              <w:t>6</w:t>
            </w:r>
            <w:r>
              <w:rPr>
                <w:rFonts w:hint="eastAsia"/>
                <w:color w:val="auto"/>
              </w:rPr>
              <w:t xml:space="preserve">   </w:t>
            </w:r>
            <w:r>
              <w:rPr>
                <w:color w:val="auto"/>
              </w:rPr>
              <w:t>企业突发事故应急预案</w:t>
            </w:r>
          </w:p>
          <w:tbl>
            <w:tblPr>
              <w:jc w:val="cente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35"/>
              <w:gridCol w:w="1571"/>
              <w:gridCol w:w="5899"/>
            </w:tblGrid>
            <w:tr>
              <w:tc>
                <w:tcPr>
                  <w:tcW w:w="535" w:type="dxa"/>
                  <w:tcMar>
                    <w:left w:w="0" w:type="dxa"/>
                    <w:right w:w="0" w:type="dxa"/>
                  </w:tcMar>
                  <w:vAlign w:val="center"/>
                </w:tcPr>
                <w:p>
                  <w:pPr>
                    <w:pStyle w:val="23"/>
                    <w:bidi w:val="0"/>
                    <w:rPr>
                      <w:color w:val="auto"/>
                    </w:rPr>
                  </w:pPr>
                  <w:r>
                    <w:rPr>
                      <w:color w:val="auto"/>
                    </w:rPr>
                    <w:t>序号</w:t>
                  </w:r>
                </w:p>
              </w:tc>
              <w:tc>
                <w:tcPr>
                  <w:tcW w:w="1571" w:type="dxa"/>
                  <w:tcMar>
                    <w:left w:w="0" w:type="dxa"/>
                    <w:right w:w="0" w:type="dxa"/>
                  </w:tcMar>
                  <w:vAlign w:val="center"/>
                </w:tcPr>
                <w:p>
                  <w:pPr>
                    <w:pStyle w:val="23"/>
                    <w:bidi w:val="0"/>
                    <w:rPr>
                      <w:color w:val="auto"/>
                    </w:rPr>
                  </w:pPr>
                  <w:r>
                    <w:rPr>
                      <w:color w:val="auto"/>
                    </w:rPr>
                    <w:t>项目</w:t>
                  </w:r>
                </w:p>
              </w:tc>
              <w:tc>
                <w:tcPr>
                  <w:tcW w:w="5899" w:type="dxa"/>
                  <w:tcMar>
                    <w:left w:w="0" w:type="dxa"/>
                    <w:right w:w="0" w:type="dxa"/>
                  </w:tcMar>
                  <w:vAlign w:val="center"/>
                </w:tcPr>
                <w:p>
                  <w:pPr>
                    <w:pStyle w:val="23"/>
                    <w:bidi w:val="0"/>
                    <w:rPr>
                      <w:color w:val="auto"/>
                    </w:rPr>
                  </w:pPr>
                  <w:r>
                    <w:rPr>
                      <w:color w:val="auto"/>
                    </w:rPr>
                    <w:t>内容及要求</w:t>
                  </w:r>
                </w:p>
              </w:tc>
            </w:tr>
            <w:tr>
              <w:tc>
                <w:tcPr>
                  <w:tcW w:w="535" w:type="dxa"/>
                  <w:tcMar>
                    <w:left w:w="0" w:type="dxa"/>
                    <w:right w:w="0" w:type="dxa"/>
                  </w:tcMar>
                  <w:vAlign w:val="center"/>
                </w:tcPr>
                <w:p>
                  <w:pPr>
                    <w:pStyle w:val="23"/>
                    <w:bidi w:val="0"/>
                    <w:rPr>
                      <w:color w:val="auto"/>
                    </w:rPr>
                  </w:pPr>
                  <w:r>
                    <w:rPr>
                      <w:color w:val="auto"/>
                    </w:rPr>
                    <w:t>1</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危险源概况</w:t>
                  </w:r>
                </w:p>
              </w:tc>
              <w:tc>
                <w:tcPr>
                  <w:tcW w:w="5899" w:type="dxa"/>
                  <w:tcBorders>
                    <w:left w:val="single" w:sz="4" w:space="0" w:color="auto"/>
                  </w:tcBorders>
                  <w:tcMar>
                    <w:left w:w="0" w:type="dxa"/>
                    <w:right w:w="0" w:type="dxa"/>
                  </w:tcMar>
                  <w:vAlign w:val="center"/>
                </w:tcPr>
                <w:p>
                  <w:pPr>
                    <w:pStyle w:val="23"/>
                    <w:bidi w:val="0"/>
                    <w:rPr>
                      <w:rFonts w:eastAsia="宋体"/>
                      <w:color w:val="auto"/>
                      <w:lang w:val="en-US" w:eastAsia="zh-CN"/>
                    </w:rPr>
                  </w:pPr>
                  <w:r>
                    <w:rPr>
                      <w:rFonts w:hint="eastAsia"/>
                      <w:color w:val="auto"/>
                      <w:lang w:val="en-US" w:eastAsia="zh-CN"/>
                    </w:rPr>
                    <w:t>危废间暂存的危险废物、存在散落、泄漏或火灾风险；天然气存在泄漏或火灾风险</w:t>
                  </w:r>
                </w:p>
              </w:tc>
            </w:tr>
            <w:tr>
              <w:tc>
                <w:tcPr>
                  <w:tcW w:w="535" w:type="dxa"/>
                  <w:tcMar>
                    <w:left w:w="0" w:type="dxa"/>
                    <w:right w:w="0" w:type="dxa"/>
                  </w:tcMar>
                  <w:vAlign w:val="center"/>
                </w:tcPr>
                <w:p>
                  <w:pPr>
                    <w:pStyle w:val="23"/>
                    <w:bidi w:val="0"/>
                    <w:rPr>
                      <w:color w:val="auto"/>
                    </w:rPr>
                  </w:pPr>
                  <w:r>
                    <w:rPr>
                      <w:color w:val="auto"/>
                    </w:rPr>
                    <w:t>2</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应急计划区</w:t>
                  </w:r>
                </w:p>
              </w:tc>
              <w:tc>
                <w:tcPr>
                  <w:tcW w:w="5899" w:type="dxa"/>
                  <w:tcBorders>
                    <w:left w:val="single" w:sz="4" w:space="0" w:color="auto"/>
                  </w:tcBorders>
                  <w:tcMar>
                    <w:left w:w="0" w:type="dxa"/>
                    <w:right w:w="0" w:type="dxa"/>
                  </w:tcMar>
                  <w:vAlign w:val="center"/>
                </w:tcPr>
                <w:p>
                  <w:pPr>
                    <w:pStyle w:val="23"/>
                    <w:bidi w:val="0"/>
                    <w:rPr>
                      <w:rFonts w:eastAsia="宋体"/>
                      <w:color w:val="auto"/>
                      <w:lang w:val="en-US" w:eastAsia="zh-CN"/>
                    </w:rPr>
                  </w:pPr>
                  <w:r>
                    <w:rPr>
                      <w:color w:val="auto"/>
                    </w:rPr>
                    <w:t>危废间</w:t>
                  </w:r>
                  <w:r>
                    <w:rPr>
                      <w:rFonts w:hint="eastAsia"/>
                      <w:color w:val="auto"/>
                      <w:lang w:eastAsia="zh-CN"/>
                    </w:rPr>
                    <w:t>、</w:t>
                  </w:r>
                  <w:r>
                    <w:rPr>
                      <w:rFonts w:hint="eastAsia"/>
                      <w:color w:val="auto"/>
                      <w:lang w:val="en-US" w:eastAsia="zh-CN"/>
                    </w:rPr>
                    <w:t>锅炉房</w:t>
                  </w:r>
                </w:p>
              </w:tc>
            </w:tr>
            <w:tr>
              <w:tc>
                <w:tcPr>
                  <w:tcW w:w="535" w:type="dxa"/>
                  <w:tcMar>
                    <w:left w:w="0" w:type="dxa"/>
                    <w:right w:w="0" w:type="dxa"/>
                  </w:tcMar>
                  <w:vAlign w:val="center"/>
                </w:tcPr>
                <w:p>
                  <w:pPr>
                    <w:pStyle w:val="23"/>
                    <w:bidi w:val="0"/>
                    <w:rPr>
                      <w:color w:val="auto"/>
                    </w:rPr>
                  </w:pPr>
                  <w:r>
                    <w:rPr>
                      <w:color w:val="auto"/>
                    </w:rPr>
                    <w:t>3</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应急组织</w:t>
                  </w:r>
                </w:p>
              </w:tc>
              <w:tc>
                <w:tcPr>
                  <w:tcW w:w="5899" w:type="dxa"/>
                  <w:tcBorders>
                    <w:left w:val="single" w:sz="4" w:space="0" w:color="auto"/>
                  </w:tcBorders>
                  <w:tcMar>
                    <w:left w:w="0" w:type="dxa"/>
                    <w:right w:w="0" w:type="dxa"/>
                  </w:tcMar>
                  <w:vAlign w:val="center"/>
                </w:tcPr>
                <w:p>
                  <w:pPr>
                    <w:pStyle w:val="23"/>
                    <w:bidi w:val="0"/>
                    <w:rPr>
                      <w:color w:val="auto"/>
                    </w:rPr>
                  </w:pPr>
                  <w:r>
                    <w:rPr>
                      <w:color w:val="auto"/>
                    </w:rPr>
                    <w:t>厂区：成立事故应急救援指挥领导小组，下设应急救援办公楼。</w:t>
                  </w:r>
                </w:p>
                <w:p>
                  <w:pPr>
                    <w:pStyle w:val="23"/>
                    <w:bidi w:val="0"/>
                    <w:rPr>
                      <w:color w:val="auto"/>
                    </w:rPr>
                  </w:pPr>
                  <w:r>
                    <w:rPr>
                      <w:color w:val="auto"/>
                    </w:rPr>
                    <w:t>专业救助队伍：成立专业救助队伍，负责事故控制、救援、善后处理。</w:t>
                  </w:r>
                </w:p>
              </w:tc>
            </w:tr>
            <w:tr>
              <w:tc>
                <w:tcPr>
                  <w:tcW w:w="535" w:type="dxa"/>
                  <w:tcMar>
                    <w:left w:w="0" w:type="dxa"/>
                    <w:right w:w="0" w:type="dxa"/>
                  </w:tcMar>
                  <w:vAlign w:val="center"/>
                </w:tcPr>
                <w:p>
                  <w:pPr>
                    <w:pStyle w:val="23"/>
                    <w:bidi w:val="0"/>
                    <w:rPr>
                      <w:color w:val="auto"/>
                    </w:rPr>
                  </w:pPr>
                  <w:r>
                    <w:rPr>
                      <w:color w:val="auto"/>
                    </w:rPr>
                    <w:t>4</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应急状态分类及应急响应程序</w:t>
                  </w:r>
                </w:p>
              </w:tc>
              <w:tc>
                <w:tcPr>
                  <w:tcW w:w="5899" w:type="dxa"/>
                  <w:tcBorders>
                    <w:left w:val="single" w:sz="4" w:space="0" w:color="auto"/>
                  </w:tcBorders>
                  <w:tcMar>
                    <w:left w:w="0" w:type="dxa"/>
                    <w:right w:w="0" w:type="dxa"/>
                  </w:tcMar>
                  <w:vAlign w:val="center"/>
                </w:tcPr>
                <w:p>
                  <w:pPr>
                    <w:pStyle w:val="23"/>
                    <w:bidi w:val="0"/>
                    <w:rPr>
                      <w:color w:val="auto"/>
                    </w:rPr>
                  </w:pPr>
                  <w:r>
                    <w:rPr>
                      <w:color w:val="auto"/>
                    </w:rPr>
                    <w:t>按照事故发生的严重程度，规定事故的级别及相应的应急分类响应程序。</w:t>
                  </w:r>
                </w:p>
              </w:tc>
            </w:tr>
            <w:tr>
              <w:tc>
                <w:tcPr>
                  <w:tcW w:w="535" w:type="dxa"/>
                  <w:tcBorders>
                    <w:bottom w:val="single" w:sz="4" w:space="0" w:color="auto"/>
                  </w:tcBorders>
                  <w:tcMar>
                    <w:left w:w="0" w:type="dxa"/>
                    <w:right w:w="0" w:type="dxa"/>
                  </w:tcMar>
                  <w:vAlign w:val="center"/>
                </w:tcPr>
                <w:p>
                  <w:pPr>
                    <w:pStyle w:val="23"/>
                    <w:bidi w:val="0"/>
                    <w:rPr>
                      <w:color w:val="auto"/>
                    </w:rPr>
                  </w:pPr>
                  <w:r>
                    <w:rPr>
                      <w:color w:val="auto"/>
                    </w:rPr>
                    <w:t>5</w:t>
                  </w:r>
                </w:p>
              </w:tc>
              <w:tc>
                <w:tcPr>
                  <w:tcW w:w="1571" w:type="dxa"/>
                  <w:tcBorders>
                    <w:bottom w:val="single" w:sz="4" w:space="0" w:color="auto"/>
                  </w:tcBorders>
                  <w:tcMar>
                    <w:left w:w="0" w:type="dxa"/>
                    <w:right w:w="0" w:type="dxa"/>
                  </w:tcMar>
                  <w:vAlign w:val="center"/>
                </w:tcPr>
                <w:p>
                  <w:pPr>
                    <w:pStyle w:val="23"/>
                    <w:bidi w:val="0"/>
                    <w:rPr>
                      <w:color w:val="auto"/>
                    </w:rPr>
                  </w:pPr>
                  <w:r>
                    <w:rPr>
                      <w:color w:val="auto"/>
                    </w:rPr>
                    <w:t>应急设施、设备与材料</w:t>
                  </w:r>
                </w:p>
              </w:tc>
              <w:tc>
                <w:tcPr>
                  <w:tcW w:w="5899" w:type="dxa"/>
                  <w:tcBorders>
                    <w:bottom w:val="single" w:sz="4" w:space="0" w:color="auto"/>
                  </w:tcBorders>
                  <w:tcMar>
                    <w:left w:w="0" w:type="dxa"/>
                    <w:right w:w="0" w:type="dxa"/>
                  </w:tcMar>
                  <w:vAlign w:val="center"/>
                </w:tcPr>
                <w:p>
                  <w:pPr>
                    <w:pStyle w:val="23"/>
                    <w:bidi w:val="0"/>
                    <w:rPr>
                      <w:color w:val="auto"/>
                    </w:rPr>
                  </w:pPr>
                  <w:r>
                    <w:rPr>
                      <w:color w:val="auto"/>
                    </w:rPr>
                    <w:t>防火灾应急设施、设备与材料，主要为消防器材，防静电服，自给正压式呼吸器、安全防护镜等。</w:t>
                  </w:r>
                </w:p>
              </w:tc>
            </w:tr>
            <w:tr>
              <w:tc>
                <w:tcPr>
                  <w:tcW w:w="535" w:type="dxa"/>
                  <w:tcBorders>
                    <w:bottom w:val="single" w:sz="4" w:space="0" w:color="auto"/>
                  </w:tcBorders>
                  <w:tcMar>
                    <w:left w:w="0" w:type="dxa"/>
                    <w:right w:w="0" w:type="dxa"/>
                  </w:tcMar>
                  <w:vAlign w:val="center"/>
                </w:tcPr>
                <w:p>
                  <w:pPr>
                    <w:pStyle w:val="23"/>
                    <w:bidi w:val="0"/>
                    <w:rPr>
                      <w:color w:val="auto"/>
                    </w:rPr>
                  </w:pPr>
                  <w:r>
                    <w:rPr>
                      <w:color w:val="auto"/>
                    </w:rPr>
                    <w:t>6</w:t>
                  </w:r>
                </w:p>
              </w:tc>
              <w:tc>
                <w:tcPr>
                  <w:tcW w:w="1571" w:type="dxa"/>
                  <w:tcBorders>
                    <w:bottom w:val="single" w:sz="4" w:space="0" w:color="auto"/>
                  </w:tcBorders>
                  <w:tcMar>
                    <w:left w:w="0" w:type="dxa"/>
                    <w:right w:w="0" w:type="dxa"/>
                  </w:tcMar>
                  <w:vAlign w:val="center"/>
                </w:tcPr>
                <w:p>
                  <w:pPr>
                    <w:pStyle w:val="23"/>
                    <w:bidi w:val="0"/>
                    <w:rPr>
                      <w:color w:val="auto"/>
                    </w:rPr>
                  </w:pPr>
                  <w:r>
                    <w:rPr>
                      <w:color w:val="auto"/>
                    </w:rPr>
                    <w:t>应急通讯、通知和交通</w:t>
                  </w:r>
                </w:p>
              </w:tc>
              <w:tc>
                <w:tcPr>
                  <w:tcW w:w="5899" w:type="dxa"/>
                  <w:tcBorders>
                    <w:bottom w:val="single" w:sz="4" w:space="0" w:color="auto"/>
                  </w:tcBorders>
                  <w:tcMar>
                    <w:left w:w="0" w:type="dxa"/>
                    <w:right w:w="0" w:type="dxa"/>
                  </w:tcMar>
                  <w:vAlign w:val="center"/>
                </w:tcPr>
                <w:p>
                  <w:pPr>
                    <w:pStyle w:val="23"/>
                    <w:bidi w:val="0"/>
                    <w:rPr>
                      <w:color w:val="auto"/>
                    </w:rPr>
                  </w:pPr>
                  <w:r>
                    <w:rPr>
                      <w:color w:val="auto"/>
                    </w:rPr>
                    <w:t>组成通讯联络队，并规定应急状态下的通讯方式、通知方式和交通保障、管制</w:t>
                  </w:r>
                </w:p>
              </w:tc>
            </w:tr>
            <w:tr>
              <w:tc>
                <w:tcPr>
                  <w:tcW w:w="535" w:type="dxa"/>
                  <w:tcBorders>
                    <w:top w:val="single" w:sz="4" w:space="0" w:color="auto"/>
                  </w:tcBorders>
                  <w:tcMar>
                    <w:left w:w="0" w:type="dxa"/>
                    <w:right w:w="0" w:type="dxa"/>
                  </w:tcMar>
                  <w:vAlign w:val="center"/>
                </w:tcPr>
                <w:p>
                  <w:pPr>
                    <w:pStyle w:val="23"/>
                    <w:bidi w:val="0"/>
                    <w:rPr>
                      <w:color w:val="auto"/>
                    </w:rPr>
                  </w:pPr>
                  <w:r>
                    <w:rPr>
                      <w:color w:val="auto"/>
                    </w:rPr>
                    <w:t>7</w:t>
                  </w:r>
                </w:p>
              </w:tc>
              <w:tc>
                <w:tcPr>
                  <w:tcW w:w="1571" w:type="dxa"/>
                  <w:tcBorders>
                    <w:top w:val="single" w:sz="4" w:space="0" w:color="auto"/>
                  </w:tcBorders>
                  <w:tcMar>
                    <w:left w:w="0" w:type="dxa"/>
                    <w:right w:w="0" w:type="dxa"/>
                  </w:tcMar>
                  <w:vAlign w:val="center"/>
                </w:tcPr>
                <w:p>
                  <w:pPr>
                    <w:pStyle w:val="23"/>
                    <w:bidi w:val="0"/>
                    <w:rPr>
                      <w:color w:val="auto"/>
                    </w:rPr>
                  </w:pPr>
                  <w:r>
                    <w:rPr>
                      <w:color w:val="auto"/>
                    </w:rPr>
                    <w:t>应急环境监测及事故后评估</w:t>
                  </w:r>
                </w:p>
              </w:tc>
              <w:tc>
                <w:tcPr>
                  <w:tcW w:w="5899" w:type="dxa"/>
                  <w:tcBorders>
                    <w:top w:val="single" w:sz="4" w:space="0" w:color="auto"/>
                  </w:tcBorders>
                  <w:tcMar>
                    <w:left w:w="0" w:type="dxa"/>
                    <w:right w:w="0" w:type="dxa"/>
                  </w:tcMar>
                  <w:vAlign w:val="center"/>
                </w:tcPr>
                <w:p>
                  <w:pPr>
                    <w:pStyle w:val="23"/>
                    <w:bidi w:val="0"/>
                    <w:rPr>
                      <w:color w:val="auto"/>
                    </w:rPr>
                  </w:pPr>
                  <w:r>
                    <w:rPr>
                      <w:color w:val="auto"/>
                    </w:rPr>
                    <w:t>有专业队伍负责对事故现场进行监测，对事故性质、参数与后果进行评估，为指挥部门提供决策依据</w:t>
                  </w:r>
                </w:p>
              </w:tc>
            </w:tr>
            <w:tr>
              <w:tc>
                <w:tcPr>
                  <w:tcW w:w="535" w:type="dxa"/>
                  <w:tcMar>
                    <w:left w:w="0" w:type="dxa"/>
                    <w:right w:w="0" w:type="dxa"/>
                  </w:tcMar>
                  <w:vAlign w:val="center"/>
                </w:tcPr>
                <w:p>
                  <w:pPr>
                    <w:pStyle w:val="23"/>
                    <w:bidi w:val="0"/>
                    <w:rPr>
                      <w:color w:val="auto"/>
                    </w:rPr>
                  </w:pPr>
                  <w:r>
                    <w:rPr>
                      <w:color w:val="auto"/>
                    </w:rPr>
                    <w:t>8</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应急措施</w:t>
                  </w:r>
                </w:p>
              </w:tc>
              <w:tc>
                <w:tcPr>
                  <w:tcW w:w="5899" w:type="dxa"/>
                  <w:tcBorders>
                    <w:left w:val="single" w:sz="4" w:space="0" w:color="auto"/>
                  </w:tcBorders>
                  <w:tcMar>
                    <w:left w:w="0" w:type="dxa"/>
                    <w:right w:w="0" w:type="dxa"/>
                  </w:tcMar>
                  <w:vAlign w:val="center"/>
                </w:tcPr>
                <w:p>
                  <w:pPr>
                    <w:pStyle w:val="23"/>
                    <w:bidi w:val="0"/>
                    <w:rPr>
                      <w:color w:val="auto"/>
                    </w:rPr>
                  </w:pPr>
                  <w:r>
                    <w:rPr>
                      <w:color w:val="auto"/>
                    </w:rPr>
                    <w:t>事故现场：控制事故，防止扩大、蔓延及连锁反应。</w:t>
                  </w:r>
                </w:p>
              </w:tc>
            </w:tr>
            <w:tr>
              <w:tc>
                <w:tcPr>
                  <w:tcW w:w="535" w:type="dxa"/>
                  <w:tcMar>
                    <w:left w:w="0" w:type="dxa"/>
                    <w:right w:w="0" w:type="dxa"/>
                  </w:tcMar>
                  <w:vAlign w:val="center"/>
                </w:tcPr>
                <w:p>
                  <w:pPr>
                    <w:pStyle w:val="23"/>
                    <w:bidi w:val="0"/>
                    <w:rPr>
                      <w:color w:val="auto"/>
                    </w:rPr>
                  </w:pPr>
                  <w:r>
                    <w:rPr>
                      <w:color w:val="auto"/>
                    </w:rPr>
                    <w:t>9</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撤离组织计划、医疗救护与公众健康</w:t>
                  </w:r>
                </w:p>
              </w:tc>
              <w:tc>
                <w:tcPr>
                  <w:tcW w:w="5899" w:type="dxa"/>
                  <w:tcBorders>
                    <w:left w:val="single" w:sz="4" w:space="0" w:color="auto"/>
                  </w:tcBorders>
                  <w:tcMar>
                    <w:left w:w="0" w:type="dxa"/>
                    <w:right w:w="0" w:type="dxa"/>
                  </w:tcMar>
                  <w:vAlign w:val="center"/>
                </w:tcPr>
                <w:p>
                  <w:pPr>
                    <w:pStyle w:val="23"/>
                    <w:bidi w:val="0"/>
                    <w:rPr>
                      <w:color w:val="auto"/>
                    </w:rPr>
                  </w:pPr>
                  <w:r>
                    <w:rPr>
                      <w:color w:val="auto"/>
                    </w:rPr>
                    <w:t>事故现场：事故处理人员制定对毒物应急剂量控制，现场及</w:t>
                  </w:r>
                  <w:r>
                    <w:rPr>
                      <w:rFonts w:hint="eastAsia"/>
                      <w:color w:val="auto"/>
                      <w:lang w:eastAsia="zh-CN"/>
                    </w:rPr>
                    <w:t>邻近</w:t>
                  </w:r>
                  <w:r>
                    <w:rPr>
                      <w:color w:val="auto"/>
                    </w:rPr>
                    <w:t>装置人员组织撤离计划及救护。</w:t>
                  </w:r>
                </w:p>
                <w:p>
                  <w:pPr>
                    <w:pStyle w:val="23"/>
                    <w:bidi w:val="0"/>
                    <w:rPr>
                      <w:color w:val="auto"/>
                    </w:rPr>
                  </w:pPr>
                  <w:r>
                    <w:rPr>
                      <w:color w:val="auto"/>
                    </w:rPr>
                    <w:t>事故临近区：受事故影响的临近区域人员及公众规定对毒物应急剂量的控制，组织撤离计划及救护。</w:t>
                  </w:r>
                </w:p>
              </w:tc>
            </w:tr>
            <w:tr>
              <w:tc>
                <w:tcPr>
                  <w:tcW w:w="535" w:type="dxa"/>
                  <w:tcMar>
                    <w:left w:w="0" w:type="dxa"/>
                    <w:right w:w="0" w:type="dxa"/>
                  </w:tcMar>
                  <w:vAlign w:val="center"/>
                </w:tcPr>
                <w:p>
                  <w:pPr>
                    <w:pStyle w:val="23"/>
                    <w:bidi w:val="0"/>
                    <w:rPr>
                      <w:color w:val="auto"/>
                    </w:rPr>
                  </w:pPr>
                  <w:r>
                    <w:rPr>
                      <w:color w:val="auto"/>
                    </w:rPr>
                    <w:t>10</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应急状态终止与恢复措施</w:t>
                  </w:r>
                </w:p>
              </w:tc>
              <w:tc>
                <w:tcPr>
                  <w:tcW w:w="5899" w:type="dxa"/>
                  <w:tcBorders>
                    <w:left w:val="single" w:sz="4" w:space="0" w:color="auto"/>
                  </w:tcBorders>
                  <w:tcMar>
                    <w:left w:w="0" w:type="dxa"/>
                    <w:right w:w="0" w:type="dxa"/>
                  </w:tcMar>
                  <w:vAlign w:val="center"/>
                </w:tcPr>
                <w:p>
                  <w:pPr>
                    <w:pStyle w:val="23"/>
                    <w:bidi w:val="0"/>
                    <w:rPr>
                      <w:color w:val="auto"/>
                    </w:rPr>
                  </w:pPr>
                  <w:r>
                    <w:rPr>
                      <w:color w:val="auto"/>
                    </w:rPr>
                    <w:t>规定应急状态终止程序；事故现场善后处理，恢复措施；</w:t>
                  </w:r>
                  <w:r>
                    <w:rPr>
                      <w:rFonts w:hint="eastAsia"/>
                      <w:color w:val="auto"/>
                      <w:lang w:eastAsia="zh-CN"/>
                    </w:rPr>
                    <w:t>邻近</w:t>
                  </w:r>
                  <w:r>
                    <w:rPr>
                      <w:color w:val="auto"/>
                    </w:rPr>
                    <w:t>区域解除事故警戒及善后恢复措施。</w:t>
                  </w:r>
                </w:p>
              </w:tc>
            </w:tr>
            <w:tr>
              <w:tc>
                <w:tcPr>
                  <w:tcW w:w="535" w:type="dxa"/>
                  <w:tcMar>
                    <w:left w:w="0" w:type="dxa"/>
                    <w:right w:w="0" w:type="dxa"/>
                  </w:tcMar>
                  <w:vAlign w:val="center"/>
                </w:tcPr>
                <w:p>
                  <w:pPr>
                    <w:pStyle w:val="23"/>
                    <w:bidi w:val="0"/>
                    <w:rPr>
                      <w:color w:val="auto"/>
                    </w:rPr>
                  </w:pPr>
                  <w:r>
                    <w:rPr>
                      <w:color w:val="auto"/>
                    </w:rPr>
                    <w:t>11</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人员培训与演练</w:t>
                  </w:r>
                </w:p>
              </w:tc>
              <w:tc>
                <w:tcPr>
                  <w:tcW w:w="5899" w:type="dxa"/>
                  <w:tcBorders>
                    <w:left w:val="single" w:sz="4" w:space="0" w:color="auto"/>
                  </w:tcBorders>
                  <w:tcMar>
                    <w:left w:w="0" w:type="dxa"/>
                    <w:right w:w="0" w:type="dxa"/>
                  </w:tcMar>
                  <w:vAlign w:val="center"/>
                </w:tcPr>
                <w:p>
                  <w:pPr>
                    <w:pStyle w:val="23"/>
                    <w:bidi w:val="0"/>
                    <w:rPr>
                      <w:color w:val="auto"/>
                    </w:rPr>
                  </w:pPr>
                  <w:r>
                    <w:rPr>
                      <w:color w:val="auto"/>
                    </w:rPr>
                    <w:t>平时安排人员应急救援培训与演练。</w:t>
                  </w:r>
                </w:p>
              </w:tc>
            </w:tr>
            <w:tr>
              <w:tc>
                <w:tcPr>
                  <w:tcW w:w="535" w:type="dxa"/>
                  <w:tcMar>
                    <w:left w:w="0" w:type="dxa"/>
                    <w:right w:w="0" w:type="dxa"/>
                  </w:tcMar>
                  <w:vAlign w:val="center"/>
                </w:tcPr>
                <w:p>
                  <w:pPr>
                    <w:pStyle w:val="23"/>
                    <w:bidi w:val="0"/>
                    <w:rPr>
                      <w:color w:val="auto"/>
                    </w:rPr>
                  </w:pPr>
                  <w:r>
                    <w:rPr>
                      <w:color w:val="auto"/>
                    </w:rPr>
                    <w:t>12</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公众教育与信息</w:t>
                  </w:r>
                </w:p>
              </w:tc>
              <w:tc>
                <w:tcPr>
                  <w:tcW w:w="5899" w:type="dxa"/>
                  <w:tcBorders>
                    <w:left w:val="single" w:sz="4" w:space="0" w:color="auto"/>
                  </w:tcBorders>
                  <w:tcMar>
                    <w:left w:w="0" w:type="dxa"/>
                    <w:right w:w="0" w:type="dxa"/>
                  </w:tcMar>
                  <w:vAlign w:val="center"/>
                </w:tcPr>
                <w:p>
                  <w:pPr>
                    <w:pStyle w:val="23"/>
                    <w:bidi w:val="0"/>
                    <w:rPr>
                      <w:color w:val="auto"/>
                    </w:rPr>
                  </w:pPr>
                  <w:r>
                    <w:rPr>
                      <w:color w:val="auto"/>
                    </w:rPr>
                    <w:t>对厂区临近地区开展公众教育、培训和发布有关信息</w:t>
                  </w:r>
                </w:p>
              </w:tc>
            </w:tr>
            <w:tr>
              <w:tc>
                <w:tcPr>
                  <w:tcW w:w="535" w:type="dxa"/>
                  <w:tcMar>
                    <w:left w:w="0" w:type="dxa"/>
                    <w:right w:w="0" w:type="dxa"/>
                  </w:tcMar>
                  <w:vAlign w:val="center"/>
                </w:tcPr>
                <w:p>
                  <w:pPr>
                    <w:pStyle w:val="23"/>
                    <w:bidi w:val="0"/>
                    <w:rPr>
                      <w:color w:val="auto"/>
                    </w:rPr>
                  </w:pPr>
                  <w:r>
                    <w:rPr>
                      <w:color w:val="auto"/>
                    </w:rPr>
                    <w:t>13</w:t>
                  </w:r>
                </w:p>
              </w:tc>
              <w:tc>
                <w:tcPr>
                  <w:tcW w:w="1571" w:type="dxa"/>
                  <w:tcBorders>
                    <w:left w:val="single" w:sz="4" w:space="0" w:color="auto"/>
                  </w:tcBorders>
                  <w:tcMar>
                    <w:left w:w="0" w:type="dxa"/>
                    <w:right w:w="0" w:type="dxa"/>
                  </w:tcMar>
                  <w:vAlign w:val="center"/>
                </w:tcPr>
                <w:p>
                  <w:pPr>
                    <w:pStyle w:val="23"/>
                    <w:bidi w:val="0"/>
                    <w:rPr>
                      <w:color w:val="auto"/>
                    </w:rPr>
                  </w:pPr>
                  <w:r>
                    <w:rPr>
                      <w:color w:val="auto"/>
                    </w:rPr>
                    <w:t>记录和报告</w:t>
                  </w:r>
                </w:p>
              </w:tc>
              <w:tc>
                <w:tcPr>
                  <w:tcW w:w="5899" w:type="dxa"/>
                  <w:tcBorders>
                    <w:left w:val="single" w:sz="4" w:space="0" w:color="auto"/>
                  </w:tcBorders>
                  <w:tcMar>
                    <w:left w:w="0" w:type="dxa"/>
                    <w:right w:w="0" w:type="dxa"/>
                  </w:tcMar>
                  <w:vAlign w:val="center"/>
                </w:tcPr>
                <w:p>
                  <w:pPr>
                    <w:pStyle w:val="23"/>
                    <w:bidi w:val="0"/>
                    <w:rPr>
                      <w:color w:val="auto"/>
                    </w:rPr>
                  </w:pPr>
                  <w:r>
                    <w:rPr>
                      <w:color w:val="auto"/>
                    </w:rPr>
                    <w:t>设应急事故专门记录，</w:t>
                  </w:r>
                  <w:r>
                    <w:rPr>
                      <w:rFonts w:hint="eastAsia"/>
                      <w:color w:val="auto"/>
                      <w:lang w:eastAsia="zh-CN"/>
                    </w:rPr>
                    <w:t>建立</w:t>
                  </w:r>
                  <w:r>
                    <w:rPr>
                      <w:color w:val="auto"/>
                    </w:rPr>
                    <w:t>档案和专门报告制度，设专门部门负责管理</w:t>
                  </w:r>
                </w:p>
              </w:tc>
            </w:tr>
          </w:tbl>
          <w:p>
            <w:pPr>
              <w:tabs>
                <w:tab w:val="left" w:pos="5040"/>
              </w:tabs>
              <w:spacing w:line="360" w:lineRule="auto"/>
              <w:ind w:firstLineChars="200" w:firstLine="480"/>
              <w:rPr>
                <w:color w:val="auto"/>
                <w:sz w:val="24"/>
              </w:rPr>
            </w:pPr>
            <w:bookmarkStart w:id="7" w:name="_Toc462727243"/>
            <w:bookmarkStart w:id="8" w:name="_Toc471804923"/>
            <w:bookmarkStart w:id="9" w:name="_Toc467597067"/>
            <w:bookmarkStart w:id="10" w:name="_Toc478655729"/>
            <w:r>
              <w:rPr>
                <w:color w:val="auto"/>
                <w:sz w:val="24"/>
              </w:rPr>
              <w:t>（</w:t>
            </w:r>
            <w:r>
              <w:rPr>
                <w:rFonts w:hint="eastAsia"/>
                <w:color w:val="auto"/>
                <w:sz w:val="24"/>
                <w:lang w:val="en-US" w:eastAsia="zh-CN"/>
              </w:rPr>
              <w:t>7</w:t>
            </w:r>
            <w:r>
              <w:rPr>
                <w:color w:val="auto"/>
                <w:sz w:val="24"/>
              </w:rPr>
              <w:t>）环境风险</w:t>
            </w:r>
            <w:bookmarkEnd w:id="7"/>
            <w:bookmarkEnd w:id="8"/>
            <w:bookmarkEnd w:id="9"/>
            <w:bookmarkEnd w:id="10"/>
            <w:r>
              <w:rPr>
                <w:rFonts w:hint="eastAsia"/>
                <w:color w:val="auto"/>
                <w:sz w:val="24"/>
              </w:rPr>
              <w:t>评价结论</w:t>
            </w:r>
          </w:p>
          <w:p>
            <w:pPr>
              <w:spacing w:line="360" w:lineRule="auto"/>
              <w:ind w:firstLineChars="200" w:firstLine="480"/>
              <w:rPr>
                <w:bCs/>
                <w:color w:val="auto"/>
                <w:sz w:val="24"/>
              </w:rPr>
            </w:pPr>
            <w:r>
              <w:rPr>
                <w:rFonts w:hint="eastAsia"/>
                <w:bCs/>
                <w:color w:val="auto"/>
                <w:sz w:val="24"/>
              </w:rPr>
              <w:t>本</w:t>
            </w:r>
            <w:r>
              <w:rPr>
                <w:rFonts w:hint="eastAsia"/>
                <w:color w:val="auto"/>
                <w:sz w:val="24"/>
                <w:szCs w:val="32"/>
              </w:rPr>
              <w:t>项目</w:t>
            </w:r>
            <w:r>
              <w:rPr>
                <w:rFonts w:hint="eastAsia"/>
                <w:bCs/>
                <w:color w:val="auto"/>
                <w:sz w:val="24"/>
              </w:rPr>
              <w:t>涉及的风险物质</w:t>
            </w:r>
            <w:r>
              <w:rPr>
                <w:rFonts w:hint="eastAsia"/>
                <w:bCs/>
                <w:color w:val="auto"/>
                <w:sz w:val="24"/>
                <w:lang w:val="en-US" w:eastAsia="zh-CN"/>
              </w:rPr>
              <w:t>主要为危险废物、天然气</w:t>
            </w:r>
            <w:r>
              <w:rPr>
                <w:rFonts w:hint="eastAsia"/>
                <w:bCs/>
                <w:color w:val="auto"/>
                <w:sz w:val="24"/>
              </w:rPr>
              <w:t>存在</w:t>
            </w:r>
            <w:r>
              <w:rPr>
                <w:rFonts w:hint="eastAsia"/>
                <w:bCs/>
                <w:color w:val="auto"/>
                <w:sz w:val="24"/>
                <w:lang w:eastAsia="zh-CN"/>
              </w:rPr>
              <w:t>泄漏</w:t>
            </w:r>
            <w:r>
              <w:rPr>
                <w:rFonts w:hint="eastAsia"/>
                <w:bCs/>
                <w:color w:val="auto"/>
                <w:sz w:val="24"/>
              </w:rPr>
              <w:t>、散落或引起火灾发生环境风险事故的可能，受影响的主要为</w:t>
            </w:r>
            <w:r>
              <w:rPr>
                <w:bCs/>
                <w:color w:val="auto"/>
                <w:sz w:val="24"/>
              </w:rPr>
              <w:t>企业</w:t>
            </w:r>
            <w:r>
              <w:rPr>
                <w:rFonts w:hint="eastAsia"/>
                <w:bCs/>
                <w:color w:val="auto"/>
                <w:sz w:val="24"/>
              </w:rPr>
              <w:t>及周边</w:t>
            </w:r>
            <w:r>
              <w:rPr>
                <w:bCs/>
                <w:color w:val="auto"/>
                <w:sz w:val="24"/>
              </w:rPr>
              <w:t>职工</w:t>
            </w:r>
            <w:r>
              <w:rPr>
                <w:rFonts w:hint="eastAsia"/>
                <w:bCs/>
                <w:color w:val="auto"/>
                <w:sz w:val="24"/>
              </w:rPr>
              <w:t>、周边居民等，厂区制定相关管理制度，采取防渗漏、防火、防静电等措施，员工严格遵守国家相关管理规定，在发生事故后能及时采取相应的安全措施和及时启动事故应急预案，泄</w:t>
            </w:r>
            <w:r>
              <w:rPr>
                <w:rFonts w:hint="eastAsia"/>
                <w:bCs/>
                <w:color w:val="auto"/>
                <w:sz w:val="24"/>
                <w:lang w:eastAsia="zh-CN"/>
              </w:rPr>
              <w:t>漏</w:t>
            </w:r>
            <w:r>
              <w:rPr>
                <w:rFonts w:hint="eastAsia"/>
                <w:bCs/>
                <w:color w:val="auto"/>
                <w:sz w:val="24"/>
              </w:rPr>
              <w:t>和火灾事故风险都是可以预防和控制的。</w:t>
            </w:r>
          </w:p>
          <w:p>
            <w:pPr>
              <w:spacing w:line="360" w:lineRule="auto"/>
              <w:ind w:firstLineChars="200" w:firstLine="480"/>
              <w:rPr>
                <w:bCs/>
                <w:color w:val="auto"/>
                <w:sz w:val="24"/>
              </w:rPr>
            </w:pPr>
            <w:r>
              <w:rPr>
                <w:bCs/>
                <w:color w:val="auto"/>
                <w:sz w:val="24"/>
              </w:rPr>
              <w:t>综上，项目严格执行上述控制措施的情况下，本项目的环境风险水平处于可接受范围内。</w:t>
            </w:r>
          </w:p>
          <w:p>
            <w:pPr>
              <w:spacing w:line="360" w:lineRule="auto"/>
              <w:ind w:firstLineChars="200" w:firstLine="480"/>
              <w:rPr>
                <w:b/>
                <w:bCs/>
                <w:color w:val="auto"/>
                <w:sz w:val="24"/>
              </w:rPr>
            </w:pPr>
            <w:r>
              <w:rPr>
                <w:rFonts w:hint="eastAsia"/>
                <w:b/>
                <w:bCs/>
                <w:color w:val="auto"/>
                <w:sz w:val="24"/>
                <w:lang w:val="en-US" w:eastAsia="zh-CN"/>
              </w:rPr>
              <w:t>七</w:t>
            </w:r>
            <w:r>
              <w:rPr>
                <w:b/>
                <w:bCs/>
                <w:color w:val="auto"/>
                <w:sz w:val="24"/>
              </w:rPr>
              <w:t>、环境管理计划</w:t>
            </w:r>
          </w:p>
          <w:p>
            <w:pPr>
              <w:spacing w:line="360" w:lineRule="auto"/>
              <w:ind w:firstLineChars="200" w:firstLine="480"/>
              <w:rPr>
                <w:color w:val="auto"/>
                <w:sz w:val="24"/>
              </w:rPr>
            </w:pPr>
            <w:r>
              <w:rPr>
                <w:color w:val="auto"/>
                <w:sz w:val="24"/>
              </w:rPr>
              <w:t>为了贯彻执行有关环境保护法规，及时了解项目及其周围环境质量变化情况，掌握环境保护措施实施的效果，保证该区域良好的环境质量，建设单位进行相应的环境管理。</w:t>
            </w:r>
          </w:p>
          <w:p>
            <w:pPr>
              <w:spacing w:line="360" w:lineRule="auto"/>
              <w:ind w:firstLineChars="200" w:firstLine="480"/>
              <w:rPr>
                <w:color w:val="auto"/>
                <w:sz w:val="24"/>
              </w:rPr>
            </w:pPr>
            <w:r>
              <w:rPr>
                <w:color w:val="auto"/>
                <w:sz w:val="24"/>
              </w:rPr>
              <w:t>（1）环境管理要求</w:t>
            </w:r>
          </w:p>
          <w:p>
            <w:pPr>
              <w:spacing w:line="360" w:lineRule="auto"/>
              <w:ind w:firstLineChars="200" w:firstLine="480"/>
              <w:rPr>
                <w:color w:val="auto"/>
                <w:sz w:val="24"/>
              </w:rPr>
            </w:pPr>
            <w:r>
              <w:rPr>
                <w:rFonts w:ascii="宋体" w:cs="宋体" w:hAnsi="宋体" w:hint="eastAsia"/>
                <w:color w:val="auto"/>
                <w:sz w:val="24"/>
              </w:rPr>
              <w:t>①</w:t>
            </w:r>
            <w:r>
              <w:rPr>
                <w:color w:val="auto"/>
                <w:sz w:val="24"/>
              </w:rPr>
              <w:t>贯彻落实国家相关法律法规及政策，以国家相关法律法规为依据，落实</w:t>
            </w:r>
            <w:r>
              <w:rPr>
                <w:rFonts w:hint="eastAsia"/>
                <w:color w:val="auto"/>
                <w:sz w:val="24"/>
                <w:lang w:eastAsia="zh-CN"/>
              </w:rPr>
              <w:t>防止</w:t>
            </w:r>
            <w:r>
              <w:rPr>
                <w:color w:val="auto"/>
                <w:sz w:val="24"/>
              </w:rPr>
              <w:t>环境污染和生态破坏的措施以及环境保护设施投资概算，及</w:t>
            </w:r>
            <w:r>
              <w:rPr>
                <w:rFonts w:hint="eastAsia"/>
                <w:color w:val="auto"/>
                <w:sz w:val="24"/>
                <w:lang w:eastAsia="zh-CN"/>
              </w:rPr>
              <w:t>时向</w:t>
            </w:r>
            <w:r>
              <w:rPr>
                <w:color w:val="auto"/>
                <w:sz w:val="24"/>
              </w:rPr>
              <w:t>当地环境保护部门汇报各阶段的情况。</w:t>
            </w:r>
          </w:p>
          <w:p>
            <w:pPr>
              <w:spacing w:line="360" w:lineRule="auto"/>
              <w:ind w:firstLineChars="200" w:firstLine="480"/>
              <w:rPr>
                <w:color w:val="auto"/>
                <w:sz w:val="24"/>
              </w:rPr>
            </w:pPr>
            <w:r>
              <w:rPr>
                <w:rFonts w:ascii="宋体" w:cs="宋体" w:hAnsi="宋体" w:hint="eastAsia"/>
                <w:color w:val="auto"/>
                <w:sz w:val="24"/>
              </w:rPr>
              <w:t>②</w:t>
            </w:r>
            <w:r>
              <w:rPr>
                <w:color w:val="auto"/>
                <w:sz w:val="24"/>
              </w:rPr>
              <w:t>项目的建设遵循</w:t>
            </w:r>
            <w:r>
              <w:rPr>
                <w:rFonts w:ascii="宋体" w:cs="宋体" w:hAnsi="宋体" w:hint="eastAsia"/>
                <w:color w:val="auto"/>
                <w:sz w:val="24"/>
              </w:rPr>
              <w:t>“三同时”制度</w:t>
            </w:r>
            <w:r>
              <w:rPr>
                <w:color w:val="auto"/>
                <w:sz w:val="24"/>
              </w:rPr>
              <w:t>，即项目环保措施与主体工程同时设计、同时施工、同时投产使用。</w:t>
            </w:r>
          </w:p>
          <w:p>
            <w:pPr>
              <w:spacing w:line="360" w:lineRule="auto"/>
              <w:ind w:firstLineChars="200" w:firstLine="480"/>
              <w:rPr>
                <w:color w:val="auto"/>
                <w:sz w:val="24"/>
              </w:rPr>
            </w:pPr>
            <w:r>
              <w:rPr>
                <w:rFonts w:ascii="宋体" w:cs="宋体" w:hAnsi="宋体" w:hint="eastAsia"/>
                <w:color w:val="auto"/>
                <w:sz w:val="24"/>
              </w:rPr>
              <w:t>③</w:t>
            </w:r>
            <w:r>
              <w:rPr>
                <w:color w:val="auto"/>
                <w:sz w:val="24"/>
              </w:rPr>
              <w:t>排污许可制度衔接</w:t>
            </w:r>
            <w:r>
              <w:rPr>
                <w:rFonts w:hint="eastAsia"/>
                <w:color w:val="auto"/>
                <w:sz w:val="24"/>
                <w:lang w:eastAsia="zh-CN"/>
              </w:rPr>
              <w:t>，</w:t>
            </w:r>
            <w:r>
              <w:rPr>
                <w:color w:val="auto"/>
                <w:sz w:val="24"/>
              </w:rPr>
              <w:t>根据《固定污染源排污许可分类管理名录（2019年版）》建设单位应按照《排污许可管理条例）</w:t>
            </w:r>
            <w:r>
              <w:rPr>
                <w:rFonts w:hint="eastAsia"/>
                <w:color w:val="auto"/>
                <w:sz w:val="24"/>
                <w:lang w:eastAsia="zh-CN"/>
              </w:rPr>
              <w:t>》</w:t>
            </w:r>
            <w:r>
              <w:rPr>
                <w:color w:val="auto"/>
                <w:sz w:val="24"/>
              </w:rPr>
              <w:t>等国家环境保护相关法律法规以及排污许可证申请与核发技术规范要求，</w:t>
            </w:r>
            <w:r>
              <w:rPr>
                <w:rFonts w:hint="eastAsia"/>
                <w:color w:val="auto"/>
                <w:sz w:val="24"/>
                <w:lang w:val="en-US" w:eastAsia="zh-CN"/>
              </w:rPr>
              <w:t>在项目竣工后投入生产前需</w:t>
            </w:r>
            <w:r>
              <w:rPr>
                <w:color w:val="auto"/>
                <w:sz w:val="24"/>
              </w:rPr>
              <w:t>在全国排污许可证管理信息平台填报，填报基本信息、污染物排放去向、执行的污染物排放标准以及采取的污染防治措施等信息</w:t>
            </w:r>
            <w:r>
              <w:rPr>
                <w:rFonts w:hint="eastAsia"/>
                <w:color w:val="auto"/>
                <w:sz w:val="24"/>
                <w:lang w:eastAsia="zh-CN"/>
              </w:rPr>
              <w:t>，</w:t>
            </w:r>
            <w:r>
              <w:rPr>
                <w:rFonts w:hint="eastAsia"/>
                <w:color w:val="auto"/>
                <w:sz w:val="24"/>
                <w:lang w:val="en-US" w:eastAsia="zh-CN"/>
              </w:rPr>
              <w:t>并取得排污许可手续</w:t>
            </w:r>
            <w:r>
              <w:rPr>
                <w:color w:val="auto"/>
                <w:sz w:val="24"/>
              </w:rPr>
              <w:t>。</w:t>
            </w:r>
          </w:p>
          <w:p>
            <w:pPr>
              <w:spacing w:line="360" w:lineRule="auto"/>
              <w:ind w:firstLineChars="200" w:firstLine="480"/>
              <w:rPr>
                <w:color w:val="auto"/>
                <w:sz w:val="24"/>
              </w:rPr>
            </w:pPr>
            <w:r>
              <w:rPr>
                <w:rFonts w:ascii="宋体" w:cs="宋体" w:hAnsi="宋体" w:hint="eastAsia"/>
                <w:color w:val="auto"/>
                <w:sz w:val="24"/>
              </w:rPr>
              <w:t>④</w:t>
            </w:r>
            <w:r>
              <w:rPr>
                <w:color w:val="auto"/>
                <w:sz w:val="24"/>
              </w:rPr>
              <w:t>建设项目竣工后，建设单位或者其委托的技术机构应当依照国家有关法律法规。建设</w:t>
            </w:r>
            <w:r>
              <w:rPr>
                <w:rFonts w:hint="eastAsia"/>
                <w:color w:val="auto"/>
                <w:sz w:val="24"/>
                <w:lang w:eastAsia="zh-CN"/>
              </w:rPr>
              <w:t>项目</w:t>
            </w:r>
            <w:r>
              <w:rPr>
                <w:color w:val="auto"/>
                <w:sz w:val="24"/>
              </w:rPr>
              <w:t>竣工环境保护验收技术规范。建设项目环境影响报告表和审批决定等要求，如实查验、监测、记载建设</w:t>
            </w:r>
            <w:r>
              <w:rPr>
                <w:rFonts w:ascii="宋体" w:cs="宋体" w:hAnsi="宋体" w:hint="eastAsia"/>
                <w:color w:val="auto"/>
                <w:sz w:val="24"/>
              </w:rPr>
              <w:t>项目环境保护设施的建设和调试情况，同时还应如实记载其他环境保护对策措施“三同时”落</w:t>
            </w:r>
            <w:r>
              <w:rPr>
                <w:color w:val="auto"/>
                <w:sz w:val="24"/>
              </w:rPr>
              <w:t>实情况，编制竣工环境保护验收报告。</w:t>
            </w:r>
          </w:p>
          <w:p>
            <w:pPr>
              <w:spacing w:line="360" w:lineRule="auto"/>
              <w:ind w:firstLineChars="200" w:firstLine="480"/>
              <w:rPr>
                <w:color w:val="auto"/>
                <w:sz w:val="24"/>
              </w:rPr>
            </w:pPr>
            <w:r>
              <w:rPr>
                <w:rFonts w:ascii="宋体" w:cs="宋体" w:hAnsi="宋体" w:hint="eastAsia"/>
                <w:color w:val="auto"/>
                <w:sz w:val="24"/>
              </w:rPr>
              <w:fldChar w:fldCharType="begin"/>
            </w:r>
            <w:r>
              <w:rPr>
                <w:rFonts w:ascii="宋体" w:cs="宋体" w:hAnsi="宋体" w:hint="eastAsia"/>
                <w:color w:val="auto"/>
                <w:sz w:val="24"/>
              </w:rPr>
              <w:instrText xml:space="preserve"> = 5 \* GB3 \* MERGEFORMAT </w:instrText>
            </w:r>
            <w:r>
              <w:rPr>
                <w:rFonts w:ascii="宋体" w:cs="宋体" w:hAnsi="宋体" w:hint="eastAsia"/>
                <w:color w:val="auto"/>
                <w:sz w:val="24"/>
              </w:rPr>
              <w:fldChar w:fldCharType="separate"/>
            </w:r>
            <w:r>
              <w:rPr>
                <w:rFonts w:ascii="宋体" w:cs="宋体" w:hAnsi="宋体" w:hint="eastAsia"/>
                <w:color w:val="auto"/>
                <w:sz w:val="24"/>
              </w:rPr>
              <w:t>⑤</w:t>
            </w:r>
            <w:r>
              <w:rPr>
                <w:rFonts w:ascii="宋体" w:cs="宋体" w:hAnsi="宋体" w:hint="eastAsia"/>
                <w:color w:val="auto"/>
                <w:sz w:val="24"/>
              </w:rPr>
              <w:fldChar w:fldCharType="end"/>
            </w:r>
            <w:r>
              <w:rPr>
                <w:color w:val="auto"/>
                <w:sz w:val="24"/>
              </w:rPr>
              <w:t>验收报告编制完成后，建设单位应组织成立验收工作组。验收工作组由建设单位、设计单位、施工单位、环境影响报告表编制机构、验收报告编制机构等单位代表和专业技术专家组成。建设单位应当对验收工作组提出的问题进行整改，合格后方可出具验收合格的意见。建设项目配套建设的环境保护设施经验收合格后，其主体工程才可以投入生产或者使用，并纳入环境保护管理部门的管理，对项目各阶段工作进行监督、检查。</w:t>
            </w:r>
          </w:p>
          <w:p>
            <w:pPr>
              <w:spacing w:line="360" w:lineRule="auto"/>
              <w:ind w:firstLineChars="200" w:firstLine="480"/>
              <w:rPr>
                <w:color w:val="auto"/>
                <w:sz w:val="24"/>
              </w:rPr>
            </w:pPr>
            <w:r>
              <w:rPr>
                <w:color w:val="auto"/>
                <w:sz w:val="24"/>
              </w:rPr>
              <w:t>建设单位按照《环境保护信息公开办法》进行相关信息的公开。</w:t>
            </w:r>
          </w:p>
          <w:p>
            <w:pPr>
              <w:spacing w:line="360" w:lineRule="auto"/>
              <w:ind w:firstLineChars="200" w:firstLine="480"/>
              <w:rPr>
                <w:color w:val="auto"/>
                <w:sz w:val="24"/>
              </w:rPr>
            </w:pPr>
            <w:r>
              <w:rPr>
                <w:color w:val="auto"/>
                <w:sz w:val="24"/>
              </w:rPr>
              <w:t>（2）排污口规范化管理</w:t>
            </w:r>
          </w:p>
          <w:p>
            <w:pPr>
              <w:spacing w:line="360" w:lineRule="auto"/>
              <w:ind w:firstLineChars="200" w:firstLine="480"/>
              <w:rPr>
                <w:color w:val="auto"/>
                <w:sz w:val="24"/>
              </w:rPr>
            </w:pPr>
            <w:r>
              <w:rPr>
                <w:rFonts w:hint="eastAsia"/>
                <w:color w:val="auto"/>
                <w:sz w:val="24"/>
              </w:rPr>
              <w:t>排污口要设立</w:t>
            </w:r>
            <w:r>
              <w:rPr>
                <w:rFonts w:hint="eastAsia"/>
                <w:color w:val="auto"/>
                <w:sz w:val="24"/>
                <w:lang w:eastAsia="zh-CN"/>
              </w:rPr>
              <w:t>标识</w:t>
            </w:r>
            <w:r>
              <w:rPr>
                <w:rFonts w:hint="eastAsia"/>
                <w:color w:val="auto"/>
                <w:sz w:val="24"/>
              </w:rPr>
              <w:t>管理，按照国家标准规定设立标志牌，根据排放口污染物的排放特点，设置提示性或警告性环境保护图形标志牌。一般污染源设置提示性标志牌</w:t>
            </w:r>
            <w:r>
              <w:rPr>
                <w:rFonts w:hint="eastAsia"/>
                <w:color w:val="auto"/>
                <w:sz w:val="24"/>
                <w:lang w:eastAsia="zh-CN"/>
              </w:rPr>
              <w:t>，</w:t>
            </w:r>
            <w:r>
              <w:rPr>
                <w:rFonts w:hint="eastAsia"/>
                <w:color w:val="auto"/>
                <w:sz w:val="24"/>
              </w:rPr>
              <w:t>其次废气排放口应按照国家有关规定，规范排气筒数量、高度。此外按照《固定污染源监测质量保证与质量控制技术规范（试行）》（</w:t>
            </w:r>
            <w:r>
              <w:rPr>
                <w:color w:val="auto"/>
                <w:sz w:val="24"/>
              </w:rPr>
              <w:t>HJ/T373</w:t>
            </w:r>
            <w:r>
              <w:rPr>
                <w:rFonts w:hint="eastAsia"/>
                <w:color w:val="auto"/>
                <w:sz w:val="24"/>
              </w:rPr>
              <w:t>－</w:t>
            </w:r>
            <w:r>
              <w:rPr>
                <w:color w:val="auto"/>
                <w:sz w:val="24"/>
              </w:rPr>
              <w:t>2007</w:t>
            </w:r>
            <w:r>
              <w:rPr>
                <w:rFonts w:hint="eastAsia"/>
                <w:color w:val="auto"/>
                <w:sz w:val="24"/>
              </w:rPr>
              <w:t>）和《固定污染源排气中颗粒物测定与气态污染物采样方法》（</w:t>
            </w:r>
            <w:r>
              <w:rPr>
                <w:color w:val="auto"/>
                <w:sz w:val="24"/>
              </w:rPr>
              <w:t>GB T 16157-1996</w:t>
            </w:r>
            <w:r>
              <w:rPr>
                <w:rFonts w:hint="eastAsia"/>
                <w:color w:val="auto"/>
                <w:sz w:val="24"/>
              </w:rPr>
              <w:t>），对现场监测条件按规范要求搭设采样监测平台，废气治理措施治理前、后预留监测孔，便于环境管理及监测部门的日常监督、检查及监测。</w:t>
            </w:r>
          </w:p>
          <w:p>
            <w:pPr>
              <w:spacing w:line="360" w:lineRule="auto"/>
              <w:ind w:firstLineChars="200" w:firstLine="480"/>
              <w:rPr>
                <w:color w:val="auto"/>
                <w:sz w:val="24"/>
              </w:rPr>
            </w:pPr>
            <w:r>
              <w:rPr>
                <w:color w:val="auto"/>
                <w:sz w:val="24"/>
              </w:rPr>
              <w:t>a</w:t>
            </w:r>
            <w:r>
              <w:rPr>
                <w:rFonts w:hint="eastAsia"/>
                <w:color w:val="auto"/>
                <w:sz w:val="24"/>
                <w:lang w:eastAsia="zh-CN"/>
              </w:rPr>
              <w:t>.</w:t>
            </w:r>
            <w:r>
              <w:rPr>
                <w:rFonts w:hint="eastAsia"/>
                <w:color w:val="auto"/>
                <w:sz w:val="24"/>
              </w:rPr>
              <w:t>建设规范化排污口</w:t>
            </w:r>
          </w:p>
          <w:p>
            <w:pPr>
              <w:spacing w:line="360" w:lineRule="auto"/>
              <w:ind w:firstLineChars="200" w:firstLine="480"/>
              <w:rPr>
                <w:color w:val="auto"/>
                <w:sz w:val="24"/>
              </w:rPr>
            </w:pPr>
            <w:r>
              <w:rPr>
                <w:rFonts w:hint="eastAsia"/>
                <w:color w:val="auto"/>
                <w:sz w:val="24"/>
              </w:rPr>
              <w:t>建设完善规范化排污口，同时建设的规范化排污口要充分考虑便于采集样品、便于监测计量、便于日常环境监督管理的要求。</w:t>
            </w:r>
          </w:p>
          <w:p>
            <w:pPr>
              <w:spacing w:line="360" w:lineRule="auto"/>
              <w:ind w:firstLineChars="200" w:firstLine="480"/>
              <w:rPr>
                <w:rFonts w:hint="eastAsia"/>
                <w:color w:val="auto"/>
                <w:sz w:val="24"/>
              </w:rPr>
            </w:pPr>
            <w:r>
              <w:rPr>
                <w:color w:val="auto"/>
                <w:sz w:val="24"/>
              </w:rPr>
              <w:t>b</w:t>
            </w:r>
            <w:r>
              <w:rPr>
                <w:rFonts w:hint="eastAsia"/>
                <w:color w:val="auto"/>
                <w:sz w:val="24"/>
                <w:lang w:eastAsia="zh-CN"/>
              </w:rPr>
              <w:t>.</w:t>
            </w:r>
            <w:r>
              <w:rPr>
                <w:rFonts w:hint="eastAsia"/>
                <w:color w:val="auto"/>
                <w:sz w:val="24"/>
              </w:rPr>
              <w:t>设立标志牌</w:t>
            </w:r>
          </w:p>
          <w:p>
            <w:pPr>
              <w:keepNext/>
              <w:keepLines/>
              <w:widowControl/>
              <w:spacing w:line="360" w:lineRule="auto"/>
              <w:ind w:firstLineChars="199" w:firstLine="478"/>
              <w:jc w:val="center"/>
              <w:rPr>
                <w:b/>
                <w:color w:val="auto"/>
                <w:sz w:val="24"/>
              </w:rPr>
            </w:pPr>
            <w:r>
              <w:rPr>
                <w:b/>
                <w:color w:val="auto"/>
                <w:sz w:val="24"/>
              </w:rPr>
              <w:drawing>
                <wp:inline distT="0" distB="0" distL="114300" distR="114300">
                  <wp:extent cx="1453515" cy="835025"/>
                  <wp:effectExtent l="14287" t="14287" r="14288" b="14288"/>
                  <wp:docPr id="1071" name="图片 1063" descr="687f15e72b2caa7fb261f25803ab729"/>
                  <wp:cNvGraphicFramePr>
                    <a:graphicFrameLocks noChangeAspect="1"/>
                  </wp:cNvGraphicFramePr>
                  <a:graphic>
                    <a:graphicData uri="http://schemas.openxmlformats.org/drawingml/2006/picture">
                      <pic:pic>
                        <pic:nvPicPr>
                          <pic:cNvPr id="122" name="图片 1063 122"/>
                          <pic:cNvPicPr/>
                        </pic:nvPicPr>
                        <pic:blipFill>
                          <a:blip r:embed="rId55"/>
                          <a:stretch>
                            <a:fillRect/>
                          </a:stretch>
                        </pic:blipFill>
                        <pic:spPr>
                          <a:xfrm rot="0">
                            <a:off x="0" y="0"/>
                            <a:ext cx="1453515" cy="835025"/>
                          </a:xfrm>
                          <a:prstGeom prst="rect"/>
                          <a:noFill/>
                          <a:ln w="9525" cmpd="sng" cap="flat">
                            <a:solidFill>
                              <a:srgbClr val="000000"/>
                            </a:solidFill>
                            <a:prstDash val="solid"/>
                            <a:miter/>
                          </a:ln>
                        </pic:spPr>
                      </pic:pic>
                    </a:graphicData>
                  </a:graphic>
                </wp:inline>
              </w:drawing>
            </w:r>
            <w:r>
              <w:rPr>
                <w:b/>
                <w:color w:val="auto"/>
                <w:sz w:val="24"/>
              </w:rPr>
              <w:drawing>
                <wp:inline distT="0" distB="0" distL="114300" distR="114300">
                  <wp:extent cx="1310640" cy="864235"/>
                  <wp:effectExtent l="0" t="0" r="0" b="1"/>
                  <wp:docPr id="1072" name="图片 1072" descr="废水排放口标识牌48X30cm"/>
                  <wp:cNvGraphicFramePr>
                    <a:graphicFrameLocks noChangeAspect="1"/>
                  </wp:cNvGraphicFramePr>
                  <a:graphic>
                    <a:graphicData uri="http://schemas.openxmlformats.org/drawingml/2006/picture">
                      <pic:pic>
                        <pic:nvPicPr>
                          <pic:cNvPr id="124" name="图片 124"/>
                          <pic:cNvPicPr/>
                        </pic:nvPicPr>
                        <pic:blipFill>
                          <a:blip r:embed="rId56"/>
                          <a:srcRect t="10073" b="6144" l="8000" r="5279"/>
                          <a:stretch>
                            <a:fillRect/>
                          </a:stretch>
                        </pic:blipFill>
                        <pic:spPr>
                          <a:xfrm rot="0">
                            <a:off x="0" y="0"/>
                            <a:ext cx="1310640" cy="864235"/>
                          </a:xfrm>
                          <a:prstGeom prst="rect"/>
                          <a:noFill/>
                          <a:ln w="9525" cmpd="sng" cap="flat">
                            <a:noFill/>
                            <a:prstDash val="solid"/>
                            <a:miter/>
                          </a:ln>
                        </pic:spPr>
                      </pic:pic>
                    </a:graphicData>
                  </a:graphic>
                </wp:inline>
              </w:drawing>
            </w:r>
            <w:r>
              <w:rPr>
                <w:b/>
                <w:color w:val="auto"/>
                <w:sz w:val="24"/>
              </w:rPr>
              <w:drawing>
                <wp:inline distT="0" distB="0" distL="114300" distR="114300">
                  <wp:extent cx="1610360" cy="840277"/>
                  <wp:effectExtent l="14287" t="14288" r="14288" b="14287"/>
                  <wp:docPr id="1073" name="图片 1062" descr="b8791a6bd6323c1da1ef52bfabe4d3b"/>
                  <wp:cNvGraphicFramePr>
                    <a:graphicFrameLocks noChangeAspect="1"/>
                  </wp:cNvGraphicFramePr>
                  <a:graphic>
                    <a:graphicData uri="http://schemas.openxmlformats.org/drawingml/2006/picture">
                      <pic:pic>
                        <pic:nvPicPr>
                          <pic:cNvPr id="126" name="图片 1062 126"/>
                          <pic:cNvPicPr/>
                        </pic:nvPicPr>
                        <pic:blipFill>
                          <a:blip r:embed="rId57"/>
                          <a:stretch>
                            <a:fillRect/>
                          </a:stretch>
                        </pic:blipFill>
                        <pic:spPr>
                          <a:xfrm rot="0">
                            <a:off x="0" y="0"/>
                            <a:ext cx="1610360" cy="840277"/>
                          </a:xfrm>
                          <a:prstGeom prst="rect"/>
                          <a:noFill/>
                          <a:ln w="9525" cmpd="sng" cap="flat">
                            <a:solidFill>
                              <a:srgbClr val="000000"/>
                            </a:solidFill>
                            <a:prstDash val="solid"/>
                            <a:miter/>
                          </a:ln>
                        </pic:spPr>
                      </pic:pic>
                    </a:graphicData>
                  </a:graphic>
                </wp:inline>
              </w:drawing>
            </w:r>
          </w:p>
          <w:p>
            <w:pPr>
              <w:keepNext/>
              <w:keepLines/>
              <w:widowControl/>
              <w:spacing w:line="360" w:lineRule="auto"/>
              <w:ind w:firstLineChars="199" w:firstLine="478"/>
              <w:jc w:val="center"/>
              <w:rPr>
                <w:b/>
                <w:color w:val="auto"/>
                <w:sz w:val="24"/>
              </w:rPr>
            </w:pPr>
            <w:r>
              <w:rPr>
                <w:b/>
                <w:color w:val="auto"/>
                <w:sz w:val="24"/>
              </w:rPr>
              <w:t>图</w:t>
            </w:r>
            <w:r>
              <w:rPr>
                <w:rFonts w:hint="eastAsia"/>
                <w:b/>
                <w:color w:val="auto"/>
                <w:sz w:val="24"/>
              </w:rPr>
              <w:t>4-</w:t>
            </w:r>
            <w:r>
              <w:rPr>
                <w:rFonts w:hint="eastAsia"/>
                <w:b/>
                <w:color w:val="auto"/>
                <w:sz w:val="24"/>
                <w:lang w:val="en-US" w:eastAsia="zh-CN"/>
              </w:rPr>
              <w:t>5</w:t>
            </w:r>
            <w:r>
              <w:rPr>
                <w:b/>
                <w:color w:val="auto"/>
                <w:sz w:val="24"/>
              </w:rPr>
              <w:t xml:space="preserve">  环境保护图形标志牌</w:t>
            </w:r>
          </w:p>
          <w:p>
            <w:pPr>
              <w:spacing w:line="360" w:lineRule="auto"/>
              <w:ind w:firstLineChars="200" w:firstLine="480"/>
              <w:rPr>
                <w:color w:val="auto"/>
                <w:sz w:val="24"/>
              </w:rPr>
            </w:pPr>
            <w:r>
              <w:rPr>
                <w:color w:val="auto"/>
                <w:sz w:val="24"/>
              </w:rPr>
              <w:t>c</w:t>
            </w:r>
            <w:r>
              <w:rPr>
                <w:rFonts w:hint="eastAsia"/>
                <w:color w:val="auto"/>
                <w:sz w:val="24"/>
                <w:lang w:eastAsia="zh-CN"/>
              </w:rPr>
              <w:t>.</w:t>
            </w:r>
            <w:r>
              <w:rPr>
                <w:rFonts w:hint="eastAsia"/>
                <w:color w:val="auto"/>
                <w:sz w:val="24"/>
              </w:rPr>
              <w:t>建立规范化排污口档案</w:t>
            </w:r>
          </w:p>
          <w:p>
            <w:pPr>
              <w:spacing w:line="360" w:lineRule="auto"/>
              <w:ind w:firstLineChars="200" w:firstLine="480"/>
              <w:rPr>
                <w:color w:val="auto"/>
                <w:sz w:val="24"/>
              </w:rPr>
            </w:pPr>
            <w:r>
              <w:rPr>
                <w:rFonts w:hint="eastAsia"/>
                <w:color w:val="auto"/>
                <w:sz w:val="24"/>
              </w:rPr>
              <w:t>建立各排污口相应的监督管理档案，内容包括排污单位名称，排污口性质及编号，排污口的地理位置（</w:t>
            </w:r>
            <w:r>
              <w:rPr>
                <w:color w:val="auto"/>
                <w:sz w:val="24"/>
              </w:rPr>
              <w:t>GPS</w:t>
            </w:r>
            <w:r>
              <w:rPr>
                <w:rFonts w:hint="eastAsia"/>
                <w:color w:val="auto"/>
                <w:sz w:val="24"/>
              </w:rPr>
              <w:t>定位经纬度），排污口所排放的主要污染物种类、数量、浓度及排放去向、</w:t>
            </w:r>
            <w:r>
              <w:rPr>
                <w:rFonts w:hint="eastAsia"/>
                <w:color w:val="auto"/>
                <w:sz w:val="24"/>
                <w:lang w:eastAsia="zh-CN"/>
              </w:rPr>
              <w:t>达标</w:t>
            </w:r>
            <w:r>
              <w:rPr>
                <w:rFonts w:hint="eastAsia"/>
                <w:color w:val="auto"/>
                <w:sz w:val="24"/>
              </w:rPr>
              <w:t>情况，设施运行及日常现场监督检查记录等有关资料和记录。</w:t>
            </w:r>
          </w:p>
          <w:p>
            <w:pPr>
              <w:spacing w:line="360" w:lineRule="auto"/>
              <w:ind w:firstLineChars="200" w:firstLine="480"/>
              <w:rPr>
                <w:b/>
                <w:color w:val="auto"/>
                <w:sz w:val="24"/>
              </w:rPr>
            </w:pPr>
            <w:r>
              <w:rPr>
                <w:rFonts w:hint="eastAsia"/>
                <w:b/>
                <w:color w:val="auto"/>
                <w:sz w:val="24"/>
                <w:lang w:val="en-US" w:eastAsia="zh-CN"/>
              </w:rPr>
              <w:t>八</w:t>
            </w:r>
            <w:r>
              <w:rPr>
                <w:b/>
                <w:color w:val="auto"/>
                <w:sz w:val="24"/>
              </w:rPr>
              <w:t>、电磁辐射</w:t>
            </w:r>
          </w:p>
          <w:p>
            <w:pPr>
              <w:spacing w:line="360" w:lineRule="auto"/>
              <w:ind w:firstLineChars="200" w:firstLine="480"/>
              <w:rPr>
                <w:b/>
                <w:color w:val="auto"/>
                <w:sz w:val="24"/>
              </w:rPr>
            </w:pPr>
            <w:r>
              <w:rPr>
                <w:color w:val="auto"/>
                <w:sz w:val="24"/>
              </w:rPr>
              <w:t>本</w:t>
            </w:r>
            <w:r>
              <w:rPr>
                <w:rFonts w:hint="eastAsia"/>
                <w:color w:val="auto"/>
                <w:sz w:val="24"/>
                <w:szCs w:val="32"/>
              </w:rPr>
              <w:t>项目</w:t>
            </w:r>
            <w:r>
              <w:rPr>
                <w:color w:val="auto"/>
                <w:sz w:val="24"/>
              </w:rPr>
              <w:t>不涉及电磁辐射环境影响</w:t>
            </w:r>
            <w:r>
              <w:rPr>
                <w:rFonts w:hint="eastAsia"/>
                <w:color w:val="auto"/>
                <w:sz w:val="24"/>
              </w:rPr>
              <w:t>。</w:t>
            </w:r>
          </w:p>
          <w:p>
            <w:pPr>
              <w:spacing w:line="360" w:lineRule="auto"/>
              <w:ind w:firstLineChars="200" w:firstLine="480"/>
              <w:rPr>
                <w:rFonts w:hint="eastAsia"/>
                <w:b/>
                <w:color w:val="auto"/>
                <w:sz w:val="24"/>
                <w:lang w:val="en-US" w:eastAsia="zh-CN"/>
              </w:rPr>
            </w:pPr>
            <w:r>
              <w:rPr>
                <w:rFonts w:hint="eastAsia"/>
                <w:b/>
                <w:color w:val="auto"/>
                <w:sz w:val="24"/>
                <w:lang w:val="en-US" w:eastAsia="zh-CN"/>
              </w:rPr>
              <w:t>九、生态</w:t>
            </w:r>
          </w:p>
          <w:p>
            <w:pPr>
              <w:bidi w:val="0"/>
              <w:rPr>
                <w:rFonts w:hint="eastAsia"/>
                <w:color w:val="auto"/>
                <w:lang w:val="en-US" w:eastAsia="zh-CN"/>
              </w:rPr>
            </w:pPr>
            <w:r>
              <w:rPr>
                <w:rFonts w:hint="eastAsia"/>
                <w:color w:val="auto"/>
                <w:lang w:val="en-US" w:eastAsia="zh-CN"/>
              </w:rPr>
              <w:t>河北省石家庄市栾城区装备制造产业园区内，占地类型为工业用地，且项目选址范围内无重要的生态环境保护目标。</w:t>
            </w:r>
          </w:p>
        </w:tc>
      </w:tr>
    </w:tbl>
    <w:p>
      <w:pPr>
        <w:ind w:left="0"/>
        <w:jc w:val="both"/>
        <w:rPr>
          <w:b/>
          <w:color w:val="auto"/>
          <w:kern w:val="0"/>
          <w:szCs w:val="28"/>
        </w:rPr>
        <w:sectPr>
          <w:pgSz w:w="11907" w:h="16840"/>
          <w:pgMar w:top="1417" w:right="1417" w:bottom="1417" w:left="1417" w:header="851" w:footer="851" w:gutter="0"/>
          <w:pgNumType/>
          <w:cols w:num="1" w:space="720"/>
          <w:docGrid w:linePitch="312" w:charSpace="0"/>
        </w:sectPr>
      </w:pPr>
    </w:p>
    <w:p>
      <w:pPr>
        <w:jc w:val="center"/>
        <w:outlineLvl w:val="0"/>
        <w:rPr>
          <w:rFonts w:ascii="Times New Roman" w:eastAsia="黑体" w:hAnsi="Times New Roman"/>
          <w:snapToGrid w:val="0"/>
          <w:color w:val="auto"/>
          <w:sz w:val="30"/>
          <w:szCs w:val="30"/>
        </w:rPr>
      </w:pPr>
      <w:r>
        <w:rPr>
          <w:rFonts w:ascii="Times New Roman" w:eastAsia="黑体" w:hAnsi="Times New Roman"/>
          <w:snapToGrid w:val="0"/>
          <w:color w:val="auto"/>
          <w:sz w:val="30"/>
          <w:szCs w:val="30"/>
        </w:rPr>
        <w:t>五、</w:t>
      </w:r>
      <w:bookmarkStart w:id="11" w:name="_Hlk54167917"/>
      <w:r>
        <w:rPr>
          <w:rFonts w:ascii="Times New Roman" w:eastAsia="黑体" w:hAnsi="Times New Roman"/>
          <w:snapToGrid w:val="0"/>
          <w:color w:val="auto"/>
          <w:sz w:val="30"/>
          <w:szCs w:val="30"/>
        </w:rPr>
        <w:t>环境保护措施监督检查清单</w:t>
      </w:r>
      <w:bookmarkEnd w:id="11"/>
    </w:p>
    <w:tbl>
      <w:tblPr>
        <w:jc w:val="cent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34"/>
        <w:gridCol w:w="1474"/>
        <w:gridCol w:w="1286"/>
        <w:gridCol w:w="2300"/>
        <w:gridCol w:w="3185"/>
      </w:tblGrid>
      <w:tr>
        <w:trPr>
          <w:trHeight w:val="23"/>
        </w:trPr>
        <w:tc>
          <w:tcPr>
            <w:tcW w:w="557" w:type="pct"/>
            <w:tcBorders>
              <w:bottom w:val="single" w:sz="4" w:space="0" w:color="auto"/>
              <w:tl2br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r>
              <w:rPr>
                <w:rFonts w:hint="eastAsia"/>
                <w:color w:val="auto"/>
                <w:sz w:val="24"/>
                <w:szCs w:val="24"/>
                <w:lang w:val="en-US" w:eastAsia="zh-CN"/>
              </w:rPr>
              <w:t xml:space="preserve">  </w:t>
            </w:r>
            <w:r>
              <w:rPr>
                <w:color w:val="auto"/>
                <w:sz w:val="24"/>
                <w:szCs w:val="24"/>
              </w:rPr>
              <w:t>内容</w:t>
            </w:r>
          </w:p>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p>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p>
          <w:p>
            <w:pPr>
              <w:keepNext w:val="0"/>
              <w:keepLines w:val="0"/>
              <w:pageBreakBefore w:val="0"/>
              <w:widowControl w:val="0"/>
              <w:kinsoku/>
              <w:wordWrap/>
              <w:overflowPunct/>
              <w:topLinePunct w:val="0"/>
              <w:autoSpaceDE/>
              <w:autoSpaceDN/>
              <w:bidi w:val="0"/>
              <w:spacing w:line="240" w:lineRule="auto"/>
              <w:ind w:left="0" w:firstLineChars="0" w:firstLine="0"/>
              <w:jc w:val="both"/>
              <w:textAlignment w:val="auto"/>
              <w:rPr>
                <w:color w:val="auto"/>
                <w:sz w:val="24"/>
                <w:szCs w:val="24"/>
              </w:rPr>
            </w:pPr>
            <w:r>
              <w:rPr>
                <w:color w:val="auto"/>
                <w:sz w:val="24"/>
                <w:szCs w:val="24"/>
              </w:rPr>
              <w:t>要素</w:t>
            </w:r>
          </w:p>
        </w:tc>
        <w:tc>
          <w:tcPr>
            <w:tcW w:w="794" w:type="pct"/>
            <w:tcBorders>
              <w:bottom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排放口</w:t>
            </w:r>
            <w:r>
              <w:rPr>
                <w:rFonts w:hint="eastAsia"/>
                <w:color w:val="auto"/>
                <w:sz w:val="24"/>
                <w:szCs w:val="24"/>
                <w:lang w:eastAsia="zh-CN"/>
              </w:rPr>
              <w:t>（</w:t>
            </w:r>
            <w:r>
              <w:rPr>
                <w:color w:val="auto"/>
                <w:sz w:val="24"/>
                <w:szCs w:val="24"/>
              </w:rPr>
              <w:t>编号、名称</w:t>
            </w:r>
            <w:r>
              <w:rPr>
                <w:rFonts w:hint="eastAsia"/>
                <w:color w:val="auto"/>
                <w:sz w:val="24"/>
                <w:szCs w:val="24"/>
                <w:lang w:eastAsia="zh-CN"/>
              </w:rPr>
              <w:t>）</w:t>
            </w:r>
            <w:r>
              <w:rPr>
                <w:color w:val="auto"/>
                <w:sz w:val="24"/>
                <w:szCs w:val="24"/>
              </w:rPr>
              <w:t>/污染源</w:t>
            </w:r>
          </w:p>
        </w:tc>
        <w:tc>
          <w:tcPr>
            <w:tcW w:w="693" w:type="pct"/>
            <w:tcBorders>
              <w:bottom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污染物项目</w:t>
            </w:r>
          </w:p>
        </w:tc>
        <w:tc>
          <w:tcPr>
            <w:tcW w:w="1239" w:type="pct"/>
            <w:tcBorders>
              <w:bottom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环境保护措施</w:t>
            </w:r>
          </w:p>
        </w:tc>
        <w:tc>
          <w:tcPr>
            <w:tcW w:w="1716" w:type="pct"/>
            <w:tcBorders>
              <w:bottom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执行标准</w:t>
            </w:r>
          </w:p>
        </w:tc>
      </w:tr>
      <w:tr>
        <w:trPr>
          <w:trHeight w:val="23"/>
        </w:trPr>
        <w:tc>
          <w:tcPr>
            <w:tcW w:w="557"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hint="eastAsia"/>
                <w:color w:val="auto"/>
                <w:sz w:val="24"/>
                <w:szCs w:val="24"/>
              </w:rPr>
            </w:pPr>
            <w:r>
              <w:rPr>
                <w:rFonts w:hint="eastAsia"/>
                <w:color w:val="auto"/>
                <w:sz w:val="24"/>
                <w:szCs w:val="24"/>
              </w:rPr>
              <w:t>大气</w:t>
            </w:r>
          </w:p>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rFonts w:hint="eastAsia"/>
                <w:color w:val="auto"/>
                <w:sz w:val="24"/>
                <w:szCs w:val="24"/>
              </w:rPr>
              <w:t>环境</w:t>
            </w:r>
          </w:p>
        </w:tc>
        <w:tc>
          <w:tcPr>
            <w:tcW w:w="794" w:type="pct"/>
            <w:vMerge w:val="restart"/>
            <w:tcBorders>
              <w:left w:val="single" w:sz="4" w:space="0" w:color="auto"/>
            </w:tcBorders>
            <w:vAlign w:val="center"/>
          </w:tcPr>
          <w:p>
            <w:pPr>
              <w:pStyle w:val="23"/>
              <w:bidi w:val="0"/>
              <w:spacing w:line="240" w:lineRule="auto"/>
              <w:rPr>
                <w:color w:val="auto"/>
                <w:sz w:val="24"/>
                <w:szCs w:val="24"/>
                <w:lang w:val="en-US" w:eastAsia="zh-CN"/>
                <w:highlight w:val="yellow"/>
              </w:rPr>
            </w:pPr>
            <w:r>
              <w:rPr>
                <w:rFonts w:hint="eastAsia"/>
                <w:color w:val="auto"/>
                <w:sz w:val="24"/>
                <w:szCs w:val="24"/>
                <w:lang w:val="en-US" w:eastAsia="zh-CN"/>
              </w:rPr>
              <w:t>打码、热合封口、贴管、饮料灌装、检测实验室、食品添加剂生产、PE包装膜加热废气排气筒DA001（15m）</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非甲烷总烃</w:t>
            </w:r>
          </w:p>
        </w:tc>
        <w:tc>
          <w:tcPr>
            <w:tcW w:w="1239" w:type="pct"/>
            <w:vMerge w:val="restart"/>
            <w:tcBorders>
              <w:left w:val="single" w:sz="4" w:space="0" w:color="auto"/>
            </w:tcBorders>
            <w:vAlign w:val="center"/>
          </w:tcPr>
          <w:p>
            <w:pPr>
              <w:pStyle w:val="23"/>
              <w:bidi w:val="0"/>
              <w:spacing w:line="240" w:lineRule="auto"/>
              <w:rPr>
                <w:color w:val="auto"/>
                <w:sz w:val="24"/>
                <w:szCs w:val="24"/>
                <w:lang w:val="en-US" w:eastAsia="zh-CN"/>
              </w:rPr>
            </w:pPr>
            <w:r>
              <w:rPr>
                <w:color w:val="auto"/>
                <w:sz w:val="24"/>
                <w:szCs w:val="24"/>
                <w:lang w:val="en-US" w:eastAsia="zh-CN"/>
              </w:rPr>
              <w:t>干式过滤+两级活性炭吸附装置</w:t>
            </w:r>
          </w:p>
        </w:tc>
        <w:tc>
          <w:tcPr>
            <w:tcW w:w="1716"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4"/>
                <w:szCs w:val="24"/>
                <w:lang w:val="en-US" w:eastAsia="zh-CN" w:bidi="ar-SA"/>
              </w:rPr>
            </w:pPr>
            <w:r>
              <w:rPr>
                <w:color w:val="auto"/>
                <w:sz w:val="24"/>
                <w:szCs w:val="24"/>
              </w:rPr>
              <w:t>《工业企业挥发性有机物排放控制标准》（DB13/2322-20</w:t>
            </w:r>
            <w:r>
              <w:rPr>
                <w:rFonts w:hint="eastAsia"/>
                <w:color w:val="auto"/>
                <w:sz w:val="24"/>
                <w:szCs w:val="24"/>
                <w:lang w:val="en-US" w:eastAsia="zh-CN"/>
              </w:rPr>
              <w:t>25</w:t>
            </w:r>
            <w:r>
              <w:rPr>
                <w:color w:val="auto"/>
                <w:sz w:val="24"/>
                <w:szCs w:val="24"/>
              </w:rPr>
              <w:t>）</w:t>
            </w:r>
            <w:r>
              <w:rPr>
                <w:rFonts w:hint="eastAsia"/>
                <w:color w:val="auto"/>
                <w:sz w:val="24"/>
                <w:szCs w:val="24"/>
              </w:rPr>
              <w:t>表1</w:t>
            </w:r>
            <w:r>
              <w:rPr>
                <w:rFonts w:hint="eastAsia"/>
                <w:color w:val="auto"/>
                <w:sz w:val="24"/>
                <w:szCs w:val="24"/>
                <w:lang w:val="en-US" w:eastAsia="zh-CN"/>
              </w:rPr>
              <w:t>其他工业行业</w:t>
            </w:r>
            <w:r>
              <w:rPr>
                <w:rFonts w:hint="eastAsia"/>
                <w:color w:val="auto"/>
                <w:sz w:val="24"/>
                <w:szCs w:val="24"/>
              </w:rPr>
              <w:t>排放限值要求</w:t>
            </w: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臭气浓度</w:t>
            </w:r>
          </w:p>
        </w:tc>
        <w:tc>
          <w:tcPr>
            <w:tcW w:w="1239" w:type="pct"/>
            <w:vMerge/>
            <w:tcBorders>
              <w:left w:val="single" w:sz="4" w:space="0" w:color="auto"/>
            </w:tcBorders>
            <w:vAlign w:val="center"/>
          </w:tcPr>
          <w:p/>
        </w:tc>
        <w:tc>
          <w:tcPr>
            <w:tcW w:w="1716" w:type="pct"/>
            <w:tcBorders>
              <w:left w:val="single" w:sz="4" w:space="0" w:color="auto"/>
            </w:tcBorders>
            <w:shd w:val="clear" w:color="auto" w:fill="auto"/>
            <w:vAlign w:val="center"/>
          </w:tcPr>
          <w:p>
            <w:pPr>
              <w:pStyle w:val="23"/>
              <w:bidi w:val="0"/>
              <w:rPr>
                <w:color w:val="auto"/>
                <w:sz w:val="24"/>
                <w:szCs w:val="24"/>
              </w:rPr>
            </w:pPr>
            <w:r>
              <w:rPr>
                <w:color w:val="auto"/>
                <w:sz w:val="24"/>
                <w:szCs w:val="24"/>
              </w:rPr>
              <w:t>《恶臭污染物排放标准》（GB14554-93）</w:t>
            </w:r>
          </w:p>
          <w:p>
            <w:pPr>
              <w:pStyle w:val="23"/>
              <w:bidi w:val="0"/>
              <w:ind w:firstLine="0"/>
              <w:rPr>
                <w:rFonts w:ascii="Times New Roman" w:eastAsia="宋体" w:cs="Times New Roman" w:hAnsi="Times New Roman"/>
                <w:color w:val="auto"/>
                <w:kern w:val="0"/>
                <w:sz w:val="24"/>
                <w:szCs w:val="24"/>
                <w:lang w:val="en-US" w:eastAsia="zh-CN" w:bidi="ar-SA"/>
              </w:rPr>
            </w:pPr>
            <w:r>
              <w:rPr>
                <w:color w:val="auto"/>
                <w:sz w:val="24"/>
                <w:szCs w:val="24"/>
              </w:rPr>
              <w:t>表2恶臭污染物排放标准值</w:t>
            </w:r>
          </w:p>
        </w:tc>
      </w:tr>
      <w:tr>
        <w:trPr>
          <w:trHeight w:val="23"/>
        </w:trPr>
        <w:tc>
          <w:tcPr>
            <w:tcW w:w="557" w:type="pct"/>
            <w:vMerge/>
            <w:vAlign w:val="center"/>
          </w:tcPr>
          <w:p/>
        </w:tc>
        <w:tc>
          <w:tcPr>
            <w:tcW w:w="794" w:type="pct"/>
            <w:tcBorders>
              <w:left w:val="single" w:sz="4" w:space="0" w:color="auto"/>
            </w:tcBorders>
            <w:vAlign w:val="center"/>
          </w:tcPr>
          <w:p>
            <w:pPr>
              <w:keepNext w:val="0"/>
              <w:keepLines w:val="0"/>
              <w:pageBreakBefore w:val="0"/>
              <w:widowControl w:val="0"/>
              <w:tabs>
                <w:tab w:val="left" w:pos="417"/>
              </w:tabs>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lang w:val="en-US"/>
              </w:rPr>
            </w:pPr>
            <w:r>
              <w:rPr>
                <w:rFonts w:hint="eastAsia"/>
                <w:color w:val="auto"/>
                <w:sz w:val="24"/>
                <w:szCs w:val="24"/>
                <w:lang w:val="en-US" w:eastAsia="zh-CN"/>
              </w:rPr>
              <w:t>粉料灌装、真空上料、喷雾干燥废气排气筒DA002（15m）</w:t>
            </w:r>
          </w:p>
        </w:tc>
        <w:tc>
          <w:tcPr>
            <w:tcW w:w="693"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rFonts w:hint="eastAsia"/>
                <w:color w:val="auto"/>
                <w:sz w:val="24"/>
                <w:szCs w:val="24"/>
                <w:lang w:val="en-US" w:eastAsia="zh-CN"/>
              </w:rPr>
              <w:t>颗粒物</w:t>
            </w:r>
          </w:p>
        </w:tc>
        <w:tc>
          <w:tcPr>
            <w:tcW w:w="1239"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rFonts w:hint="eastAsia"/>
                <w:color w:val="auto"/>
                <w:sz w:val="24"/>
                <w:szCs w:val="24"/>
                <w:lang w:val="en-US" w:eastAsia="zh-CN"/>
              </w:rPr>
              <w:t>布袋除尘器</w:t>
            </w:r>
          </w:p>
        </w:tc>
        <w:tc>
          <w:tcPr>
            <w:tcW w:w="1716"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ascii="Times New Roman" w:eastAsia="宋体" w:cs="Times New Roman" w:hAnsi="Times New Roman"/>
                <w:color w:val="auto"/>
                <w:kern w:val="2"/>
                <w:sz w:val="24"/>
                <w:szCs w:val="24"/>
                <w:lang w:val="en-US" w:eastAsia="zh-CN" w:bidi="ar-SA"/>
              </w:rPr>
            </w:pPr>
            <w:r>
              <w:rPr>
                <w:rFonts w:hint="eastAsia"/>
                <w:color w:val="auto"/>
                <w:sz w:val="24"/>
                <w:szCs w:val="24"/>
                <w:lang w:val="en-US" w:eastAsia="zh-CN"/>
              </w:rPr>
              <w:t>《大气污染物综合排放标准》(GB16297-1996）表2二级排放限值</w:t>
            </w:r>
          </w:p>
        </w:tc>
      </w:tr>
      <w:tr>
        <w:trPr>
          <w:trHeight w:val="23"/>
        </w:trPr>
        <w:tc>
          <w:tcPr>
            <w:tcW w:w="557" w:type="pct"/>
            <w:vMerge/>
            <w:vAlign w:val="center"/>
          </w:tcPr>
          <w:p/>
        </w:tc>
        <w:tc>
          <w:tcPr>
            <w:tcW w:w="794" w:type="pct"/>
            <w:vMerge w:val="restart"/>
            <w:tcBorders>
              <w:left w:val="single" w:sz="4" w:space="0" w:color="auto"/>
            </w:tcBorders>
            <w:vAlign w:val="center"/>
          </w:tcPr>
          <w:p>
            <w:pPr>
              <w:keepNext w:val="0"/>
              <w:keepLines w:val="0"/>
              <w:pageBreakBefore w:val="0"/>
              <w:widowControl w:val="0"/>
              <w:tabs>
                <w:tab w:val="left" w:pos="417"/>
              </w:tabs>
              <w:kinsoku/>
              <w:wordWrap/>
              <w:overflowPunct/>
              <w:topLinePunct w:val="0"/>
              <w:autoSpaceDE/>
              <w:autoSpaceDN/>
              <w:bidi w:val="0"/>
              <w:adjustRightInd w:val="0"/>
              <w:snapToGrid w:val="0"/>
              <w:spacing w:line="240" w:lineRule="auto"/>
              <w:ind w:left="0" w:firstLineChars="0" w:firstLine="0"/>
              <w:jc w:val="center"/>
              <w:textAlignment w:val="auto"/>
              <w:rPr>
                <w:rFonts w:eastAsia="宋体"/>
                <w:color w:val="auto"/>
                <w:sz w:val="24"/>
                <w:szCs w:val="24"/>
                <w:lang w:val="en-US" w:eastAsia="zh-CN"/>
              </w:rPr>
            </w:pPr>
            <w:r>
              <w:rPr>
                <w:rFonts w:hint="eastAsia"/>
                <w:color w:val="auto"/>
                <w:sz w:val="24"/>
                <w:szCs w:val="24"/>
                <w:lang w:val="en-US" w:eastAsia="zh-CN"/>
              </w:rPr>
              <w:t>污水处理站废气排气筒DA003（15m）</w:t>
            </w:r>
          </w:p>
        </w:tc>
        <w:tc>
          <w:tcPr>
            <w:tcW w:w="693" w:type="pct"/>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4"/>
                <w:szCs w:val="24"/>
                <w:lang w:val="en-US" w:eastAsia="zh-CN" w:bidi="ar-SA"/>
              </w:rPr>
            </w:pPr>
            <w:r>
              <w:rPr>
                <w:rFonts w:hint="eastAsia"/>
                <w:color w:val="auto"/>
                <w:sz w:val="24"/>
                <w:szCs w:val="24"/>
              </w:rPr>
              <w:t>氨</w:t>
            </w:r>
          </w:p>
        </w:tc>
        <w:tc>
          <w:tcPr>
            <w:tcW w:w="1239"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eastAsia="宋体"/>
                <w:color w:val="auto"/>
                <w:sz w:val="24"/>
                <w:szCs w:val="24"/>
                <w:lang w:val="en-US" w:eastAsia="zh-CN"/>
              </w:rPr>
            </w:pPr>
            <w:r>
              <w:rPr>
                <w:rFonts w:hint="eastAsia"/>
                <w:color w:val="auto"/>
                <w:sz w:val="24"/>
                <w:szCs w:val="24"/>
                <w:lang w:val="en-US" w:eastAsia="zh-CN"/>
              </w:rPr>
              <w:t>碱喷淋装置</w:t>
            </w:r>
          </w:p>
        </w:tc>
        <w:tc>
          <w:tcPr>
            <w:tcW w:w="1716"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color w:val="auto"/>
                <w:sz w:val="24"/>
                <w:szCs w:val="24"/>
              </w:rPr>
            </w:pPr>
            <w:r>
              <w:rPr>
                <w:color w:val="auto"/>
                <w:sz w:val="24"/>
                <w:szCs w:val="24"/>
              </w:rPr>
              <w:t>《恶臭污染物排放标准》（GB14554-93）</w:t>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color w:val="auto"/>
                <w:sz w:val="24"/>
                <w:szCs w:val="24"/>
              </w:rPr>
            </w:pPr>
            <w:r>
              <w:rPr>
                <w:color w:val="auto"/>
                <w:sz w:val="24"/>
                <w:szCs w:val="24"/>
              </w:rPr>
              <w:t>表2恶臭污染物排放标准值</w:t>
            </w: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4"/>
                <w:szCs w:val="24"/>
                <w:lang w:val="en-US" w:eastAsia="zh-CN" w:bidi="ar-SA"/>
              </w:rPr>
            </w:pPr>
            <w:r>
              <w:rPr>
                <w:rFonts w:hint="eastAsia"/>
                <w:color w:val="auto"/>
                <w:sz w:val="24"/>
                <w:szCs w:val="24"/>
              </w:rPr>
              <w:t>硫化氢</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4"/>
                <w:szCs w:val="24"/>
                <w:lang w:val="en-US" w:eastAsia="zh-CN" w:bidi="ar-SA"/>
              </w:rPr>
            </w:pPr>
            <w:r>
              <w:rPr>
                <w:rFonts w:hint="eastAsia"/>
                <w:color w:val="auto"/>
                <w:sz w:val="24"/>
                <w:szCs w:val="24"/>
              </w:rPr>
              <w:t>臭气浓度</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val="restart"/>
            <w:tcBorders>
              <w:left w:val="single" w:sz="4" w:space="0" w:color="auto"/>
            </w:tcBorders>
            <w:vAlign w:val="center"/>
          </w:tcPr>
          <w:p>
            <w:pPr>
              <w:keepNext w:val="0"/>
              <w:keepLines w:val="0"/>
              <w:pageBreakBefore w:val="0"/>
              <w:widowControl w:val="0"/>
              <w:tabs>
                <w:tab w:val="left" w:pos="417"/>
              </w:tabs>
              <w:kinsoku/>
              <w:wordWrap/>
              <w:overflowPunct/>
              <w:topLinePunct w:val="0"/>
              <w:autoSpaceDE/>
              <w:autoSpaceDN/>
              <w:bidi w:val="0"/>
              <w:adjustRightInd w:val="0"/>
              <w:snapToGrid w:val="0"/>
              <w:spacing w:line="240" w:lineRule="auto"/>
              <w:ind w:left="0" w:firstLineChars="0" w:firstLine="0"/>
              <w:jc w:val="center"/>
              <w:textAlignment w:val="auto"/>
              <w:rPr>
                <w:rFonts w:eastAsia="宋体"/>
                <w:color w:val="auto"/>
                <w:sz w:val="24"/>
                <w:szCs w:val="24"/>
                <w:lang w:val="en-US" w:eastAsia="zh-CN"/>
              </w:rPr>
            </w:pPr>
            <w:r>
              <w:rPr>
                <w:rFonts w:hint="eastAsia"/>
                <w:color w:val="auto"/>
                <w:sz w:val="24"/>
                <w:szCs w:val="24"/>
                <w:lang w:val="en-US" w:eastAsia="zh-CN"/>
              </w:rPr>
              <w:t>蒸汽发生器烟气排气筒DA005（15m）</w:t>
            </w:r>
          </w:p>
        </w:tc>
        <w:tc>
          <w:tcPr>
            <w:tcW w:w="693"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eastAsia="宋体"/>
                <w:color w:val="auto"/>
                <w:sz w:val="24"/>
                <w:szCs w:val="24"/>
                <w:lang w:val="en-US" w:eastAsia="zh-CN"/>
              </w:rPr>
            </w:pPr>
            <w:r>
              <w:rPr>
                <w:rFonts w:hint="eastAsia"/>
                <w:color w:val="auto"/>
                <w:sz w:val="24"/>
                <w:szCs w:val="24"/>
                <w:lang w:val="en-US" w:eastAsia="zh-CN"/>
              </w:rPr>
              <w:t>氮氧化物</w:t>
            </w:r>
          </w:p>
        </w:tc>
        <w:tc>
          <w:tcPr>
            <w:tcW w:w="1239"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eastAsia="宋体" w:hint="eastAsia"/>
                <w:color w:val="auto"/>
                <w:sz w:val="24"/>
                <w:szCs w:val="24"/>
                <w:lang w:val="en-US" w:eastAsia="zh-CN"/>
              </w:rPr>
            </w:pPr>
            <w:r>
              <w:rPr>
                <w:rFonts w:hint="eastAsia"/>
                <w:color w:val="auto"/>
                <w:sz w:val="24"/>
                <w:szCs w:val="24"/>
                <w:lang w:val="en-US" w:eastAsia="zh-CN"/>
              </w:rPr>
              <w:t>低氮燃烧技术</w:t>
            </w:r>
          </w:p>
        </w:tc>
        <w:tc>
          <w:tcPr>
            <w:tcW w:w="1716"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rFonts w:eastAsia="宋体" w:hint="eastAsia"/>
                <w:color w:val="auto"/>
                <w:sz w:val="24"/>
                <w:szCs w:val="24"/>
                <w:lang w:eastAsia="zh-CN"/>
              </w:rPr>
            </w:pPr>
            <w:r>
              <w:rPr>
                <w:rFonts w:eastAsia="宋体" w:hint="eastAsia"/>
                <w:color w:val="auto"/>
                <w:sz w:val="24"/>
                <w:szCs w:val="24"/>
                <w:lang w:eastAsia="zh-CN"/>
              </w:rPr>
              <w:t>《锅炉大气污染物排放标准》（DB13/5161</w:t>
            </w:r>
            <w:r>
              <w:rPr>
                <w:rFonts w:eastAsia="宋体" w:hint="eastAsia"/>
                <w:color w:val="auto"/>
                <w:sz w:val="24"/>
                <w:szCs w:val="24"/>
                <w:lang w:val="en-US" w:eastAsia="zh-CN"/>
              </w:rPr>
              <w:t>-</w:t>
            </w:r>
            <w:r>
              <w:rPr>
                <w:rFonts w:eastAsia="宋体" w:hint="eastAsia"/>
                <w:color w:val="auto"/>
                <w:sz w:val="24"/>
                <w:szCs w:val="24"/>
                <w:lang w:eastAsia="zh-CN"/>
              </w:rPr>
              <w:t>2020）</w:t>
            </w:r>
            <w:r>
              <w:rPr>
                <w:rFonts w:eastAsia="宋体" w:hint="eastAsia"/>
                <w:color w:val="auto"/>
                <w:sz w:val="24"/>
                <w:szCs w:val="24"/>
                <w:lang w:val="en-US" w:eastAsia="zh-CN"/>
              </w:rPr>
              <w:t>表1排放限值</w:t>
            </w: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lang w:val="en-US" w:eastAsia="zh-CN"/>
              </w:rPr>
            </w:pPr>
            <w:r>
              <w:rPr>
                <w:rFonts w:hint="eastAsia"/>
                <w:color w:val="auto"/>
                <w:sz w:val="24"/>
                <w:szCs w:val="24"/>
                <w:lang w:val="en-US" w:eastAsia="zh-CN"/>
              </w:rPr>
              <w:t>二氧化硫</w:t>
            </w:r>
          </w:p>
        </w:tc>
        <w:tc>
          <w:tcPr>
            <w:tcW w:w="1239"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lang w:val="en-US" w:eastAsia="zh-CN"/>
              </w:rPr>
            </w:pPr>
            <w:r>
              <w:rPr>
                <w:rFonts w:hint="eastAsia"/>
                <w:color w:val="auto"/>
                <w:sz w:val="24"/>
                <w:szCs w:val="24"/>
                <w:lang w:val="en-US" w:eastAsia="zh-CN"/>
              </w:rPr>
              <w:t>/</w:t>
            </w: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lang w:val="en-US" w:eastAsia="zh-CN"/>
              </w:rPr>
            </w:pPr>
            <w:r>
              <w:rPr>
                <w:rFonts w:hint="eastAsia"/>
                <w:color w:val="auto"/>
                <w:sz w:val="24"/>
                <w:szCs w:val="24"/>
                <w:lang w:val="en-US" w:eastAsia="zh-CN"/>
              </w:rPr>
              <w:t>颗粒物</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研发实验室废气排气筒DA006（25m）</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臭气浓度</w:t>
            </w:r>
          </w:p>
        </w:tc>
        <w:tc>
          <w:tcPr>
            <w:tcW w:w="1239"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lang w:val="en-US" w:eastAsia="zh-CN"/>
              </w:rPr>
            </w:pPr>
            <w:r>
              <w:rPr>
                <w:rFonts w:hint="eastAsia"/>
                <w:color w:val="auto"/>
                <w:sz w:val="24"/>
                <w:szCs w:val="24"/>
                <w:lang w:val="en-US" w:eastAsia="zh-CN"/>
              </w:rPr>
              <w:t>活性炭吸附</w:t>
            </w:r>
          </w:p>
        </w:tc>
        <w:tc>
          <w:tcPr>
            <w:tcW w:w="1716" w:type="pc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rFonts w:eastAsia="宋体" w:hint="eastAsia"/>
                <w:color w:val="auto"/>
                <w:sz w:val="24"/>
                <w:szCs w:val="24"/>
                <w:lang w:val="en-US" w:eastAsia="zh-CN"/>
              </w:rPr>
            </w:pPr>
            <w:r>
              <w:rPr>
                <w:rFonts w:eastAsia="宋体" w:hint="eastAsia"/>
                <w:color w:val="auto"/>
                <w:sz w:val="24"/>
                <w:szCs w:val="24"/>
                <w:lang w:val="en-US" w:eastAsia="zh-CN"/>
              </w:rPr>
              <w:t>《恶臭污染物排放标准》（GB14554-93）</w:t>
            </w:r>
          </w:p>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rFonts w:eastAsia="宋体" w:hint="eastAsia"/>
                <w:color w:val="auto"/>
                <w:sz w:val="24"/>
                <w:szCs w:val="24"/>
                <w:lang w:val="en-US" w:eastAsia="zh-CN"/>
              </w:rPr>
            </w:pPr>
            <w:r>
              <w:rPr>
                <w:rFonts w:eastAsia="宋体" w:hint="eastAsia"/>
                <w:color w:val="auto"/>
                <w:sz w:val="24"/>
                <w:szCs w:val="24"/>
                <w:lang w:val="en-US" w:eastAsia="zh-CN"/>
              </w:rPr>
              <w:t>表2恶臭污染物排放标准值</w:t>
            </w:r>
          </w:p>
        </w:tc>
      </w:tr>
      <w:tr>
        <w:trPr>
          <w:trHeight w:val="23"/>
        </w:trPr>
        <w:tc>
          <w:tcPr>
            <w:tcW w:w="557" w:type="pct"/>
            <w:vMerge/>
            <w:vAlign w:val="center"/>
          </w:tcPr>
          <w:p/>
        </w:tc>
        <w:tc>
          <w:tcPr>
            <w:tcW w:w="794"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厂界</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highlight w:val="none"/>
              </w:rPr>
            </w:pPr>
            <w:r>
              <w:rPr>
                <w:rFonts w:hint="eastAsia"/>
                <w:color w:val="auto"/>
                <w:sz w:val="24"/>
                <w:szCs w:val="24"/>
                <w:lang w:val="en-US" w:eastAsia="zh-CN"/>
                <w:highlight w:val="none"/>
              </w:rPr>
              <w:t>非甲烷总烃</w:t>
            </w:r>
          </w:p>
        </w:tc>
        <w:tc>
          <w:tcPr>
            <w:tcW w:w="1239"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rFonts w:eastAsia="宋体"/>
                <w:color w:val="auto"/>
                <w:sz w:val="24"/>
                <w:szCs w:val="24"/>
                <w:lang w:val="en-US" w:eastAsia="zh-CN"/>
              </w:rPr>
            </w:pPr>
            <w:r>
              <w:rPr>
                <w:rFonts w:hint="eastAsia"/>
                <w:color w:val="auto"/>
                <w:sz w:val="24"/>
                <w:szCs w:val="24"/>
                <w:lang w:val="en-US" w:eastAsia="zh-CN"/>
              </w:rPr>
              <w:t>车间密闭</w:t>
            </w:r>
          </w:p>
        </w:tc>
        <w:tc>
          <w:tcPr>
            <w:tcW w:w="1716" w:type="pct"/>
            <w:vMerge w:val="restart"/>
            <w:tcBorders>
              <w:left w:val="single" w:sz="4" w:space="0" w:color="auto"/>
            </w:tcBorders>
            <w:vAlign w:val="center"/>
          </w:tcPr>
          <w:p>
            <w:pPr>
              <w:spacing w:line="240" w:lineRule="auto"/>
              <w:ind w:left="0" w:right="0" w:firstLineChars="0" w:firstLine="0"/>
              <w:jc w:val="center"/>
              <w:rPr>
                <w:rFonts w:ascii="Times New Roman" w:eastAsia="宋体" w:cs="Times New Roman" w:hAnsi="Times New Roman"/>
                <w:color w:val="auto"/>
                <w:kern w:val="2"/>
                <w:sz w:val="24"/>
                <w:szCs w:val="24"/>
                <w:lang w:val="en-US" w:eastAsia="zh-CN" w:bidi="ar-SA"/>
              </w:rPr>
            </w:pPr>
            <w:r>
              <w:rPr>
                <w:rFonts w:ascii="Times New Roman" w:eastAsia="宋体" w:cs="Times New Roman" w:hAnsi="Times New Roman" w:hint="eastAsia"/>
                <w:color w:val="auto"/>
                <w:kern w:val="2"/>
                <w:sz w:val="24"/>
                <w:szCs w:val="24"/>
                <w:lang w:val="en-US" w:eastAsia="zh-CN" w:bidi="ar-SA"/>
              </w:rPr>
              <w:t>《大气污染物综合排放标准》(GB16297-1996</w:t>
            </w:r>
            <w:r>
              <w:rPr>
                <w:rFonts w:cs="Times New Roman" w:hint="eastAsia"/>
                <w:color w:val="auto"/>
                <w:kern w:val="2"/>
                <w:sz w:val="24"/>
                <w:szCs w:val="24"/>
                <w:lang w:val="en-US" w:eastAsia="zh-CN" w:bidi="ar-SA"/>
              </w:rPr>
              <w:t>）</w:t>
            </w:r>
            <w:r>
              <w:rPr>
                <w:rFonts w:ascii="Times New Roman" w:eastAsia="宋体" w:cs="Times New Roman" w:hAnsi="Times New Roman" w:hint="eastAsia"/>
                <w:color w:val="auto"/>
                <w:kern w:val="2"/>
                <w:sz w:val="24"/>
                <w:szCs w:val="24"/>
                <w:lang w:val="en-US" w:eastAsia="zh-CN" w:bidi="ar-SA"/>
              </w:rPr>
              <w:t>表2中无组织浓度限值</w:t>
            </w: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颗粒物</w:t>
            </w:r>
          </w:p>
        </w:tc>
        <w:tc>
          <w:tcPr>
            <w:tcW w:w="1239" w:type="pct"/>
            <w:vMerge/>
            <w:tcBorders>
              <w:left w:val="single" w:sz="4" w:space="0" w:color="auto"/>
            </w:tcBorders>
            <w:vAlign w:val="center"/>
          </w:tcPr>
          <w:p/>
        </w:tc>
        <w:tc>
          <w:tcPr>
            <w:tcW w:w="1716" w:type="pct"/>
            <w:vMerge/>
            <w:tcBorders>
              <w:left w:val="single" w:sz="4" w:space="0" w:color="auto"/>
            </w:tcBorders>
            <w:shd w:val="clear" w:color="auto" w:fill="auto"/>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color w:val="auto"/>
                <w:sz w:val="24"/>
                <w:szCs w:val="24"/>
              </w:rPr>
              <w:t>氨</w:t>
            </w:r>
          </w:p>
        </w:tc>
        <w:tc>
          <w:tcPr>
            <w:tcW w:w="1239" w:type="pct"/>
            <w:vMerge/>
            <w:tcBorders>
              <w:left w:val="single" w:sz="4" w:space="0" w:color="auto"/>
            </w:tcBorders>
            <w:vAlign w:val="center"/>
          </w:tcPr>
          <w:p/>
        </w:tc>
        <w:tc>
          <w:tcPr>
            <w:tcW w:w="1716"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rFonts w:hint="eastAsia"/>
                <w:color w:val="auto"/>
                <w:sz w:val="24"/>
                <w:szCs w:val="24"/>
              </w:rPr>
              <w:t>《恶臭污染物排放标准》（GB14554-93）表1恶臭污染物厂界标准值</w:t>
            </w: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color w:val="auto"/>
                <w:sz w:val="24"/>
                <w:szCs w:val="24"/>
              </w:rPr>
              <w:t>硫化氢</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color w:val="auto"/>
                <w:sz w:val="24"/>
                <w:szCs w:val="24"/>
              </w:rPr>
              <w:t>臭气浓度</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530"/>
        </w:trPr>
        <w:tc>
          <w:tcPr>
            <w:tcW w:w="557" w:type="pct"/>
            <w:vMerge/>
            <w:vAlign w:val="center"/>
          </w:tcPr>
          <w:p/>
        </w:tc>
        <w:tc>
          <w:tcPr>
            <w:tcW w:w="794"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eastAsia="宋体" w:hint="eastAsia"/>
                <w:color w:val="auto"/>
                <w:sz w:val="24"/>
                <w:szCs w:val="24"/>
                <w:lang w:val="en-US" w:eastAsia="zh-CN"/>
              </w:rPr>
            </w:pPr>
            <w:r>
              <w:rPr>
                <w:rFonts w:hint="eastAsia"/>
                <w:color w:val="auto"/>
                <w:sz w:val="24"/>
                <w:szCs w:val="24"/>
                <w:lang w:val="en-US" w:eastAsia="zh-CN"/>
              </w:rPr>
              <w:t>厂区内</w:t>
            </w:r>
          </w:p>
        </w:tc>
        <w:tc>
          <w:tcPr>
            <w:tcW w:w="693" w:type="pct"/>
            <w:tcBorders>
              <w:left w:val="single" w:sz="4" w:space="0" w:color="auto"/>
            </w:tcBorders>
            <w:shd w:val="clear" w:color="auto" w:fill="auto"/>
            <w:vAlign w:val="center"/>
          </w:tcPr>
          <w:p>
            <w:pPr>
              <w:pStyle w:val="23"/>
              <w:bidi w:val="0"/>
              <w:ind w:firstLine="0"/>
              <w:rPr>
                <w:color w:val="auto"/>
                <w:sz w:val="24"/>
                <w:szCs w:val="24"/>
              </w:rPr>
            </w:pPr>
            <w:r>
              <w:rPr>
                <w:rFonts w:hint="eastAsia"/>
                <w:color w:val="auto"/>
                <w:sz w:val="24"/>
                <w:szCs w:val="24"/>
                <w:lang w:val="en-US" w:eastAsia="zh-CN"/>
              </w:rPr>
              <w:t>非甲烷总烃</w:t>
            </w:r>
          </w:p>
        </w:tc>
        <w:tc>
          <w:tcPr>
            <w:tcW w:w="1239" w:type="pc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rFonts w:eastAsia="宋体" w:hint="eastAsia"/>
                <w:color w:val="auto"/>
                <w:sz w:val="24"/>
                <w:szCs w:val="24"/>
                <w:lang w:val="en-US" w:eastAsia="zh-CN"/>
              </w:rPr>
            </w:pPr>
            <w:r>
              <w:rPr>
                <w:rFonts w:hint="eastAsia"/>
                <w:color w:val="auto"/>
                <w:sz w:val="24"/>
                <w:szCs w:val="24"/>
                <w:lang w:val="en-US" w:eastAsia="zh-CN"/>
              </w:rPr>
              <w:t>车间密闭</w:t>
            </w:r>
          </w:p>
        </w:tc>
        <w:tc>
          <w:tcPr>
            <w:tcW w:w="1716"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rFonts w:hint="eastAsia"/>
                <w:color w:val="auto"/>
                <w:sz w:val="24"/>
                <w:szCs w:val="24"/>
                <w:lang w:val="en-US" w:eastAsia="zh-CN"/>
              </w:rPr>
              <w:t>《工业企业挥发性有机物排放控制标准》（DB13/2322-2025）表2厂区内挥发性有机物无组织排放限值</w:t>
            </w:r>
          </w:p>
        </w:tc>
      </w:tr>
      <w:tr>
        <w:trPr>
          <w:trHeight w:val="23"/>
        </w:trPr>
        <w:tc>
          <w:tcPr>
            <w:tcW w:w="557" w:type="pct"/>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r>
              <w:rPr>
                <w:color w:val="auto"/>
                <w:sz w:val="24"/>
                <w:szCs w:val="24"/>
              </w:rPr>
              <w:t>地表水</w:t>
            </w:r>
          </w:p>
        </w:tc>
        <w:tc>
          <w:tcPr>
            <w:tcW w:w="794"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综合废水</w:t>
            </w:r>
          </w:p>
        </w:tc>
        <w:tc>
          <w:tcPr>
            <w:tcW w:w="693" w:type="pc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lang w:val="en-US" w:eastAsia="zh-CN"/>
              </w:rPr>
            </w:pPr>
            <w:r>
              <w:rPr>
                <w:color w:val="auto"/>
                <w:sz w:val="24"/>
                <w:szCs w:val="24"/>
              </w:rPr>
              <w:t>pH</w:t>
            </w:r>
            <w:r>
              <w:rPr>
                <w:rFonts w:hint="eastAsia"/>
                <w:color w:val="auto"/>
                <w:sz w:val="24"/>
                <w:szCs w:val="24"/>
                <w:lang w:eastAsia="zh-CN"/>
              </w:rPr>
              <w:t>、</w:t>
            </w:r>
            <w:r>
              <w:rPr>
                <w:color w:val="auto"/>
                <w:sz w:val="24"/>
                <w:szCs w:val="24"/>
              </w:rPr>
              <w:t>COD</w:t>
            </w:r>
            <w:r>
              <w:rPr>
                <w:rFonts w:hint="eastAsia"/>
                <w:color w:val="auto"/>
                <w:sz w:val="24"/>
                <w:szCs w:val="24"/>
                <w:lang w:eastAsia="zh-CN"/>
              </w:rPr>
              <w:t>、</w:t>
            </w:r>
            <w:r>
              <w:rPr>
                <w:color w:val="auto"/>
                <w:sz w:val="24"/>
                <w:szCs w:val="24"/>
              </w:rPr>
              <w:t>BOD</w:t>
            </w:r>
            <w:r>
              <w:rPr>
                <w:color w:val="auto"/>
                <w:sz w:val="24"/>
                <w:szCs w:val="24"/>
                <w:vertAlign w:val="subscript"/>
              </w:rPr>
              <w:t>5</w:t>
            </w:r>
            <w:r>
              <w:rPr>
                <w:rFonts w:hint="eastAsia"/>
                <w:color w:val="auto"/>
                <w:sz w:val="24"/>
                <w:szCs w:val="24"/>
                <w:lang w:eastAsia="zh-CN"/>
              </w:rPr>
              <w:t>、</w:t>
            </w:r>
            <w:r>
              <w:rPr>
                <w:color w:val="auto"/>
                <w:sz w:val="24"/>
                <w:szCs w:val="24"/>
              </w:rPr>
              <w:t>SS</w:t>
            </w:r>
            <w:r>
              <w:rPr>
                <w:rFonts w:hint="eastAsia"/>
                <w:color w:val="auto"/>
                <w:sz w:val="24"/>
                <w:szCs w:val="24"/>
                <w:lang w:eastAsia="zh-CN"/>
              </w:rPr>
              <w:t>、</w:t>
            </w:r>
            <w:r>
              <w:rPr>
                <w:color w:val="auto"/>
                <w:sz w:val="24"/>
                <w:szCs w:val="24"/>
              </w:rPr>
              <w:t>NH</w:t>
            </w:r>
            <w:r>
              <w:rPr>
                <w:color w:val="auto"/>
                <w:sz w:val="24"/>
                <w:szCs w:val="24"/>
                <w:vertAlign w:val="subscript"/>
              </w:rPr>
              <w:t>3</w:t>
            </w:r>
            <w:r>
              <w:rPr>
                <w:color w:val="auto"/>
                <w:sz w:val="24"/>
                <w:szCs w:val="24"/>
              </w:rPr>
              <w:t>-N</w:t>
            </w:r>
            <w:r>
              <w:rPr>
                <w:rFonts w:hint="eastAsia"/>
                <w:color w:val="auto"/>
                <w:sz w:val="24"/>
                <w:szCs w:val="24"/>
                <w:lang w:eastAsia="zh-CN"/>
              </w:rPr>
              <w:t>、</w:t>
            </w:r>
            <w:r>
              <w:rPr>
                <w:color w:val="auto"/>
                <w:sz w:val="24"/>
                <w:szCs w:val="24"/>
              </w:rPr>
              <w:t>TP</w:t>
            </w:r>
            <w:r>
              <w:rPr>
                <w:rFonts w:hint="eastAsia"/>
                <w:color w:val="auto"/>
                <w:sz w:val="24"/>
                <w:szCs w:val="24"/>
                <w:lang w:eastAsia="zh-CN"/>
              </w:rPr>
              <w:t>、</w:t>
            </w:r>
            <w:r>
              <w:rPr>
                <w:color w:val="auto"/>
                <w:sz w:val="24"/>
                <w:szCs w:val="24"/>
              </w:rPr>
              <w:t>TN</w:t>
            </w:r>
            <w:r>
              <w:rPr>
                <w:rFonts w:hint="eastAsia"/>
                <w:color w:val="auto"/>
                <w:sz w:val="24"/>
                <w:szCs w:val="24"/>
                <w:lang w:eastAsia="zh-CN"/>
              </w:rPr>
              <w:t>、</w:t>
            </w:r>
            <w:r>
              <w:rPr>
                <w:rFonts w:hint="eastAsia"/>
                <w:color w:val="auto"/>
                <w:sz w:val="24"/>
                <w:szCs w:val="24"/>
                <w:lang w:val="en-US" w:eastAsia="zh-CN"/>
              </w:rPr>
              <w:t>动植物油、色度</w:t>
            </w:r>
          </w:p>
        </w:tc>
        <w:tc>
          <w:tcPr>
            <w:tcW w:w="1239" w:type="pc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lang w:val="en-US"/>
              </w:rPr>
            </w:pPr>
            <w:r>
              <w:rPr>
                <w:rFonts w:hint="eastAsia"/>
                <w:color w:val="auto"/>
                <w:sz w:val="24"/>
                <w:szCs w:val="24"/>
                <w:lang w:val="en-US" w:eastAsia="zh-CN"/>
              </w:rPr>
              <w:t>处理工艺：隔油-调节池-气浮-水解池-厌氧池-好氧池-沉淀池-好氧池-二级沉淀-斜管沉淀池；处理规模100m³/d。</w:t>
            </w:r>
          </w:p>
        </w:tc>
        <w:tc>
          <w:tcPr>
            <w:tcW w:w="1716" w:type="pc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r>
              <w:rPr>
                <w:color w:val="auto"/>
                <w:sz w:val="24"/>
                <w:szCs w:val="24"/>
              </w:rPr>
              <w:t>《污水综合排放标准》（GB8978-1996）中表4三级标准要求以及</w:t>
            </w:r>
            <w:r>
              <w:rPr>
                <w:rFonts w:hint="eastAsia"/>
                <w:color w:val="auto"/>
                <w:sz w:val="24"/>
                <w:szCs w:val="24"/>
              </w:rPr>
              <w:t>德威华泰石家庄市栾城水务有限公司</w:t>
            </w:r>
            <w:r>
              <w:rPr>
                <w:color w:val="auto"/>
                <w:sz w:val="24"/>
                <w:szCs w:val="24"/>
              </w:rPr>
              <w:t>进水水质标准</w:t>
            </w:r>
          </w:p>
        </w:tc>
      </w:tr>
      <w:tr>
        <w:trPr>
          <w:trHeight w:val="23"/>
        </w:trPr>
        <w:tc>
          <w:tcPr>
            <w:tcW w:w="55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声环境</w:t>
            </w:r>
          </w:p>
        </w:tc>
        <w:tc>
          <w:tcPr>
            <w:tcW w:w="794" w:type="pc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r>
              <w:rPr>
                <w:color w:val="auto"/>
                <w:sz w:val="24"/>
                <w:szCs w:val="24"/>
              </w:rPr>
              <w:t>生产设备</w:t>
            </w:r>
          </w:p>
        </w:tc>
        <w:tc>
          <w:tcPr>
            <w:tcW w:w="693" w:type="pc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r>
              <w:rPr>
                <w:rFonts w:hint="eastAsia"/>
                <w:color w:val="auto"/>
                <w:sz w:val="24"/>
                <w:szCs w:val="24"/>
              </w:rPr>
              <w:t>噪声</w:t>
            </w:r>
          </w:p>
        </w:tc>
        <w:tc>
          <w:tcPr>
            <w:tcW w:w="1239"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选用低噪声设备，设备采取基础减振措施，所有设备均设置于车间内，</w:t>
            </w:r>
            <w:r>
              <w:rPr>
                <w:rFonts w:hint="eastAsia"/>
                <w:color w:val="auto"/>
                <w:sz w:val="24"/>
                <w:szCs w:val="24"/>
              </w:rPr>
              <w:t>厂房隔声</w:t>
            </w:r>
          </w:p>
        </w:tc>
        <w:tc>
          <w:tcPr>
            <w:tcW w:w="1716"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《工业企业厂界环境噪声排放标准》（GB12348-2008）表1中3类标准要求</w:t>
            </w:r>
          </w:p>
        </w:tc>
      </w:tr>
      <w:tr>
        <w:trPr>
          <w:trHeight w:val="23"/>
        </w:trPr>
        <w:tc>
          <w:tcPr>
            <w:tcW w:w="557" w:type="pct"/>
            <w:vMerge w:val="restart"/>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rFonts w:eastAsia="宋体"/>
                <w:color w:val="auto"/>
                <w:sz w:val="24"/>
                <w:szCs w:val="24"/>
                <w:lang w:val="en-US" w:eastAsia="zh-CN"/>
              </w:rPr>
            </w:pPr>
            <w:r>
              <w:rPr>
                <w:rFonts w:hint="eastAsia"/>
                <w:color w:val="auto"/>
                <w:sz w:val="24"/>
                <w:szCs w:val="24"/>
                <w:lang w:val="en-US" w:eastAsia="zh-CN"/>
              </w:rPr>
              <w:t>固体废物</w:t>
            </w:r>
          </w:p>
        </w:tc>
        <w:tc>
          <w:tcPr>
            <w:tcW w:w="79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原材料</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废包装</w:t>
            </w:r>
          </w:p>
        </w:tc>
        <w:tc>
          <w:tcPr>
            <w:tcW w:w="1239"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right="0" w:firstLineChars="0" w:firstLine="0"/>
              <w:jc w:val="center"/>
              <w:textAlignment w:val="auto"/>
              <w:rPr>
                <w:rFonts w:eastAsia="宋体"/>
                <w:color w:val="auto"/>
                <w:sz w:val="24"/>
                <w:szCs w:val="24"/>
                <w:lang w:val="en-US" w:eastAsia="zh-CN"/>
              </w:rPr>
            </w:pPr>
            <w:r>
              <w:rPr>
                <w:rFonts w:hint="eastAsia"/>
                <w:color w:val="auto"/>
                <w:sz w:val="24"/>
                <w:szCs w:val="24"/>
                <w:lang w:val="en-US" w:eastAsia="zh-CN"/>
              </w:rPr>
              <w:t>收集后外售综合利用</w:t>
            </w:r>
          </w:p>
        </w:tc>
        <w:tc>
          <w:tcPr>
            <w:tcW w:w="1716"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r>
              <w:rPr>
                <w:color w:val="auto"/>
                <w:sz w:val="24"/>
                <w:szCs w:val="24"/>
              </w:rPr>
              <w:t>《一般工业固体废物贮存和填埋污染控制标准》（GB18599-2020）</w:t>
            </w:r>
            <w:r>
              <w:rPr>
                <w:rFonts w:hint="eastAsia"/>
                <w:color w:val="auto"/>
                <w:sz w:val="24"/>
                <w:szCs w:val="24"/>
              </w:rPr>
              <w:t>要求</w:t>
            </w:r>
          </w:p>
        </w:tc>
      </w:tr>
      <w:tr>
        <w:trPr>
          <w:trHeight w:val="23"/>
        </w:trPr>
        <w:tc>
          <w:tcPr>
            <w:tcW w:w="557" w:type="pct"/>
            <w:vMerge/>
            <w:vAlign w:val="center"/>
          </w:tcPr>
          <w:p/>
        </w:tc>
        <w:tc>
          <w:tcPr>
            <w:tcW w:w="794" w:type="pct"/>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布袋除尘器</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废布袋</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4"/>
                <w:szCs w:val="24"/>
                <w:lang w:val="en-US" w:eastAsia="zh-CN" w:bidi="ar-SA"/>
              </w:rPr>
            </w:pPr>
            <w:r>
              <w:rPr>
                <w:color w:val="auto"/>
                <w:sz w:val="24"/>
                <w:szCs w:val="24"/>
                <w:lang w:val="en-US" w:eastAsia="zh-CN"/>
              </w:rPr>
              <w:t>除尘灰</w:t>
            </w:r>
          </w:p>
        </w:tc>
        <w:tc>
          <w:tcPr>
            <w:tcW w:w="1239"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rFonts w:eastAsia="宋体"/>
                <w:color w:val="auto"/>
                <w:sz w:val="24"/>
                <w:szCs w:val="24"/>
                <w:lang w:val="en-US" w:eastAsia="zh-CN"/>
              </w:rPr>
            </w:pPr>
            <w:r>
              <w:rPr>
                <w:rFonts w:hint="eastAsia"/>
                <w:color w:val="auto"/>
                <w:sz w:val="24"/>
                <w:szCs w:val="24"/>
                <w:lang w:val="en-US" w:eastAsia="zh-CN"/>
              </w:rPr>
              <w:t>收集后交环卫部门处置</w:t>
            </w: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rPr>
              <w:t>污水处理站</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浮油</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color w:val="auto"/>
                <w:sz w:val="24"/>
                <w:szCs w:val="24"/>
                <w:lang w:val="en-US" w:eastAsia="zh-CN"/>
              </w:rPr>
              <w:t>污泥</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过滤</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果蔬渣</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水处理机组</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废反渗透膜</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tcBorders>
              <w:left w:val="single" w:sz="4" w:space="0" w:color="auto"/>
            </w:tcBorders>
            <w:shd w:val="clear" w:color="auto" w:fill="auto"/>
            <w:vAlign w:val="center"/>
          </w:tcPr>
          <w:p>
            <w:pPr>
              <w:pStyle w:val="23"/>
              <w:bidi w:val="0"/>
              <w:ind w:firstLine="0"/>
              <w:rPr>
                <w:color w:val="auto"/>
                <w:sz w:val="24"/>
                <w:szCs w:val="24"/>
                <w:lang w:val="en-US" w:eastAsia="zh-CN"/>
              </w:rPr>
            </w:pPr>
            <w:r>
              <w:rPr>
                <w:rFonts w:hint="eastAsia"/>
                <w:color w:val="auto"/>
                <w:sz w:val="24"/>
                <w:szCs w:val="24"/>
                <w:lang w:val="en-US" w:eastAsia="zh-CN"/>
              </w:rPr>
              <w:t>研发实验室</w:t>
            </w:r>
          </w:p>
        </w:tc>
        <w:tc>
          <w:tcPr>
            <w:tcW w:w="693" w:type="pct"/>
            <w:tcBorders>
              <w:left w:val="single" w:sz="4" w:space="0" w:color="auto"/>
            </w:tcBorders>
            <w:shd w:val="clear" w:color="auto" w:fill="auto"/>
            <w:vAlign w:val="center"/>
          </w:tcPr>
          <w:p>
            <w:pPr>
              <w:pStyle w:val="23"/>
              <w:bidi w:val="0"/>
              <w:ind w:firstLine="0"/>
              <w:rPr>
                <w:color w:val="auto"/>
                <w:sz w:val="24"/>
                <w:szCs w:val="24"/>
                <w:lang w:val="en-US" w:eastAsia="zh-CN"/>
              </w:rPr>
            </w:pPr>
            <w:r>
              <w:rPr>
                <w:rFonts w:hint="eastAsia"/>
                <w:color w:val="auto"/>
                <w:sz w:val="24"/>
                <w:szCs w:val="24"/>
                <w:lang w:val="en-US" w:eastAsia="zh-CN"/>
              </w:rPr>
              <w:t>废研发样品</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干式过滤+两级</w:t>
            </w:r>
            <w:r>
              <w:rPr>
                <w:rFonts w:hint="eastAsia"/>
                <w:color w:val="auto"/>
                <w:sz w:val="24"/>
                <w:szCs w:val="24"/>
              </w:rPr>
              <w:t>活性炭吸附装置</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rPr>
              <w:t>废活性炭</w:t>
            </w:r>
          </w:p>
        </w:tc>
        <w:tc>
          <w:tcPr>
            <w:tcW w:w="1239"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r>
              <w:rPr>
                <w:color w:val="auto"/>
                <w:sz w:val="24"/>
                <w:szCs w:val="24"/>
              </w:rPr>
              <w:t>暂存于危废间，交由有资质单位处理</w:t>
            </w:r>
          </w:p>
        </w:tc>
        <w:tc>
          <w:tcPr>
            <w:tcW w:w="1716" w:type="pct"/>
            <w:vMerge w:val="restart"/>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z w:val="24"/>
                <w:szCs w:val="24"/>
              </w:rPr>
            </w:pPr>
            <w:r>
              <w:rPr>
                <w:color w:val="auto"/>
                <w:sz w:val="24"/>
                <w:szCs w:val="24"/>
              </w:rPr>
              <w:t>《危险废物贮存污染控制标准》（GB18597-2023）中相关要求规定</w:t>
            </w: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废过滤棉</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val="restar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检测实验室</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4"/>
                <w:szCs w:val="24"/>
                <w:lang w:val="en-US" w:eastAsia="zh-CN" w:bidi="ar-SA"/>
              </w:rPr>
            </w:pPr>
            <w:r>
              <w:rPr>
                <w:rFonts w:hint="eastAsia"/>
                <w:color w:val="auto"/>
                <w:sz w:val="24"/>
                <w:szCs w:val="24"/>
                <w:lang w:val="en-US" w:eastAsia="zh-CN"/>
              </w:rPr>
              <w:t>废试剂瓶</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实验室废液</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4"/>
                <w:szCs w:val="24"/>
                <w:lang w:val="en-US" w:eastAsia="zh-CN" w:bidi="ar-SA"/>
              </w:rPr>
            </w:pPr>
            <w:r>
              <w:rPr>
                <w:rFonts w:hint="eastAsia"/>
                <w:color w:val="auto"/>
                <w:sz w:val="24"/>
                <w:szCs w:val="24"/>
                <w:lang w:val="en-US" w:eastAsia="zh-CN"/>
              </w:rPr>
              <w:t>废UV灯管</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val="restart"/>
            <w:tcBorders>
              <w:left w:val="single" w:sz="4" w:space="0" w:color="auto"/>
            </w:tcBorders>
            <w:shd w:val="clear" w:color="auto" w:fill="auto"/>
          </w:tcPr>
          <w:p>
            <w:pPr>
              <w:pStyle w:val="23"/>
              <w:bidi w:val="0"/>
              <w:rPr>
                <w:rFonts w:hint="eastAsia"/>
                <w:color w:val="auto"/>
                <w:sz w:val="24"/>
                <w:szCs w:val="24"/>
                <w:lang w:val="en-US" w:eastAsia="zh-CN"/>
              </w:rPr>
            </w:pPr>
            <w:r>
              <w:rPr>
                <w:rFonts w:hint="eastAsia"/>
                <w:color w:val="auto"/>
                <w:sz w:val="24"/>
                <w:szCs w:val="24"/>
                <w:lang w:val="en-US" w:eastAsia="zh-CN"/>
              </w:rPr>
              <w:t>设备</w:t>
            </w:r>
          </w:p>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维护</w:t>
            </w: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4"/>
                <w:szCs w:val="24"/>
                <w:lang w:val="en-US" w:eastAsia="zh-CN" w:bidi="ar-SA"/>
              </w:rPr>
            </w:pPr>
            <w:r>
              <w:rPr>
                <w:rFonts w:hint="eastAsia"/>
                <w:color w:val="auto"/>
                <w:sz w:val="24"/>
                <w:szCs w:val="24"/>
                <w:lang w:val="en-US" w:eastAsia="zh-CN"/>
              </w:rPr>
              <w:t>废润滑油</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Merge/>
            <w:vAlign w:val="center"/>
          </w:tcPr>
          <w:p/>
        </w:tc>
        <w:tc>
          <w:tcPr>
            <w:tcW w:w="794" w:type="pct"/>
            <w:vMerge/>
            <w:tcBorders>
              <w:left w:val="single" w:sz="4" w:space="0" w:color="auto"/>
            </w:tcBorders>
            <w:vAlign w:val="center"/>
          </w:tcPr>
          <w:p/>
        </w:tc>
        <w:tc>
          <w:tcPr>
            <w:tcW w:w="693" w:type="pct"/>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szCs w:val="24"/>
                <w:lang w:val="en-US" w:eastAsia="zh-CN"/>
              </w:rPr>
              <w:t>废润滑油桶</w:t>
            </w:r>
          </w:p>
        </w:tc>
        <w:tc>
          <w:tcPr>
            <w:tcW w:w="1239" w:type="pct"/>
            <w:vMerge/>
            <w:tcBorders>
              <w:left w:val="single" w:sz="4" w:space="0" w:color="auto"/>
            </w:tcBorders>
            <w:vAlign w:val="center"/>
          </w:tcPr>
          <w:p/>
        </w:tc>
        <w:tc>
          <w:tcPr>
            <w:tcW w:w="1716" w:type="pct"/>
            <w:vMerge/>
            <w:tcBorders>
              <w:left w:val="single" w:sz="4" w:space="0" w:color="auto"/>
            </w:tcBorders>
            <w:vAlign w:val="center"/>
          </w:tcPr>
          <w:p/>
        </w:tc>
      </w:tr>
      <w:tr>
        <w:trPr>
          <w:trHeight w:val="23"/>
        </w:trPr>
        <w:tc>
          <w:tcPr>
            <w:tcW w:w="55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电磁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辐射</w:t>
            </w:r>
          </w:p>
        </w:tc>
        <w:tc>
          <w:tcPr>
            <w:tcW w:w="4442" w:type="pct"/>
            <w:gridSpan w:val="4"/>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w:t>
            </w:r>
          </w:p>
        </w:tc>
      </w:tr>
      <w:tr>
        <w:trPr>
          <w:trHeight w:val="23"/>
        </w:trPr>
        <w:tc>
          <w:tcPr>
            <w:tcW w:w="55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土壤及地下水污染防治措施</w:t>
            </w:r>
          </w:p>
        </w:tc>
        <w:tc>
          <w:tcPr>
            <w:tcW w:w="4442" w:type="pct"/>
            <w:gridSpan w:val="4"/>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textAlignment w:val="auto"/>
              <w:rPr>
                <w:color w:val="auto"/>
                <w:sz w:val="24"/>
                <w:szCs w:val="24"/>
              </w:rPr>
            </w:pPr>
            <w:r>
              <w:rPr>
                <w:color w:val="auto"/>
                <w:sz w:val="24"/>
                <w:szCs w:val="24"/>
              </w:rPr>
              <w:t>重点防渗区</w:t>
            </w:r>
            <w:r>
              <w:rPr>
                <w:rFonts w:hint="eastAsia"/>
                <w:color w:val="auto"/>
                <w:sz w:val="24"/>
                <w:szCs w:val="24"/>
                <w:lang w:eastAsia="zh-CN"/>
              </w:rPr>
              <w:t>：</w:t>
            </w:r>
            <w:r>
              <w:rPr>
                <w:color w:val="auto"/>
                <w:sz w:val="24"/>
                <w:szCs w:val="24"/>
              </w:rPr>
              <w:t>危废暂存间</w:t>
            </w:r>
            <w:r>
              <w:rPr>
                <w:rFonts w:hint="eastAsia"/>
                <w:color w:val="auto"/>
                <w:sz w:val="24"/>
                <w:szCs w:val="24"/>
                <w:lang w:eastAsia="zh-CN"/>
              </w:rPr>
              <w:t>、</w:t>
            </w:r>
            <w:r>
              <w:rPr>
                <w:rFonts w:hint="eastAsia"/>
                <w:color w:val="auto"/>
                <w:sz w:val="24"/>
                <w:szCs w:val="24"/>
                <w:lang w:val="en-US" w:eastAsia="zh-CN"/>
              </w:rPr>
              <w:t>污水处理站防渗层</w:t>
            </w:r>
            <w:r>
              <w:rPr>
                <w:color w:val="auto"/>
                <w:sz w:val="24"/>
                <w:szCs w:val="24"/>
                <w:lang w:val="en-US" w:eastAsia="zh-CN"/>
              </w:rPr>
              <w:t>至少1m厚黏土层</w:t>
            </w:r>
            <w:r>
              <w:rPr>
                <w:color w:val="auto"/>
                <w:sz w:val="24"/>
                <w:szCs w:val="24"/>
              </w:rPr>
              <w:t>，保证防渗层</w:t>
            </w:r>
            <w:r>
              <w:rPr>
                <w:rFonts w:hint="eastAsia"/>
                <w:color w:val="auto"/>
                <w:sz w:val="24"/>
                <w:szCs w:val="24"/>
                <w:lang w:eastAsia="zh-CN"/>
              </w:rPr>
              <w:t>的</w:t>
            </w:r>
            <w:r>
              <w:rPr>
                <w:color w:val="auto"/>
                <w:sz w:val="24"/>
                <w:szCs w:val="24"/>
              </w:rPr>
              <w:t>渗透系数≤10</w:t>
            </w:r>
            <w:r>
              <w:rPr>
                <w:rFonts w:hint="eastAsia"/>
                <w:color w:val="auto"/>
                <w:sz w:val="24"/>
                <w:szCs w:val="24"/>
                <w:vertAlign w:val="superscript"/>
                <w:lang w:val="en-US" w:eastAsia="zh-CN"/>
              </w:rPr>
              <w:t>-</w:t>
            </w:r>
            <w:r>
              <w:rPr>
                <w:color w:val="auto"/>
                <w:sz w:val="24"/>
                <w:szCs w:val="24"/>
                <w:vertAlign w:val="superscript"/>
              </w:rPr>
              <w:t>10</w:t>
            </w:r>
            <w:r>
              <w:rPr>
                <w:color w:val="auto"/>
                <w:sz w:val="24"/>
                <w:szCs w:val="24"/>
              </w:rPr>
              <w:t xml:space="preserve">cm/s； </w:t>
            </w:r>
          </w:p>
          <w:p>
            <w:pPr>
              <w:keepNext w:val="0"/>
              <w:keepLines w:val="0"/>
              <w:pageBreakBefore w:val="0"/>
              <w:widowControl w:val="0"/>
              <w:kinsoku/>
              <w:wordWrap/>
              <w:overflowPunct/>
              <w:topLinePunct w:val="0"/>
              <w:autoSpaceDE/>
              <w:autoSpaceDN/>
              <w:bidi w:val="0"/>
              <w:spacing w:line="240" w:lineRule="auto"/>
              <w:ind w:left="0" w:firstLineChars="0" w:firstLine="0"/>
              <w:textAlignment w:val="auto"/>
              <w:rPr>
                <w:color w:val="auto"/>
                <w:sz w:val="24"/>
                <w:szCs w:val="24"/>
              </w:rPr>
            </w:pPr>
            <w:r>
              <w:rPr>
                <w:color w:val="auto"/>
                <w:sz w:val="24"/>
                <w:szCs w:val="24"/>
              </w:rPr>
              <w:t>一般防渗区：</w:t>
            </w:r>
            <w:r>
              <w:rPr>
                <w:rFonts w:hint="eastAsia"/>
                <w:color w:val="auto"/>
                <w:sz w:val="24"/>
                <w:szCs w:val="24"/>
                <w:lang w:val="en-US" w:eastAsia="zh-CN"/>
              </w:rPr>
              <w:t>1#车间、2#车间、3#车间，</w:t>
            </w:r>
            <w:r>
              <w:rPr>
                <w:color w:val="auto"/>
                <w:sz w:val="24"/>
                <w:szCs w:val="24"/>
              </w:rPr>
              <w:t>等效黏土防渗层Mb≥1.5m，防渗层系数≤10</w:t>
            </w:r>
            <w:r>
              <w:rPr>
                <w:rFonts w:hint="eastAsia"/>
                <w:color w:val="auto"/>
                <w:sz w:val="24"/>
                <w:szCs w:val="24"/>
                <w:vertAlign w:val="superscript"/>
                <w:lang w:val="en-US" w:eastAsia="zh-CN"/>
              </w:rPr>
              <w:t>-</w:t>
            </w:r>
            <w:r>
              <w:rPr>
                <w:color w:val="auto"/>
                <w:sz w:val="24"/>
                <w:szCs w:val="24"/>
                <w:vertAlign w:val="superscript"/>
              </w:rPr>
              <w:t>7</w:t>
            </w:r>
            <w:r>
              <w:rPr>
                <w:color w:val="auto"/>
                <w:sz w:val="24"/>
                <w:szCs w:val="24"/>
              </w:rPr>
              <w:t>cm</w:t>
            </w:r>
            <w:r>
              <w:rPr>
                <w:rFonts w:hint="eastAsia"/>
                <w:color w:val="auto"/>
                <w:sz w:val="24"/>
                <w:szCs w:val="24"/>
                <w:lang w:eastAsia="zh-CN"/>
              </w:rPr>
              <w:t>，污水排放管采用耐腐蚀PVC管材，并对管沟采取相应防渗措施</w:t>
            </w:r>
            <w:r>
              <w:rPr>
                <w:color w:val="auto"/>
                <w:sz w:val="24"/>
                <w:szCs w:val="24"/>
              </w:rPr>
              <w:t xml:space="preserve">； </w:t>
            </w:r>
          </w:p>
          <w:p>
            <w:pPr>
              <w:keepNext w:val="0"/>
              <w:keepLines w:val="0"/>
              <w:pageBreakBefore w:val="0"/>
              <w:widowControl w:val="0"/>
              <w:kinsoku/>
              <w:wordWrap/>
              <w:overflowPunct/>
              <w:topLinePunct w:val="0"/>
              <w:autoSpaceDE/>
              <w:autoSpaceDN/>
              <w:bidi w:val="0"/>
              <w:spacing w:line="240" w:lineRule="auto"/>
              <w:ind w:left="0" w:firstLineChars="0" w:firstLine="0"/>
              <w:textAlignment w:val="auto"/>
              <w:rPr>
                <w:color w:val="auto"/>
                <w:sz w:val="24"/>
                <w:szCs w:val="24"/>
              </w:rPr>
            </w:pPr>
            <w:r>
              <w:rPr>
                <w:color w:val="auto"/>
                <w:sz w:val="24"/>
                <w:szCs w:val="24"/>
              </w:rPr>
              <w:t>简单防渗区：厂区道路及其他区域</w:t>
            </w:r>
            <w:r>
              <w:rPr>
                <w:rFonts w:hint="eastAsia"/>
                <w:color w:val="auto"/>
                <w:sz w:val="24"/>
                <w:szCs w:val="24"/>
                <w:lang w:eastAsia="zh-CN"/>
              </w:rPr>
              <w:t>，</w:t>
            </w:r>
            <w:r>
              <w:rPr>
                <w:color w:val="auto"/>
                <w:sz w:val="24"/>
                <w:szCs w:val="24"/>
              </w:rPr>
              <w:t xml:space="preserve">一般地面硬化。 </w:t>
            </w:r>
          </w:p>
        </w:tc>
      </w:tr>
      <w:tr>
        <w:trPr>
          <w:trHeight w:val="23"/>
        </w:trPr>
        <w:tc>
          <w:tcPr>
            <w:tcW w:w="55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生态保护措施</w:t>
            </w:r>
          </w:p>
        </w:tc>
        <w:tc>
          <w:tcPr>
            <w:tcW w:w="4442" w:type="pct"/>
            <w:gridSpan w:val="4"/>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z w:val="24"/>
                <w:szCs w:val="24"/>
              </w:rPr>
              <w:t>无</w:t>
            </w:r>
          </w:p>
        </w:tc>
      </w:tr>
      <w:tr>
        <w:trPr>
          <w:trHeight w:val="23"/>
        </w:trPr>
        <w:tc>
          <w:tcPr>
            <w:tcW w:w="55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color w:val="auto"/>
                <w:sz w:val="24"/>
                <w:szCs w:val="24"/>
              </w:rPr>
            </w:pPr>
            <w:r>
              <w:rPr>
                <w:color w:val="auto"/>
                <w:spacing w:val="-8"/>
                <w:sz w:val="24"/>
                <w:szCs w:val="24"/>
              </w:rPr>
              <w:t>环境风险防范措施</w:t>
            </w:r>
          </w:p>
        </w:tc>
        <w:tc>
          <w:tcPr>
            <w:tcW w:w="4442" w:type="pct"/>
            <w:gridSpan w:val="4"/>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textAlignment w:val="auto"/>
              <w:rPr>
                <w:color w:val="auto"/>
                <w:spacing w:val="-8"/>
                <w:sz w:val="24"/>
                <w:szCs w:val="24"/>
              </w:rPr>
            </w:pPr>
            <w:r>
              <w:rPr>
                <w:color w:val="auto"/>
                <w:spacing w:val="-8"/>
                <w:sz w:val="24"/>
                <w:szCs w:val="24"/>
              </w:rPr>
              <w:t>项目应严格落实本评价提出的各项环境风险防范措施，严格</w:t>
            </w:r>
            <w:r>
              <w:rPr>
                <w:rFonts w:hint="eastAsia"/>
                <w:color w:val="auto"/>
                <w:spacing w:val="-8"/>
                <w:sz w:val="24"/>
                <w:szCs w:val="24"/>
                <w:lang w:eastAsia="zh-CN"/>
              </w:rPr>
              <w:t>按照</w:t>
            </w:r>
            <w:r>
              <w:rPr>
                <w:color w:val="auto"/>
                <w:spacing w:val="-8"/>
                <w:sz w:val="24"/>
                <w:szCs w:val="24"/>
              </w:rPr>
              <w:t>国家有关环保、安全生产的要求，规范工程设计，落实有关安全、环保设施</w:t>
            </w:r>
            <w:r>
              <w:rPr>
                <w:rFonts w:ascii="宋体" w:cs="宋体" w:hAnsi="宋体" w:hint="eastAsia"/>
                <w:color w:val="auto"/>
                <w:spacing w:val="-8"/>
                <w:sz w:val="24"/>
                <w:szCs w:val="24"/>
              </w:rPr>
              <w:t>“三同时”</w:t>
            </w:r>
            <w:r>
              <w:rPr>
                <w:color w:val="auto"/>
                <w:spacing w:val="-8"/>
                <w:sz w:val="24"/>
                <w:szCs w:val="24"/>
              </w:rPr>
              <w:t>，公司通过加强管理、采取控制、监督和维护等措施，可大大降低事故风险，项目建成后制度完善的安全管理、降低风险的规章制度。从风险分析的结果来看，本项目环境风险可接受。</w:t>
            </w:r>
          </w:p>
        </w:tc>
      </w:tr>
      <w:tr>
        <w:trPr>
          <w:trHeight w:val="23"/>
        </w:trPr>
        <w:tc>
          <w:tcPr>
            <w:tcW w:w="557" w:type="pct"/>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center"/>
              <w:textAlignment w:val="auto"/>
              <w:rPr>
                <w:color w:val="auto"/>
                <w:spacing w:val="-8"/>
                <w:sz w:val="24"/>
                <w:szCs w:val="24"/>
              </w:rPr>
            </w:pPr>
            <w:r>
              <w:rPr>
                <w:color w:val="auto"/>
                <w:spacing w:val="-8"/>
                <w:sz w:val="24"/>
                <w:szCs w:val="24"/>
              </w:rPr>
              <w:t>其他环境管理要求</w:t>
            </w:r>
          </w:p>
        </w:tc>
        <w:tc>
          <w:tcPr>
            <w:tcW w:w="4442" w:type="pct"/>
            <w:gridSpan w:val="4"/>
            <w:tcBorders>
              <w:left w:val="single" w:sz="4" w:space="0" w:color="auto"/>
            </w:tcBorders>
            <w:vAlign w:val="center"/>
          </w:tcPr>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color w:val="auto"/>
                <w:sz w:val="24"/>
                <w:szCs w:val="24"/>
              </w:rPr>
              <w:t>为了贯彻执行有关环境保护法规，及时了解项目及其周围环境质量变化情况，掌握环境保护措施实施的效果，保证该区域良好的环境质量，建设单位进行相应的环境管理。</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rFonts w:hint="eastAsia"/>
                <w:color w:val="auto"/>
                <w:sz w:val="24"/>
                <w:szCs w:val="24"/>
              </w:rPr>
              <w:t>①</w:t>
            </w:r>
            <w:r>
              <w:rPr>
                <w:color w:val="auto"/>
                <w:sz w:val="24"/>
                <w:szCs w:val="24"/>
              </w:rPr>
              <w:t>贯彻落实国家相关法律法规及政策，以国家相关法律法规为依据，落实</w:t>
            </w:r>
            <w:r>
              <w:rPr>
                <w:rFonts w:hint="eastAsia"/>
                <w:color w:val="auto"/>
                <w:sz w:val="24"/>
                <w:szCs w:val="24"/>
                <w:lang w:eastAsia="zh-CN"/>
              </w:rPr>
              <w:t>防止</w:t>
            </w:r>
            <w:r>
              <w:rPr>
                <w:color w:val="auto"/>
                <w:sz w:val="24"/>
                <w:szCs w:val="24"/>
              </w:rPr>
              <w:t>环境污染和生态破坏的措施以及环境保护设施投资概算，及</w:t>
            </w:r>
            <w:r>
              <w:rPr>
                <w:rFonts w:hint="eastAsia"/>
                <w:color w:val="auto"/>
                <w:sz w:val="24"/>
                <w:szCs w:val="24"/>
                <w:lang w:eastAsia="zh-CN"/>
              </w:rPr>
              <w:t>时向</w:t>
            </w:r>
            <w:r>
              <w:rPr>
                <w:color w:val="auto"/>
                <w:sz w:val="24"/>
                <w:szCs w:val="24"/>
              </w:rPr>
              <w:t>当地环境保护部门汇报各阶段的情况。</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rFonts w:hint="eastAsia"/>
                <w:color w:val="auto"/>
                <w:sz w:val="24"/>
                <w:szCs w:val="24"/>
              </w:rPr>
              <w:t>②</w:t>
            </w:r>
            <w:r>
              <w:rPr>
                <w:color w:val="auto"/>
                <w:sz w:val="24"/>
                <w:szCs w:val="24"/>
              </w:rPr>
              <w:t>项目的建设遵</w:t>
            </w:r>
            <w:r>
              <w:rPr>
                <w:rFonts w:hint="eastAsia"/>
                <w:color w:val="auto"/>
                <w:sz w:val="24"/>
                <w:szCs w:val="24"/>
              </w:rPr>
              <w:t>循“三同时”制</w:t>
            </w:r>
            <w:r>
              <w:rPr>
                <w:color w:val="auto"/>
                <w:sz w:val="24"/>
                <w:szCs w:val="24"/>
              </w:rPr>
              <w:t>度，即项目环保措施与主体工程同时设计、同时施工、同时投产使用。</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rFonts w:hint="eastAsia"/>
                <w:color w:val="auto"/>
                <w:sz w:val="24"/>
                <w:szCs w:val="24"/>
              </w:rPr>
              <w:t>③</w:t>
            </w:r>
            <w:r>
              <w:rPr>
                <w:color w:val="auto"/>
                <w:sz w:val="24"/>
                <w:szCs w:val="24"/>
              </w:rPr>
              <w:t>排污许可制度衔接</w:t>
            </w:r>
            <w:r>
              <w:rPr>
                <w:rFonts w:hint="eastAsia"/>
                <w:color w:val="auto"/>
                <w:sz w:val="24"/>
                <w:szCs w:val="24"/>
                <w:lang w:eastAsia="zh-CN"/>
              </w:rPr>
              <w:t>：</w:t>
            </w:r>
            <w:r>
              <w:rPr>
                <w:color w:val="auto"/>
                <w:sz w:val="24"/>
                <w:szCs w:val="24"/>
              </w:rPr>
              <w:t>根据《固定污染源排污许可分类管理名录（2019年版）》，按照国家环境保护相关法律法规以及排污许可证申请与核发技术规范要求，</w:t>
            </w:r>
            <w:r>
              <w:rPr>
                <w:rFonts w:hint="eastAsia"/>
                <w:color w:val="auto"/>
                <w:sz w:val="24"/>
                <w:szCs w:val="24"/>
                <w:lang w:val="en-US" w:eastAsia="zh-CN"/>
              </w:rPr>
              <w:t>在项目竣工后投入生产前需</w:t>
            </w:r>
            <w:r>
              <w:rPr>
                <w:color w:val="auto"/>
                <w:sz w:val="24"/>
                <w:szCs w:val="24"/>
              </w:rPr>
              <w:t>在全国排污许可证管理信息平台填报，填报基本信息、污染物排放去向、执行的污染物排放标准以及采取的污染防治措施等信息。</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rFonts w:hint="eastAsia"/>
                <w:color w:val="auto"/>
                <w:sz w:val="24"/>
                <w:szCs w:val="24"/>
              </w:rPr>
              <w:t>④</w:t>
            </w:r>
            <w:r>
              <w:rPr>
                <w:color w:val="auto"/>
                <w:sz w:val="24"/>
                <w:szCs w:val="24"/>
              </w:rPr>
              <w:t>建设项目竣工后，建设单位或者其委托的技术机构应当依照国家有关法律法规。建设</w:t>
            </w:r>
            <w:r>
              <w:rPr>
                <w:rFonts w:hint="eastAsia"/>
                <w:color w:val="auto"/>
                <w:sz w:val="24"/>
                <w:szCs w:val="24"/>
                <w:lang w:eastAsia="zh-CN"/>
              </w:rPr>
              <w:t>项目</w:t>
            </w:r>
            <w:r>
              <w:rPr>
                <w:color w:val="auto"/>
                <w:sz w:val="24"/>
                <w:szCs w:val="24"/>
              </w:rPr>
              <w:t>竣工环境保护验收技术规范。建设项目环境影响报告表和审批决定等要求，如实查验、监测、记载建设项目环境保护设施的建设和调试情况，同时还应如实记载其他环境保护对策措施落实情况，编制竣工环境保护验收报告。</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rFonts w:hint="eastAsia"/>
                <w:color w:val="auto"/>
                <w:sz w:val="24"/>
                <w:szCs w:val="24"/>
              </w:rPr>
              <w:t>⑤</w:t>
            </w:r>
            <w:r>
              <w:rPr>
                <w:color w:val="auto"/>
                <w:sz w:val="24"/>
                <w:szCs w:val="24"/>
              </w:rPr>
              <w:t>验收报告编制完成后，建设单位应组织成立验收工作组。验收工作组由建设单位、设计单位、施工单位、环境影响报告表编制机构、验收报告编制机构等单位代表和专业技术专家组成。建设单位应当对验收工作组提出的问题进行整改，合格后方可出具验收合格的意见。建设项目配套建设的环境保护设施经验收合格后，其主体工程才可以投入运营或者使用，并纳入环境保护管理部门的管理，对项目各阶段工作进行监督、检查。建设单位按照《环境保护信息公开办法》进行相关信息的公开。</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rFonts w:hint="eastAsia"/>
                <w:color w:val="auto"/>
                <w:sz w:val="24"/>
                <w:szCs w:val="24"/>
              </w:rPr>
              <w:t>⑥</w:t>
            </w:r>
            <w:r>
              <w:rPr>
                <w:color w:val="auto"/>
                <w:sz w:val="24"/>
                <w:szCs w:val="24"/>
              </w:rPr>
              <w:t>项目建成后要求厂区道路及车间地面硬化，车间地面、墙壁、设备顶部无明显积尘；车间、厂区无明显异味，厂容厂貌整洁有序。</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rFonts w:hint="eastAsia"/>
                <w:color w:val="auto"/>
                <w:sz w:val="24"/>
                <w:szCs w:val="24"/>
              </w:rPr>
              <w:t>⑦</w:t>
            </w:r>
            <w:r>
              <w:rPr>
                <w:color w:val="auto"/>
                <w:sz w:val="24"/>
                <w:szCs w:val="24"/>
              </w:rPr>
              <w:t>项目正式生产后：公司建立：</w:t>
            </w:r>
            <w:r>
              <w:rPr>
                <w:rFonts w:hint="eastAsia"/>
                <w:color w:val="auto"/>
                <w:sz w:val="24"/>
                <w:szCs w:val="24"/>
              </w:rPr>
              <w:t>（1）</w:t>
            </w:r>
            <w:r>
              <w:rPr>
                <w:color w:val="auto"/>
                <w:sz w:val="24"/>
                <w:szCs w:val="24"/>
              </w:rPr>
              <w:t>环保档案：环评批复文件、竣工验收文件、排污许可证及季度、年度执行报告、环境管理制度（主要包括岗位责任制度、定期巡查维护制度、环保奖惩制度等）、废气治理设施运行管理规程、一年内废气</w:t>
            </w:r>
            <w:r>
              <w:rPr>
                <w:rFonts w:hint="eastAsia"/>
                <w:color w:val="auto"/>
                <w:sz w:val="24"/>
                <w:szCs w:val="24"/>
                <w:lang w:eastAsia="zh-CN"/>
              </w:rPr>
              <w:t>、</w:t>
            </w:r>
            <w:r>
              <w:rPr>
                <w:rFonts w:hint="eastAsia"/>
                <w:color w:val="auto"/>
                <w:sz w:val="24"/>
                <w:szCs w:val="24"/>
                <w:lang w:val="en-US" w:eastAsia="zh-CN"/>
              </w:rPr>
              <w:t>废水、噪声</w:t>
            </w:r>
            <w:r>
              <w:rPr>
                <w:color w:val="auto"/>
                <w:sz w:val="24"/>
                <w:szCs w:val="24"/>
              </w:rPr>
              <w:t>监测报告（符合排污许可证监测项目及频次要求）；</w:t>
            </w:r>
            <w:r>
              <w:rPr>
                <w:rFonts w:hint="eastAsia"/>
                <w:color w:val="auto"/>
                <w:sz w:val="24"/>
                <w:szCs w:val="24"/>
              </w:rPr>
              <w:t>（2）</w:t>
            </w:r>
            <w:r>
              <w:rPr>
                <w:color w:val="auto"/>
                <w:sz w:val="24"/>
                <w:szCs w:val="24"/>
              </w:rPr>
              <w:t>台账记录：生产设施运行管理信息（生产时间、运行负荷、产品产量等）、吸附剂种类、更换/再生周期、更换量；其他污染控制设备，应记录保养维护事项；主要原辅材料消耗情况；以上记录至少需保存五年</w:t>
            </w:r>
            <w:r>
              <w:rPr>
                <w:rFonts w:hint="eastAsia"/>
                <w:color w:val="auto"/>
                <w:sz w:val="24"/>
                <w:szCs w:val="24"/>
              </w:rPr>
              <w:t>；（3）</w:t>
            </w:r>
            <w:r>
              <w:rPr>
                <w:color w:val="auto"/>
                <w:sz w:val="24"/>
                <w:szCs w:val="24"/>
              </w:rPr>
              <w:t>配备专职环保人员，并具备相应的环境管理</w:t>
            </w:r>
            <w:r>
              <w:rPr>
                <w:rFonts w:hint="eastAsia"/>
                <w:color w:val="auto"/>
                <w:sz w:val="24"/>
                <w:szCs w:val="24"/>
                <w:lang w:eastAsia="zh-CN"/>
              </w:rPr>
              <w:t>能力</w:t>
            </w:r>
            <w:r>
              <w:rPr>
                <w:color w:val="auto"/>
                <w:sz w:val="24"/>
                <w:szCs w:val="24"/>
              </w:rPr>
              <w:t>。</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r>
              <w:rPr>
                <w:rFonts w:hint="eastAsia"/>
                <w:color w:val="auto"/>
                <w:sz w:val="24"/>
                <w:szCs w:val="24"/>
              </w:rPr>
              <w:t>⑧</w:t>
            </w:r>
            <w:r>
              <w:rPr>
                <w:color w:val="auto"/>
                <w:sz w:val="24"/>
                <w:szCs w:val="24"/>
              </w:rPr>
              <w:t>项目建设后按要求建立门禁视频监控系统和电子台账。</w:t>
            </w: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p>
          <w:p>
            <w:pPr>
              <w:keepNext w:val="0"/>
              <w:keepLines w:val="0"/>
              <w:pageBreakBefore w:val="0"/>
              <w:widowControl w:val="0"/>
              <w:kinsoku/>
              <w:wordWrap/>
              <w:overflowPunct/>
              <w:topLinePunct w:val="0"/>
              <w:autoSpaceDE/>
              <w:autoSpaceDN/>
              <w:bidi w:val="0"/>
              <w:spacing w:line="240" w:lineRule="auto"/>
              <w:ind w:left="0" w:firstLineChars="0" w:firstLine="0"/>
              <w:jc w:val="left"/>
              <w:textAlignment w:val="auto"/>
              <w:rPr>
                <w:color w:val="auto"/>
                <w:sz w:val="24"/>
                <w:szCs w:val="24"/>
              </w:rPr>
            </w:pPr>
          </w:p>
        </w:tc>
      </w:tr>
    </w:tbl>
    <w:p>
      <w:pPr>
        <w:spacing w:line="360" w:lineRule="auto"/>
        <w:jc w:val="center"/>
        <w:outlineLvl w:val="0"/>
        <w:rPr>
          <w:rFonts w:ascii="Times New Roman" w:eastAsia="黑体" w:hAnsi="Times New Roman"/>
          <w:snapToGrid w:val="0"/>
          <w:color w:val="auto"/>
          <w:sz w:val="30"/>
          <w:szCs w:val="30"/>
        </w:rPr>
      </w:pPr>
      <w:r>
        <w:rPr>
          <w:rFonts w:ascii="Times New Roman" w:hAnsi="Times New Roman"/>
          <w:snapToGrid w:val="0"/>
          <w:color w:val="auto"/>
        </w:rPr>
        <w:br w:type="page"/>
      </w:r>
      <w:r>
        <w:rPr>
          <w:rFonts w:ascii="Times New Roman" w:eastAsia="黑体" w:hAnsi="Times New Roman"/>
          <w:snapToGrid w:val="0"/>
          <w:color w:val="auto"/>
          <w:sz w:val="30"/>
          <w:szCs w:val="30"/>
        </w:rPr>
        <w:t>六、结论</w:t>
      </w:r>
    </w:p>
    <w:tbl>
      <w:tblPr>
        <w:jc w:val="left"/>
        <w:tblInd w:w="0" w:type="dx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060"/>
      </w:tblGrid>
      <w:tr>
        <w:tc>
          <w:tcPr>
            <w:tcW w:w="9060" w:type="dxa"/>
          </w:tcPr>
          <w:p>
            <w:pPr>
              <w:rPr>
                <w:color w:val="auto"/>
              </w:rPr>
            </w:pPr>
          </w:p>
          <w:p>
            <w:pPr>
              <w:spacing w:line="360" w:lineRule="auto"/>
              <w:rPr>
                <w:color w:val="auto"/>
                <w:sz w:val="24"/>
                <w:szCs w:val="24"/>
              </w:rPr>
            </w:pPr>
          </w:p>
          <w:p>
            <w:pPr>
              <w:spacing w:line="360" w:lineRule="auto"/>
              <w:rPr>
                <w:color w:val="auto"/>
              </w:rPr>
            </w:pPr>
            <w:r>
              <w:rPr>
                <w:rFonts w:hint="eastAsia"/>
                <w:color w:val="auto"/>
                <w:sz w:val="24"/>
                <w:szCs w:val="32"/>
              </w:rPr>
              <w:t>本项目</w:t>
            </w:r>
            <w:r>
              <w:rPr>
                <w:color w:val="auto"/>
                <w:sz w:val="24"/>
                <w:szCs w:val="24"/>
              </w:rPr>
              <w:t>建设符合国家和河北省相关的现行产业政策要求，项目选址合理，建设规模合理，生产工艺、环保设施较为先进，在严格采取本次环评提出的各项环保措施后，各污染物均达标排放，可以满足当地环境功能区划的要求。在全面加强监督管理，认真落实各项环保措施的条件下，从环境保护的角度分析，本项目的建设是可行的。</w:t>
            </w: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tc>
      </w:tr>
    </w:tbl>
    <w:p>
      <w:pPr>
        <w:rPr>
          <w:color w:val="auto"/>
        </w:rPr>
        <w:sectPr>
          <w:pgSz w:w="11906" w:h="16838"/>
          <w:pgMar w:top="1417" w:right="1417" w:bottom="1417" w:left="1417" w:header="851" w:footer="851" w:gutter="0"/>
          <w:pgNumType/>
          <w:cols w:num="1" w:space="720"/>
          <w:docGrid w:linePitch="312" w:charSpace="0"/>
        </w:sectPr>
      </w:pPr>
    </w:p>
    <w:p>
      <w:pPr>
        <w:rPr>
          <w:color w:val="auto"/>
        </w:rPr>
        <w:sectPr>
          <w:footerReference w:type="default" r:id="rId58"/>
          <w:pgSz w:w="11906" w:h="16838"/>
          <w:pgMar w:top="1417" w:right="1417" w:bottom="1417" w:left="1417" w:header="851" w:footer="851" w:gutter="0"/>
          <w:pgNumType/>
          <w:cols w:num="1" w:space="720"/>
          <w:docGrid w:linePitch="312" w:charSpace="0"/>
        </w:sectPr>
      </w:pPr>
    </w:p>
    <w:p>
      <w:pPr>
        <w:adjustRightInd w:val="0"/>
        <w:snapToGrid w:val="0"/>
        <w:spacing w:before="0" w:beforeAutospacing="0" w:after="0" w:afterAutospacing="0"/>
        <w:outlineLvl w:val="0"/>
        <w:rPr>
          <w:rFonts w:ascii="Times New Roman" w:eastAsia="黑体" w:hAnsi="Times New Roman"/>
          <w:snapToGrid w:val="0"/>
          <w:color w:val="auto"/>
          <w:sz w:val="40"/>
          <w:szCs w:val="40"/>
        </w:rPr>
      </w:pPr>
      <w:r>
        <w:rPr>
          <w:rFonts w:ascii="Times New Roman" w:eastAsia="黑体" w:hAnsi="Times New Roman"/>
          <w:snapToGrid w:val="0"/>
          <w:color w:val="auto"/>
          <w:sz w:val="32"/>
          <w:szCs w:val="32"/>
        </w:rPr>
        <w:t>附表</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Chars="0" w:firstLine="0"/>
        <w:jc w:val="center"/>
        <w:textAlignment w:val="auto"/>
        <w:outlineLvl w:val="0"/>
        <w:rPr>
          <w:rFonts w:ascii="Times New Roman" w:eastAsia="方正小标宋_GBK" w:hAnsi="Times New Roman"/>
          <w:snapToGrid w:val="0"/>
          <w:color w:val="auto"/>
          <w:sz w:val="44"/>
          <w:szCs w:val="44"/>
        </w:rPr>
      </w:pPr>
      <w:r>
        <w:rPr>
          <w:rFonts w:ascii="Times New Roman" w:hAnsi="Times New Roman"/>
          <w:b/>
          <w:bCs/>
          <w:color w:val="auto"/>
          <w:sz w:val="32"/>
          <w:szCs w:val="22"/>
        </w:rPr>
        <w:t>建设项目污染物排放量汇总表</w:t>
      </w:r>
    </w:p>
    <w:tbl>
      <w:tblPr>
        <w:jc w:val="left"/>
        <w:tblInd w:w="0" w:type="dxa"/>
        <w:tblW w:w="137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588"/>
        <w:gridCol w:w="1549"/>
        <w:gridCol w:w="1569"/>
        <w:gridCol w:w="1130"/>
        <w:gridCol w:w="1847"/>
        <w:gridCol w:w="1559"/>
        <w:gridCol w:w="1289"/>
        <w:gridCol w:w="2040"/>
        <w:gridCol w:w="1217"/>
      </w:tblGrid>
      <w:tr>
        <w:trPr>
          <w:trHeight w:val="23"/>
        </w:trPr>
        <w:tc>
          <w:tcPr>
            <w:tcW w:w="1588" w:type="dxa"/>
            <w:tcBorders>
              <w:tl2br w:val="single" w:sz="4" w:space="0" w:color="auto"/>
            </w:tcBorders>
            <w:tcMar>
              <w:left w:w="28" w:type="dxa"/>
              <w:right w:w="28" w:type="dxa"/>
            </w:tcMar>
            <w:vAlign w:val="center"/>
          </w:tcPr>
          <w:p>
            <w:pPr>
              <w:pStyle w:val="23"/>
              <w:bidi w:val="0"/>
              <w:spacing w:line="240" w:lineRule="auto"/>
              <w:jc w:val="right"/>
              <w:rPr>
                <w:color w:val="auto"/>
              </w:rPr>
            </w:pPr>
            <w:r>
              <w:rPr>
                <w:color w:val="auto"/>
              </w:rPr>
              <w:t>项目</w:t>
            </w:r>
          </w:p>
          <w:p>
            <w:pPr>
              <w:pStyle w:val="23"/>
              <w:bidi w:val="0"/>
              <w:spacing w:line="240" w:lineRule="auto"/>
              <w:jc w:val="left"/>
              <w:rPr>
                <w:color w:val="auto"/>
              </w:rPr>
            </w:pPr>
            <w:r>
              <w:rPr>
                <w:color w:val="auto"/>
              </w:rPr>
              <w:t>分类</w:t>
            </w:r>
          </w:p>
        </w:tc>
        <w:tc>
          <w:tcPr>
            <w:tcW w:w="1549" w:type="dxa"/>
            <w:tcMar>
              <w:left w:w="28" w:type="dxa"/>
              <w:right w:w="28" w:type="dxa"/>
            </w:tcMar>
            <w:vAlign w:val="center"/>
          </w:tcPr>
          <w:p>
            <w:pPr>
              <w:pStyle w:val="23"/>
              <w:bidi w:val="0"/>
              <w:spacing w:line="240" w:lineRule="auto"/>
              <w:rPr>
                <w:color w:val="auto"/>
              </w:rPr>
            </w:pPr>
            <w:r>
              <w:rPr>
                <w:color w:val="auto"/>
              </w:rPr>
              <w:t>污染物名称</w:t>
            </w:r>
          </w:p>
        </w:tc>
        <w:tc>
          <w:tcPr>
            <w:tcW w:w="1569" w:type="dxa"/>
            <w:tcMar>
              <w:left w:w="28" w:type="dxa"/>
              <w:right w:w="28" w:type="dxa"/>
            </w:tcMar>
            <w:vAlign w:val="center"/>
          </w:tcPr>
          <w:p>
            <w:pPr>
              <w:pStyle w:val="23"/>
              <w:bidi w:val="0"/>
              <w:spacing w:line="240" w:lineRule="auto"/>
              <w:rPr>
                <w:color w:val="auto"/>
              </w:rPr>
            </w:pPr>
            <w:r>
              <w:rPr>
                <w:color w:val="auto"/>
              </w:rPr>
              <w:t>现有工程排放量（固体废物产生量）</w:t>
            </w: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p>
        </w:tc>
        <w:tc>
          <w:tcPr>
            <w:tcW w:w="1130" w:type="dxa"/>
            <w:tcMar>
              <w:left w:w="28" w:type="dxa"/>
              <w:right w:w="28" w:type="dxa"/>
            </w:tcMar>
            <w:vAlign w:val="center"/>
          </w:tcPr>
          <w:p>
            <w:pPr>
              <w:pStyle w:val="23"/>
              <w:bidi w:val="0"/>
              <w:spacing w:line="240" w:lineRule="auto"/>
              <w:rPr>
                <w:color w:val="auto"/>
              </w:rPr>
            </w:pPr>
            <w:r>
              <w:rPr>
                <w:color w:val="auto"/>
              </w:rPr>
              <w:t>现有工程</w:t>
            </w:r>
          </w:p>
          <w:p>
            <w:pPr>
              <w:pStyle w:val="23"/>
              <w:bidi w:val="0"/>
              <w:spacing w:line="240" w:lineRule="auto"/>
              <w:rPr>
                <w:color w:val="auto"/>
              </w:rPr>
            </w:pPr>
            <w:r>
              <w:rPr>
                <w:color w:val="auto"/>
              </w:rPr>
              <w:t>许可排放量</w:t>
            </w:r>
          </w:p>
          <w:p>
            <w:pPr>
              <w:pStyle w:val="23"/>
              <w:bidi w:val="0"/>
              <w:spacing w:line="240" w:lineRule="auto"/>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p>
        </w:tc>
        <w:tc>
          <w:tcPr>
            <w:tcW w:w="1847" w:type="dxa"/>
            <w:tcMar>
              <w:left w:w="28" w:type="dxa"/>
              <w:right w:w="28" w:type="dxa"/>
            </w:tcMar>
            <w:vAlign w:val="center"/>
          </w:tcPr>
          <w:p>
            <w:pPr>
              <w:pStyle w:val="23"/>
              <w:bidi w:val="0"/>
              <w:spacing w:line="240" w:lineRule="auto"/>
              <w:rPr>
                <w:color w:val="auto"/>
              </w:rPr>
            </w:pPr>
            <w:r>
              <w:rPr>
                <w:color w:val="auto"/>
              </w:rPr>
              <w:t>在建工程排放量（固体废物产生量）</w:t>
            </w:r>
            <w:r>
              <w:rPr>
                <w:color w:val="auto"/>
              </w:rPr>
              <w:fldChar w:fldCharType="begin"/>
            </w:r>
            <w:r>
              <w:rPr>
                <w:color w:val="auto"/>
              </w:rPr>
              <w:instrText xml:space="preserve"> = 3 \* GB3 \* MERGEFORMAT </w:instrText>
            </w:r>
            <w:r>
              <w:rPr>
                <w:color w:val="auto"/>
              </w:rPr>
              <w:fldChar w:fldCharType="separate"/>
            </w:r>
            <w:r>
              <w:rPr>
                <w:color w:val="auto"/>
              </w:rPr>
              <w:t>③</w:t>
            </w:r>
            <w:r>
              <w:rPr>
                <w:color w:val="auto"/>
              </w:rPr>
              <w:fldChar w:fldCharType="end"/>
            </w:r>
          </w:p>
        </w:tc>
        <w:tc>
          <w:tcPr>
            <w:tcW w:w="1559" w:type="dxa"/>
            <w:tcMar>
              <w:left w:w="28" w:type="dxa"/>
              <w:right w:w="28" w:type="dxa"/>
            </w:tcMar>
            <w:vAlign w:val="center"/>
          </w:tcPr>
          <w:p>
            <w:pPr>
              <w:pStyle w:val="23"/>
              <w:bidi w:val="0"/>
              <w:spacing w:line="240" w:lineRule="auto"/>
              <w:rPr>
                <w:color w:val="auto"/>
              </w:rPr>
            </w:pPr>
            <w:r>
              <w:rPr>
                <w:color w:val="auto"/>
              </w:rPr>
              <w:t>本项目排放量（固体废物产生量）</w:t>
            </w:r>
            <w:r>
              <w:rPr>
                <w:color w:val="auto"/>
              </w:rPr>
              <w:fldChar w:fldCharType="begin"/>
            </w:r>
            <w:r>
              <w:rPr>
                <w:color w:val="auto"/>
              </w:rPr>
              <w:instrText xml:space="preserve"> = 4 \* GB3 \* MERGEFORMAT </w:instrText>
            </w:r>
            <w:r>
              <w:rPr>
                <w:color w:val="auto"/>
              </w:rPr>
              <w:fldChar w:fldCharType="separate"/>
            </w:r>
            <w:r>
              <w:rPr>
                <w:color w:val="auto"/>
              </w:rPr>
              <w:t>④</w:t>
            </w:r>
            <w:r>
              <w:rPr>
                <w:color w:val="auto"/>
              </w:rPr>
              <w:fldChar w:fldCharType="end"/>
            </w:r>
          </w:p>
        </w:tc>
        <w:tc>
          <w:tcPr>
            <w:tcW w:w="1289" w:type="dxa"/>
            <w:tcMar>
              <w:left w:w="28" w:type="dxa"/>
              <w:right w:w="28" w:type="dxa"/>
            </w:tcMar>
            <w:vAlign w:val="center"/>
          </w:tcPr>
          <w:p>
            <w:pPr>
              <w:pStyle w:val="23"/>
              <w:bidi w:val="0"/>
              <w:spacing w:line="240" w:lineRule="auto"/>
              <w:rPr>
                <w:color w:val="auto"/>
              </w:rPr>
            </w:pPr>
            <w:r>
              <w:rPr>
                <w:color w:val="auto"/>
              </w:rPr>
              <w:t>以新带老削减量（新建项目不填）</w:t>
            </w:r>
            <w:r>
              <w:rPr>
                <w:color w:val="auto"/>
              </w:rPr>
              <w:fldChar w:fldCharType="begin"/>
            </w:r>
            <w:r>
              <w:rPr>
                <w:color w:val="auto"/>
              </w:rPr>
              <w:instrText xml:space="preserve"> = 5 \* GB3 \* MERGEFORMAT </w:instrText>
            </w:r>
            <w:r>
              <w:rPr>
                <w:color w:val="auto"/>
              </w:rPr>
              <w:fldChar w:fldCharType="separate"/>
            </w:r>
            <w:r>
              <w:rPr>
                <w:color w:val="auto"/>
              </w:rPr>
              <w:t>⑤</w:t>
            </w:r>
            <w:r>
              <w:rPr>
                <w:color w:val="auto"/>
              </w:rPr>
              <w:fldChar w:fldCharType="end"/>
            </w:r>
          </w:p>
        </w:tc>
        <w:tc>
          <w:tcPr>
            <w:tcW w:w="2040" w:type="dxa"/>
            <w:tcMar>
              <w:left w:w="28" w:type="dxa"/>
              <w:right w:w="28" w:type="dxa"/>
            </w:tcMar>
            <w:vAlign w:val="center"/>
          </w:tcPr>
          <w:p>
            <w:pPr>
              <w:pStyle w:val="23"/>
              <w:bidi w:val="0"/>
              <w:spacing w:line="240" w:lineRule="auto"/>
              <w:rPr>
                <w:color w:val="auto"/>
              </w:rPr>
            </w:pPr>
            <w:r>
              <w:rPr>
                <w:color w:val="auto"/>
              </w:rPr>
              <w:t>本项目建成后全厂排放量（固体废物产生量）</w:t>
            </w:r>
            <w:r>
              <w:rPr>
                <w:color w:val="auto"/>
              </w:rPr>
              <w:fldChar w:fldCharType="begin"/>
            </w:r>
            <w:r>
              <w:rPr>
                <w:color w:val="auto"/>
              </w:rPr>
              <w:instrText xml:space="preserve"> = 6 \* GB3 \* MERGEFORMAT </w:instrText>
            </w:r>
            <w:r>
              <w:rPr>
                <w:color w:val="auto"/>
              </w:rPr>
              <w:fldChar w:fldCharType="separate"/>
            </w:r>
            <w:r>
              <w:rPr>
                <w:color w:val="auto"/>
              </w:rPr>
              <w:t>⑥</w:t>
            </w:r>
            <w:r>
              <w:rPr>
                <w:color w:val="auto"/>
              </w:rPr>
              <w:fldChar w:fldCharType="end"/>
            </w:r>
          </w:p>
        </w:tc>
        <w:tc>
          <w:tcPr>
            <w:tcW w:w="1217" w:type="dxa"/>
            <w:tcMar>
              <w:left w:w="28" w:type="dxa"/>
              <w:right w:w="28" w:type="dxa"/>
            </w:tcMar>
            <w:vAlign w:val="center"/>
          </w:tcPr>
          <w:p>
            <w:pPr>
              <w:pStyle w:val="23"/>
              <w:bidi w:val="0"/>
              <w:spacing w:line="240" w:lineRule="auto"/>
              <w:rPr>
                <w:color w:val="auto"/>
              </w:rPr>
            </w:pPr>
            <w:r>
              <w:rPr>
                <w:color w:val="auto"/>
              </w:rPr>
              <w:t>变化量</w:t>
            </w:r>
            <w:r>
              <w:rPr>
                <w:color w:val="auto"/>
              </w:rPr>
              <w:fldChar w:fldCharType="begin"/>
            </w:r>
            <w:r>
              <w:rPr>
                <w:color w:val="auto"/>
              </w:rPr>
              <w:instrText xml:space="preserve"> = 7 \* GB3 \* MERGEFORMAT </w:instrText>
            </w:r>
            <w:r>
              <w:rPr>
                <w:color w:val="auto"/>
              </w:rPr>
              <w:fldChar w:fldCharType="separate"/>
            </w:r>
            <w:r>
              <w:rPr>
                <w:color w:val="auto"/>
              </w:rPr>
              <w:t>⑦</w:t>
            </w:r>
            <w:r>
              <w:rPr>
                <w:color w:val="auto"/>
              </w:rPr>
              <w:fldChar w:fldCharType="end"/>
            </w:r>
          </w:p>
        </w:tc>
      </w:tr>
      <w:tr>
        <w:trPr>
          <w:trHeight w:val="23"/>
        </w:trPr>
        <w:tc>
          <w:tcPr>
            <w:tcW w:w="1588" w:type="dxa"/>
            <w:vMerge w:val="restart"/>
            <w:vAlign w:val="center"/>
          </w:tcPr>
          <w:p>
            <w:pPr>
              <w:pStyle w:val="23"/>
              <w:bidi w:val="0"/>
              <w:spacing w:line="240" w:lineRule="auto"/>
              <w:rPr>
                <w:color w:val="auto"/>
              </w:rPr>
            </w:pPr>
            <w:r>
              <w:rPr>
                <w:color w:val="auto"/>
              </w:rPr>
              <w:t>废气</w:t>
            </w:r>
          </w:p>
        </w:tc>
        <w:tc>
          <w:tcPr>
            <w:tcW w:w="1549" w:type="dxa"/>
            <w:tcBorders>
              <w:left w:val="single" w:sz="4" w:space="0" w:color="auto"/>
            </w:tcBorders>
            <w:vAlign w:val="center"/>
          </w:tcPr>
          <w:p>
            <w:pPr>
              <w:pStyle w:val="23"/>
              <w:bidi w:val="0"/>
              <w:ind w:firstLine="0"/>
              <w:rPr>
                <w:rFonts w:hint="eastAsia"/>
                <w:color w:val="auto"/>
              </w:rPr>
            </w:pPr>
            <w:r>
              <w:rPr>
                <w:color w:val="auto"/>
              </w:rPr>
              <w:t>非甲烷总烃</w:t>
            </w:r>
          </w:p>
        </w:tc>
        <w:tc>
          <w:tcPr>
            <w:tcW w:w="1569"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0.055</w:t>
            </w:r>
          </w:p>
        </w:tc>
        <w:tc>
          <w:tcPr>
            <w:tcW w:w="1130" w:type="dxa"/>
            <w:tcBorders>
              <w:left w:val="single" w:sz="4" w:space="0" w:color="auto"/>
            </w:tcBorders>
            <w:vAlign w:val="center"/>
          </w:tcPr>
          <w:p>
            <w:pPr>
              <w:pStyle w:val="23"/>
              <w:bidi w:val="0"/>
              <w:rPr>
                <w:color w:val="auto"/>
              </w:rPr>
            </w:pPr>
            <w:r>
              <w:rPr>
                <w:rFonts w:hint="eastAsia"/>
                <w:color w:val="auto"/>
                <w:lang w:val="en-US" w:eastAsia="zh-CN"/>
              </w:rPr>
              <w:t>0.062</w:t>
            </w:r>
          </w:p>
        </w:tc>
        <w:tc>
          <w:tcPr>
            <w:tcW w:w="1847" w:type="dxa"/>
            <w:tcBorders>
              <w:left w:val="single" w:sz="4" w:space="0" w:color="auto"/>
            </w:tcBorders>
            <w:vAlign w:val="center"/>
          </w:tcPr>
          <w:p>
            <w:pPr>
              <w:pStyle w:val="23"/>
              <w:bidi w:val="0"/>
              <w:ind w:firstLine="0"/>
              <w:rPr>
                <w:rFonts w:hint="eastAsia"/>
                <w:color w:val="auto"/>
              </w:rPr>
            </w:pPr>
            <w:r>
              <w:rPr>
                <w:color w:val="auto"/>
              </w:rPr>
              <w:t>--</w:t>
            </w:r>
          </w:p>
        </w:tc>
        <w:tc>
          <w:tcPr>
            <w:tcW w:w="1559" w:type="dxa"/>
            <w:tcBorders>
              <w:left w:val="single" w:sz="4" w:space="0" w:color="auto"/>
            </w:tcBorders>
            <w:vAlign w:val="center"/>
          </w:tcPr>
          <w:p>
            <w:pPr>
              <w:pStyle w:val="23"/>
              <w:bidi w:val="0"/>
              <w:ind w:firstLine="0"/>
              <w:rPr>
                <w:color w:val="auto"/>
                <w:lang w:val="en-US"/>
              </w:rPr>
            </w:pPr>
            <w:r>
              <w:rPr>
                <w:rFonts w:hint="eastAsia"/>
                <w:color w:val="auto"/>
                <w:lang w:val="en-US" w:eastAsia="zh-CN"/>
              </w:rPr>
              <w:t>0.113</w:t>
            </w:r>
          </w:p>
        </w:tc>
        <w:tc>
          <w:tcPr>
            <w:tcW w:w="1289" w:type="dxa"/>
            <w:tcBorders>
              <w:left w:val="single" w:sz="4" w:space="0" w:color="auto"/>
            </w:tcBorders>
            <w:vAlign w:val="center"/>
          </w:tcPr>
          <w:p>
            <w:pPr>
              <w:pStyle w:val="23"/>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0.055</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0.1</w:t>
            </w:r>
            <w:r>
              <w:rPr>
                <w:rFonts w:cs="Times New Roman" w:hint="eastAsia"/>
                <w:color w:val="auto"/>
                <w:kern w:val="0"/>
                <w:sz w:val="21"/>
                <w:szCs w:val="24"/>
                <w:lang w:val="en-US" w:eastAsia="zh-CN" w:bidi="ar-SA"/>
              </w:rPr>
              <w:t>13</w:t>
            </w:r>
          </w:p>
        </w:tc>
        <w:tc>
          <w:tcPr>
            <w:tcW w:w="1217"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w:t>
            </w:r>
            <w:r>
              <w:rPr>
                <w:rFonts w:ascii="Times New Roman" w:eastAsia="宋体" w:cs="Times New Roman" w:hAnsi="Times New Roman" w:hint="eastAsia"/>
                <w:color w:val="auto"/>
                <w:kern w:val="0"/>
                <w:sz w:val="21"/>
                <w:szCs w:val="24"/>
                <w:lang w:val="en-US" w:eastAsia="zh-CN" w:bidi="ar-SA"/>
              </w:rPr>
              <w:t>0.05</w:t>
            </w:r>
            <w:r>
              <w:rPr>
                <w:rFonts w:cs="Times New Roman" w:hint="eastAsia"/>
                <w:color w:val="auto"/>
                <w:kern w:val="0"/>
                <w:sz w:val="21"/>
                <w:szCs w:val="24"/>
                <w:lang w:val="en-US" w:eastAsia="zh-CN" w:bidi="ar-SA"/>
              </w:rPr>
              <w:t>8</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eastAsia="宋体" w:hint="eastAsia"/>
                <w:color w:val="auto"/>
                <w:lang w:val="en-US" w:eastAsia="zh-CN"/>
              </w:rPr>
            </w:pPr>
            <w:r>
              <w:rPr>
                <w:rFonts w:hint="eastAsia"/>
                <w:color w:val="auto"/>
                <w:highlight w:val="none"/>
              </w:rPr>
              <w:t>颗粒物</w:t>
            </w:r>
          </w:p>
        </w:tc>
        <w:tc>
          <w:tcPr>
            <w:tcW w:w="156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0.033</w:t>
            </w:r>
          </w:p>
        </w:tc>
        <w:tc>
          <w:tcPr>
            <w:tcW w:w="1130" w:type="dxa"/>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1.44</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color w:val="auto"/>
                <w:highlight w:val="none"/>
              </w:rPr>
            </w:pPr>
            <w:r>
              <w:rPr>
                <w:color w:val="auto"/>
                <w:lang w:val="en-US" w:eastAsia="zh-CN"/>
                <w:highlight w:val="none"/>
              </w:rPr>
              <w:t>0.078</w:t>
            </w:r>
          </w:p>
        </w:tc>
        <w:tc>
          <w:tcPr>
            <w:tcW w:w="128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0.033</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ascii="Times New Roman" w:eastAsia="宋体" w:cs="Times New Roman" w:hAnsi="Times New Roman" w:hint="eastAsia"/>
                <w:color w:val="auto"/>
                <w:kern w:val="0"/>
                <w:sz w:val="21"/>
                <w:szCs w:val="24"/>
                <w:lang w:val="en-US" w:eastAsia="zh-CN" w:bidi="ar-SA"/>
                <w:highlight w:val="none"/>
              </w:rPr>
              <w:t>0.078</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w:t>
            </w:r>
            <w:r>
              <w:rPr>
                <w:rFonts w:ascii="Times New Roman" w:eastAsia="宋体" w:cs="Times New Roman" w:hAnsi="Times New Roman" w:hint="eastAsia"/>
                <w:color w:val="auto"/>
                <w:kern w:val="0"/>
                <w:sz w:val="21"/>
                <w:szCs w:val="24"/>
                <w:lang w:val="en-US" w:eastAsia="zh-CN" w:bidi="ar-SA"/>
                <w:highlight w:val="none"/>
              </w:rPr>
              <w:t>0.0</w:t>
            </w:r>
            <w:r>
              <w:rPr>
                <w:rFonts w:cs="Times New Roman" w:hint="eastAsia"/>
                <w:color w:val="auto"/>
                <w:kern w:val="0"/>
                <w:sz w:val="21"/>
                <w:szCs w:val="24"/>
                <w:lang w:val="en-US" w:eastAsia="zh-CN" w:bidi="ar-SA"/>
                <w:highlight w:val="none"/>
              </w:rPr>
              <w:t>45</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color w:val="auto"/>
              </w:rPr>
            </w:pPr>
            <w:r>
              <w:rPr>
                <w:rFonts w:hint="eastAsia"/>
                <w:color w:val="auto"/>
              </w:rPr>
              <w:t>氨</w:t>
            </w:r>
          </w:p>
        </w:tc>
        <w:tc>
          <w:tcPr>
            <w:tcW w:w="156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0.029</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0.073</w:t>
            </w:r>
          </w:p>
        </w:tc>
        <w:tc>
          <w:tcPr>
            <w:tcW w:w="128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0.029</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0.073</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w:t>
            </w:r>
            <w:r>
              <w:rPr>
                <w:rFonts w:ascii="Times New Roman" w:eastAsia="宋体" w:cs="Times New Roman" w:hAnsi="Times New Roman" w:hint="eastAsia"/>
                <w:color w:val="auto"/>
                <w:kern w:val="0"/>
                <w:sz w:val="21"/>
                <w:szCs w:val="24"/>
                <w:lang w:val="en-US" w:eastAsia="zh-CN" w:bidi="ar-SA"/>
              </w:rPr>
              <w:t>0.044</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hint="eastAsia"/>
                <w:color w:val="auto"/>
              </w:rPr>
            </w:pPr>
            <w:r>
              <w:rPr>
                <w:rFonts w:hint="eastAsia"/>
                <w:color w:val="auto"/>
              </w:rPr>
              <w:t>硫化氢</w:t>
            </w:r>
          </w:p>
        </w:tc>
        <w:tc>
          <w:tcPr>
            <w:tcW w:w="1569" w:type="dxa"/>
            <w:tcBorders>
              <w:left w:val="single" w:sz="4" w:space="0" w:color="auto"/>
            </w:tcBorders>
            <w:vAlign w:val="center"/>
          </w:tcPr>
          <w:p>
            <w:pPr>
              <w:pStyle w:val="23"/>
              <w:bidi w:val="0"/>
              <w:ind w:firstLine="0"/>
              <w:rPr>
                <w:rFonts w:hint="eastAsia"/>
                <w:color w:val="auto"/>
              </w:rPr>
            </w:pPr>
            <w:r>
              <w:rPr>
                <w:rFonts w:hint="eastAsia"/>
                <w:color w:val="auto"/>
                <w:lang w:val="en-US" w:eastAsia="zh-CN"/>
              </w:rPr>
              <w:t>0.0001</w:t>
            </w:r>
          </w:p>
        </w:tc>
        <w:tc>
          <w:tcPr>
            <w:tcW w:w="1130" w:type="dxa"/>
            <w:tcBorders>
              <w:left w:val="single" w:sz="4" w:space="0" w:color="auto"/>
            </w:tcBorders>
            <w:vAlign w:val="center"/>
          </w:tcPr>
          <w:p>
            <w:pPr>
              <w:pStyle w:val="23"/>
              <w:bidi w:val="0"/>
              <w:ind w:firstLine="0"/>
              <w:rPr>
                <w:color w:val="auto"/>
              </w:rPr>
            </w:pPr>
            <w:r>
              <w:rPr>
                <w:color w:val="auto"/>
              </w:rPr>
              <w:t>--</w:t>
            </w:r>
          </w:p>
        </w:tc>
        <w:tc>
          <w:tcPr>
            <w:tcW w:w="1847" w:type="dxa"/>
            <w:tcBorders>
              <w:left w:val="single" w:sz="4" w:space="0" w:color="auto"/>
            </w:tcBorders>
            <w:vAlign w:val="center"/>
          </w:tcPr>
          <w:p>
            <w:pPr>
              <w:pStyle w:val="23"/>
              <w:bidi w:val="0"/>
              <w:ind w:firstLine="0"/>
              <w:rPr>
                <w:rFonts w:hint="eastAsia"/>
                <w:color w:val="auto"/>
              </w:rPr>
            </w:pPr>
            <w:r>
              <w:rPr>
                <w:color w:val="auto"/>
              </w:rPr>
              <w:t>--</w:t>
            </w:r>
          </w:p>
        </w:tc>
        <w:tc>
          <w:tcPr>
            <w:tcW w:w="155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0.0002</w:t>
            </w:r>
          </w:p>
        </w:tc>
        <w:tc>
          <w:tcPr>
            <w:tcW w:w="128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0.0001</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0.0002</w:t>
            </w:r>
          </w:p>
        </w:tc>
        <w:tc>
          <w:tcPr>
            <w:tcW w:w="1217" w:type="dxa"/>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+0.0001</w:t>
            </w:r>
          </w:p>
        </w:tc>
      </w:tr>
      <w:tr>
        <w:trPr>
          <w:trHeight w:val="23"/>
        </w:trPr>
        <w:tc>
          <w:tcPr>
            <w:tcW w:w="1588" w:type="dxa"/>
            <w:vMerge/>
            <w:vAlign w:val="center"/>
          </w:tcP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氮氧化物</w:t>
            </w:r>
          </w:p>
        </w:tc>
        <w:tc>
          <w:tcPr>
            <w:tcW w:w="156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w:t>
            </w:r>
          </w:p>
        </w:tc>
        <w:tc>
          <w:tcPr>
            <w:tcW w:w="113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w:t>
            </w:r>
          </w:p>
        </w:tc>
        <w:tc>
          <w:tcPr>
            <w:tcW w:w="1847"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w:t>
            </w:r>
          </w:p>
        </w:tc>
        <w:tc>
          <w:tcPr>
            <w:tcW w:w="1559"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hint="eastAsia"/>
                <w:color w:val="auto"/>
                <w:lang w:val="en-US" w:eastAsia="zh-CN"/>
              </w:rPr>
              <w:t>0.218</w:t>
            </w:r>
          </w:p>
        </w:tc>
        <w:tc>
          <w:tcPr>
            <w:tcW w:w="1289" w:type="dxa"/>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4"/>
                <w:lang w:val="en-US" w:eastAsia="zh-CN" w:bidi="ar-SA"/>
              </w:rPr>
            </w:pPr>
            <w:r>
              <w:rPr>
                <w:color w:val="auto"/>
              </w:rPr>
              <w:t>--</w:t>
            </w:r>
          </w:p>
        </w:tc>
        <w:tc>
          <w:tcPr>
            <w:tcW w:w="204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0.218</w:t>
            </w:r>
          </w:p>
        </w:tc>
        <w:tc>
          <w:tcPr>
            <w:tcW w:w="1217"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+0.218</w:t>
            </w:r>
          </w:p>
        </w:tc>
      </w:tr>
      <w:tr>
        <w:trPr>
          <w:trHeight w:val="23"/>
        </w:trPr>
        <w:tc>
          <w:tcPr>
            <w:tcW w:w="1588" w:type="dxa"/>
            <w:vMerge/>
            <w:vAlign w:val="center"/>
          </w:tcP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二氧化硫</w:t>
            </w:r>
          </w:p>
        </w:tc>
        <w:tc>
          <w:tcPr>
            <w:tcW w:w="1569" w:type="dxa"/>
            <w:tcBorders>
              <w:left w:val="single" w:sz="4" w:space="0" w:color="auto"/>
            </w:tcBorders>
            <w:vAlign w:val="center"/>
          </w:tcPr>
          <w:p>
            <w:pPr>
              <w:pStyle w:val="23"/>
              <w:bidi w:val="0"/>
              <w:ind w:firstLine="0"/>
              <w:rPr>
                <w:rFonts w:eastAsia="宋体"/>
                <w:color w:val="auto"/>
                <w:lang w:val="en-US" w:eastAsia="zh-CN"/>
              </w:rPr>
            </w:pPr>
            <w:r>
              <w:rPr>
                <w:rFonts w:hint="eastAsia"/>
                <w:color w:val="auto"/>
                <w:lang w:val="en-US" w:eastAsia="zh-CN"/>
              </w:rPr>
              <w:t>0</w:t>
            </w:r>
          </w:p>
        </w:tc>
        <w:tc>
          <w:tcPr>
            <w:tcW w:w="113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w:t>
            </w:r>
          </w:p>
        </w:tc>
        <w:tc>
          <w:tcPr>
            <w:tcW w:w="1847"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w:t>
            </w:r>
          </w:p>
        </w:tc>
        <w:tc>
          <w:tcPr>
            <w:tcW w:w="1559"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snapToGrid w:val="0"/>
                <w:color w:val="auto"/>
                <w:spacing w:val="4"/>
                <w:kern w:val="2"/>
                <w:sz w:val="21"/>
                <w:szCs w:val="18"/>
                <w:shd w:val="clear" w:color="auto" w:fill="FFFFFF"/>
                <w:lang w:val="en-US" w:eastAsia="zh-CN" w:bidi="ar-SA"/>
              </w:rPr>
            </w:pPr>
            <w:r>
              <w:rPr>
                <w:rFonts w:cs="宋体" w:hint="eastAsia"/>
                <w:snapToGrid w:val="0"/>
                <w:color w:val="auto"/>
                <w:spacing w:val="4"/>
                <w:kern w:val="2"/>
                <w:sz w:val="21"/>
                <w:szCs w:val="18"/>
                <w:shd w:val="clear" w:color="auto" w:fill="FFFFFF"/>
                <w:lang w:val="en-US" w:eastAsia="zh-CN" w:bidi="ar-SA"/>
              </w:rPr>
              <w:t>0.029</w:t>
            </w:r>
          </w:p>
        </w:tc>
        <w:tc>
          <w:tcPr>
            <w:tcW w:w="1289" w:type="dxa"/>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w:t>
            </w:r>
          </w:p>
        </w:tc>
        <w:tc>
          <w:tcPr>
            <w:tcW w:w="2040"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cs="宋体" w:hint="eastAsia"/>
                <w:snapToGrid w:val="0"/>
                <w:color w:val="auto"/>
                <w:spacing w:val="4"/>
                <w:kern w:val="2"/>
                <w:sz w:val="21"/>
                <w:szCs w:val="18"/>
                <w:shd w:val="clear" w:color="auto" w:fill="FFFFFF"/>
                <w:lang w:val="en-US" w:eastAsia="zh-CN" w:bidi="ar-SA"/>
              </w:rPr>
              <w:t>0.029</w:t>
            </w:r>
          </w:p>
        </w:tc>
        <w:tc>
          <w:tcPr>
            <w:tcW w:w="1217"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cs="宋体" w:hint="eastAsia"/>
                <w:snapToGrid w:val="0"/>
                <w:color w:val="auto"/>
                <w:spacing w:val="4"/>
                <w:kern w:val="2"/>
                <w:sz w:val="21"/>
                <w:szCs w:val="18"/>
                <w:shd w:val="clear" w:color="auto" w:fill="FFFFFF"/>
                <w:lang w:val="en-US" w:eastAsia="zh-CN" w:bidi="ar-SA"/>
              </w:rPr>
              <w:t>+0.029</w:t>
            </w:r>
          </w:p>
        </w:tc>
      </w:tr>
      <w:tr>
        <w:trPr>
          <w:trHeight w:val="23"/>
        </w:trPr>
        <w:tc>
          <w:tcPr>
            <w:tcW w:w="1588" w:type="dxa"/>
            <w:vMerge w:val="restart"/>
            <w:vAlign w:val="center"/>
          </w:tcPr>
          <w:p>
            <w:pPr>
              <w:pStyle w:val="23"/>
              <w:bidi w:val="0"/>
              <w:spacing w:line="240" w:lineRule="auto"/>
              <w:rPr>
                <w:color w:val="auto"/>
              </w:rPr>
            </w:pPr>
            <w:r>
              <w:rPr>
                <w:color w:val="auto"/>
              </w:rPr>
              <w:t>废水</w:t>
            </w: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COD</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1.423</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2.599</w:t>
            </w:r>
          </w:p>
        </w:tc>
        <w:tc>
          <w:tcPr>
            <w:tcW w:w="1289" w:type="dxa"/>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1.423</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2.599</w:t>
            </w:r>
          </w:p>
        </w:tc>
        <w:tc>
          <w:tcPr>
            <w:tcW w:w="1217"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+1.176</w:t>
            </w:r>
          </w:p>
        </w:tc>
      </w:tr>
      <w:tr>
        <w:trPr>
          <w:trHeight w:val="23"/>
        </w:trPr>
        <w:tc>
          <w:tcPr>
            <w:tcW w:w="1588" w:type="dxa"/>
            <w:vMerge/>
            <w:vAlign w:val="center"/>
          </w:tcP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BOD</w:t>
            </w:r>
            <w:r>
              <w:rPr>
                <w:color w:val="auto"/>
                <w:vertAlign w:val="subscript"/>
              </w:rPr>
              <w:t>5</w:t>
            </w:r>
          </w:p>
        </w:tc>
        <w:tc>
          <w:tcPr>
            <w:tcW w:w="1569"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0.251</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shd w:val="clear" w:color="auto" w:fill="auto"/>
            <w:vAlign w:val="center"/>
          </w:tcPr>
          <w:p>
            <w:pPr>
              <w:pStyle w:val="23"/>
              <w:bidi w:val="0"/>
              <w:rPr>
                <w:color w:val="auto"/>
                <w:lang w:val="en-US" w:eastAsia="zh-CN"/>
              </w:rPr>
            </w:pPr>
            <w:r>
              <w:rPr>
                <w:rFonts w:hint="eastAsia"/>
                <w:color w:val="auto"/>
                <w:lang w:val="en-US" w:eastAsia="zh-CN"/>
              </w:rPr>
              <w:t>0.444</w:t>
            </w:r>
          </w:p>
        </w:tc>
        <w:tc>
          <w:tcPr>
            <w:tcW w:w="128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0.251</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0.444</w:t>
            </w:r>
          </w:p>
        </w:tc>
        <w:tc>
          <w:tcPr>
            <w:tcW w:w="1217"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+0.193</w:t>
            </w:r>
          </w:p>
        </w:tc>
      </w:tr>
      <w:tr>
        <w:trPr>
          <w:trHeight w:val="23"/>
        </w:trPr>
        <w:tc>
          <w:tcPr>
            <w:tcW w:w="1588" w:type="dxa"/>
            <w:vMerge/>
            <w:vAlign w:val="center"/>
          </w:tcP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SS</w:t>
            </w:r>
          </w:p>
        </w:tc>
        <w:tc>
          <w:tcPr>
            <w:tcW w:w="1569"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0.431</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rFonts w:hint="eastAsia"/>
                <w:color w:val="auto"/>
              </w:rPr>
            </w:pPr>
            <w:r>
              <w:rPr>
                <w:color w:val="auto"/>
              </w:rPr>
              <w:t>--</w:t>
            </w:r>
          </w:p>
        </w:tc>
        <w:tc>
          <w:tcPr>
            <w:tcW w:w="1559"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0.392</w:t>
            </w:r>
          </w:p>
        </w:tc>
        <w:tc>
          <w:tcPr>
            <w:tcW w:w="128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0.431</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0.392</w:t>
            </w:r>
          </w:p>
        </w:tc>
        <w:tc>
          <w:tcPr>
            <w:tcW w:w="1217"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-0.039</w:t>
            </w:r>
          </w:p>
        </w:tc>
      </w:tr>
      <w:tr>
        <w:trPr>
          <w:trHeight w:val="23"/>
        </w:trPr>
        <w:tc>
          <w:tcPr>
            <w:tcW w:w="1588" w:type="dxa"/>
            <w:vMerge/>
            <w:vAlign w:val="center"/>
          </w:tcP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NH</w:t>
            </w:r>
            <w:r>
              <w:rPr>
                <w:color w:val="auto"/>
                <w:vertAlign w:val="subscript"/>
              </w:rPr>
              <w:t>3</w:t>
            </w:r>
            <w:r>
              <w:rPr>
                <w:color w:val="auto"/>
              </w:rPr>
              <w:t>-N</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0.033</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rFonts w:hint="eastAsia"/>
                <w:color w:val="auto"/>
              </w:rPr>
            </w:pPr>
            <w:r>
              <w:rPr>
                <w:color w:val="auto"/>
              </w:rPr>
              <w:t>--</w:t>
            </w:r>
          </w:p>
        </w:tc>
        <w:tc>
          <w:tcPr>
            <w:tcW w:w="1559"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0.024</w:t>
            </w:r>
          </w:p>
        </w:tc>
        <w:tc>
          <w:tcPr>
            <w:tcW w:w="1289" w:type="dxa"/>
            <w:tcBorders>
              <w:left w:val="single" w:sz="4" w:space="0" w:color="auto"/>
            </w:tcBorders>
            <w:shd w:val="clear" w:color="auto" w:fill="auto"/>
            <w:vAlign w:val="center"/>
          </w:tcPr>
          <w:p>
            <w:pPr>
              <w:pStyle w:val="23"/>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0.033</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0.024</w:t>
            </w:r>
          </w:p>
        </w:tc>
        <w:tc>
          <w:tcPr>
            <w:tcW w:w="1217"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-0.009</w:t>
            </w:r>
          </w:p>
        </w:tc>
      </w:tr>
      <w:tr>
        <w:trPr>
          <w:trHeight w:val="23"/>
        </w:trPr>
        <w:tc>
          <w:tcPr>
            <w:tcW w:w="1588" w:type="dxa"/>
            <w:vMerge/>
            <w:vAlign w:val="center"/>
          </w:tcP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TN</w:t>
            </w:r>
          </w:p>
        </w:tc>
        <w:tc>
          <w:tcPr>
            <w:tcW w:w="1569"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0.037</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rFonts w:hint="eastAsia"/>
                <w:color w:val="auto"/>
              </w:rPr>
            </w:pPr>
            <w:r>
              <w:rPr>
                <w:color w:val="auto"/>
              </w:rPr>
              <w:t>--</w:t>
            </w:r>
          </w:p>
        </w:tc>
        <w:tc>
          <w:tcPr>
            <w:tcW w:w="1559"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0.038</w:t>
            </w:r>
          </w:p>
        </w:tc>
        <w:tc>
          <w:tcPr>
            <w:tcW w:w="1289"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0.037</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0.038</w:t>
            </w:r>
          </w:p>
        </w:tc>
        <w:tc>
          <w:tcPr>
            <w:tcW w:w="1217"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+0.001</w:t>
            </w:r>
          </w:p>
        </w:tc>
      </w:tr>
      <w:tr>
        <w:trPr>
          <w:trHeight w:val="23"/>
        </w:trPr>
        <w:tc>
          <w:tcPr>
            <w:tcW w:w="1588" w:type="dxa"/>
            <w:vMerge/>
            <w:vAlign w:val="center"/>
          </w:tcP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TP</w:t>
            </w:r>
          </w:p>
        </w:tc>
        <w:tc>
          <w:tcPr>
            <w:tcW w:w="1569"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0.001</w:t>
            </w:r>
          </w:p>
        </w:tc>
        <w:tc>
          <w:tcPr>
            <w:tcW w:w="1130" w:type="dxa"/>
            <w:tcBorders>
              <w:left w:val="single" w:sz="4" w:space="0" w:color="auto"/>
            </w:tcBorders>
            <w:vAlign w:val="center"/>
          </w:tcPr>
          <w:p>
            <w:pPr>
              <w:pStyle w:val="23"/>
              <w:bidi w:val="0"/>
              <w:rPr>
                <w:rFonts w:eastAsia="宋体"/>
                <w:color w:val="auto"/>
                <w:lang w:val="en-US" w:eastAsia="zh-CN"/>
              </w:rPr>
            </w:pPr>
            <w:r>
              <w:rPr>
                <w:rFonts w:hint="eastAsia"/>
                <w:color w:val="auto"/>
                <w:lang w:val="en-US" w:eastAsia="zh-CN"/>
              </w:rPr>
              <w:t>--</w:t>
            </w:r>
          </w:p>
        </w:tc>
        <w:tc>
          <w:tcPr>
            <w:tcW w:w="1847" w:type="dxa"/>
            <w:tcBorders>
              <w:left w:val="single" w:sz="4" w:space="0" w:color="auto"/>
            </w:tcBorders>
            <w:vAlign w:val="center"/>
          </w:tcPr>
          <w:p>
            <w:pPr>
              <w:pStyle w:val="23"/>
              <w:bidi w:val="0"/>
              <w:ind w:firstLine="0"/>
              <w:rPr>
                <w:rFonts w:eastAsia="宋体" w:hint="eastAsia"/>
                <w:color w:val="auto"/>
                <w:lang w:val="en-US" w:eastAsia="zh-CN"/>
              </w:rPr>
            </w:pPr>
            <w:r>
              <w:rPr>
                <w:color w:val="auto"/>
              </w:rPr>
              <w:t>--</w:t>
            </w:r>
          </w:p>
        </w:tc>
        <w:tc>
          <w:tcPr>
            <w:tcW w:w="1559"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0.003</w:t>
            </w:r>
          </w:p>
        </w:tc>
        <w:tc>
          <w:tcPr>
            <w:tcW w:w="1289"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0.001</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0.003</w:t>
            </w:r>
          </w:p>
        </w:tc>
        <w:tc>
          <w:tcPr>
            <w:tcW w:w="1217"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+0.002</w:t>
            </w:r>
          </w:p>
        </w:tc>
      </w:tr>
      <w:tr>
        <w:trPr>
          <w:trHeight w:val="23"/>
        </w:trPr>
        <w:tc>
          <w:tcPr>
            <w:tcW w:w="1588" w:type="dxa"/>
            <w:vMerge/>
            <w:vAlign w:val="center"/>
          </w:tcPr>
          <w:p/>
        </w:tc>
        <w:tc>
          <w:tcPr>
            <w:tcW w:w="154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动植物油</w:t>
            </w:r>
          </w:p>
        </w:tc>
        <w:tc>
          <w:tcPr>
            <w:tcW w:w="1569" w:type="dxa"/>
            <w:tcBorders>
              <w:left w:val="single" w:sz="4" w:space="0" w:color="auto"/>
            </w:tcBorders>
            <w:shd w:val="clear" w:color="auto" w:fill="auto"/>
            <w:vAlign w:val="center"/>
          </w:tcPr>
          <w:p>
            <w:pPr>
              <w:pStyle w:val="25"/>
              <w:tabs>
                <w:tab w:val="left" w:pos="1680"/>
                <w:tab w:val="left" w:pos="3465"/>
              </w:tabs>
              <w:bidi w:val="0"/>
              <w:rPr>
                <w:rFonts w:hint="eastAsia"/>
                <w:color w:val="auto"/>
                <w:lang w:val="en-US" w:eastAsia="zh-CN"/>
              </w:rPr>
            </w:pPr>
            <w:r>
              <w:rPr>
                <w:rFonts w:hint="eastAsia"/>
                <w:color w:val="auto"/>
                <w:lang w:val="en-US" w:eastAsia="zh-CN"/>
              </w:rPr>
              <w:t>0.059</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rFonts w:hint="eastAsia"/>
                <w:color w:val="auto"/>
              </w:rPr>
            </w:pPr>
            <w:r>
              <w:rPr>
                <w:color w:val="auto"/>
              </w:rPr>
              <w:t>--</w:t>
            </w:r>
          </w:p>
        </w:tc>
        <w:tc>
          <w:tcPr>
            <w:tcW w:w="1559"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0.128</w:t>
            </w:r>
          </w:p>
        </w:tc>
        <w:tc>
          <w:tcPr>
            <w:tcW w:w="1289" w:type="dxa"/>
            <w:tcBorders>
              <w:left w:val="single" w:sz="4" w:space="0" w:color="auto"/>
            </w:tcBorders>
            <w:shd w:val="clear" w:color="auto" w:fill="auto"/>
            <w:vAlign w:val="center"/>
          </w:tcPr>
          <w:p>
            <w:pPr>
              <w:pStyle w:val="25"/>
              <w:tabs>
                <w:tab w:val="left" w:pos="1680"/>
                <w:tab w:val="left" w:pos="3465"/>
              </w:tabs>
              <w:bidi w:val="0"/>
              <w:ind w:firstLine="0"/>
              <w:rPr>
                <w:rFonts w:ascii="Times New Roman" w:eastAsia="宋体" w:cs="宋体" w:hAnsi="Times New Roman" w:hint="eastAsia"/>
                <w:snapToGrid w:val="0"/>
                <w:color w:val="auto"/>
                <w:spacing w:val="4"/>
                <w:kern w:val="2"/>
                <w:sz w:val="21"/>
                <w:szCs w:val="18"/>
                <w:shd w:val="clear" w:color="auto" w:fill="FFFFFF"/>
                <w:lang w:val="en-US" w:eastAsia="zh-CN" w:bidi="ar-SA"/>
              </w:rPr>
            </w:pPr>
            <w:r>
              <w:rPr>
                <w:rFonts w:hint="eastAsia"/>
                <w:color w:val="auto"/>
                <w:lang w:val="en-US" w:eastAsia="zh-CN"/>
              </w:rPr>
              <w:t>0.059</w:t>
            </w:r>
          </w:p>
        </w:tc>
        <w:tc>
          <w:tcPr>
            <w:tcW w:w="204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0.128</w:t>
            </w:r>
          </w:p>
        </w:tc>
        <w:tc>
          <w:tcPr>
            <w:tcW w:w="1217" w:type="dxa"/>
            <w:tcBorders>
              <w:left w:val="single" w:sz="4" w:space="0" w:color="auto"/>
            </w:tcBorders>
            <w:shd w:val="clear" w:color="auto" w:fill="auto"/>
            <w:vAlign w:val="center"/>
          </w:tcPr>
          <w:p>
            <w:pPr>
              <w:pStyle w:val="23"/>
              <w:bidi w:val="0"/>
              <w:rPr>
                <w:rFonts w:hint="eastAsia"/>
                <w:color w:val="auto"/>
                <w:lang w:val="en-US" w:eastAsia="zh-CN"/>
              </w:rPr>
            </w:pPr>
            <w:r>
              <w:rPr>
                <w:rFonts w:hint="eastAsia"/>
                <w:color w:val="auto"/>
                <w:lang w:val="en-US" w:eastAsia="zh-CN"/>
              </w:rPr>
              <w:t>+0.069</w:t>
            </w:r>
          </w:p>
        </w:tc>
      </w:tr>
      <w:tr>
        <w:trPr>
          <w:trHeight w:val="23"/>
        </w:trPr>
        <w:tc>
          <w:tcPr>
            <w:tcW w:w="1588" w:type="dxa"/>
            <w:vMerge w:val="restart"/>
            <w:vAlign w:val="center"/>
          </w:tcPr>
          <w:p>
            <w:pPr>
              <w:pStyle w:val="23"/>
              <w:bidi w:val="0"/>
              <w:spacing w:line="240" w:lineRule="auto"/>
              <w:rPr>
                <w:color w:val="auto"/>
              </w:rPr>
            </w:pPr>
            <w:r>
              <w:rPr>
                <w:color w:val="auto"/>
              </w:rPr>
              <w:t>一般工业固体废物</w:t>
            </w:r>
          </w:p>
        </w:tc>
        <w:tc>
          <w:tcPr>
            <w:tcW w:w="1549"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杂质</w:t>
            </w:r>
          </w:p>
        </w:tc>
        <w:tc>
          <w:tcPr>
            <w:tcW w:w="156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0.5</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w:t>
            </w:r>
          </w:p>
        </w:tc>
        <w:tc>
          <w:tcPr>
            <w:tcW w:w="1289" w:type="dxa"/>
            <w:tcBorders>
              <w:left w:val="single" w:sz="4" w:space="0" w:color="auto"/>
            </w:tcBorders>
            <w:vAlign w:val="center"/>
          </w:tcPr>
          <w:p>
            <w:pPr>
              <w:pStyle w:val="23"/>
              <w:bidi w:val="0"/>
              <w:spacing w:line="240" w:lineRule="auto"/>
              <w:rPr>
                <w:color w:val="auto"/>
              </w:rPr>
            </w:pPr>
            <w:r>
              <w:rPr>
                <w:color w:val="auto"/>
              </w:rPr>
              <w:t>--</w:t>
            </w:r>
          </w:p>
        </w:tc>
        <w:tc>
          <w:tcPr>
            <w:tcW w:w="2040"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0.5</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废包装</w:t>
            </w:r>
          </w:p>
        </w:tc>
        <w:tc>
          <w:tcPr>
            <w:tcW w:w="156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2</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w:t>
            </w:r>
          </w:p>
        </w:tc>
        <w:tc>
          <w:tcPr>
            <w:tcW w:w="1289" w:type="dxa"/>
            <w:tcBorders>
              <w:left w:val="single" w:sz="4" w:space="0" w:color="auto"/>
            </w:tcBorders>
            <w:vAlign w:val="center"/>
          </w:tcPr>
          <w:p>
            <w:pPr>
              <w:pStyle w:val="23"/>
              <w:bidi w:val="0"/>
              <w:spacing w:line="240" w:lineRule="auto"/>
              <w:rPr>
                <w:color w:val="auto"/>
              </w:rPr>
            </w:pPr>
            <w:r>
              <w:rPr>
                <w:rFonts w:hint="eastAsia"/>
                <w:color w:val="auto"/>
              </w:rPr>
              <w:t>--</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3</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废布袋</w:t>
            </w:r>
          </w:p>
        </w:tc>
        <w:tc>
          <w:tcPr>
            <w:tcW w:w="1569" w:type="dxa"/>
            <w:tcBorders>
              <w:left w:val="single" w:sz="4" w:space="0" w:color="auto"/>
            </w:tcBorders>
            <w:vAlign w:val="center"/>
          </w:tcPr>
          <w:p>
            <w:pPr>
              <w:pStyle w:val="23"/>
              <w:bidi w:val="0"/>
              <w:spacing w:line="240" w:lineRule="auto"/>
              <w:ind w:firstLine="0"/>
              <w:rPr>
                <w:color w:val="auto"/>
                <w:lang w:val="en-US" w:eastAsia="zh-CN"/>
              </w:rPr>
            </w:pPr>
            <w:r>
              <w:rPr>
                <w:rFonts w:hint="eastAsia"/>
                <w:color w:val="auto"/>
                <w:lang w:val="en-US" w:eastAsia="zh-CN"/>
              </w:rPr>
              <w:t>0.04</w:t>
            </w:r>
          </w:p>
        </w:tc>
        <w:tc>
          <w:tcPr>
            <w:tcW w:w="113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w:t>
            </w:r>
          </w:p>
        </w:tc>
        <w:tc>
          <w:tcPr>
            <w:tcW w:w="1847"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0.08</w:t>
            </w:r>
          </w:p>
        </w:tc>
        <w:tc>
          <w:tcPr>
            <w:tcW w:w="1289" w:type="dxa"/>
            <w:tcBorders>
              <w:left w:val="single" w:sz="4" w:space="0" w:color="auto"/>
            </w:tcBorders>
            <w:vAlign w:val="center"/>
          </w:tcPr>
          <w:p>
            <w:pPr>
              <w:pStyle w:val="23"/>
              <w:bidi w:val="0"/>
              <w:spacing w:line="240" w:lineRule="auto"/>
              <w:rPr>
                <w:rFonts w:hint="eastAsia"/>
                <w:color w:val="auto"/>
              </w:rPr>
            </w:pPr>
            <w:r>
              <w:rPr>
                <w:rFonts w:hint="eastAsia"/>
                <w:color w:val="auto"/>
                <w:lang w:val="en-US" w:eastAsia="zh-CN"/>
              </w:rPr>
              <w:t>0.04</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0.08</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+0.08</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除尘灰</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0.184</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0.482</w:t>
            </w:r>
          </w:p>
        </w:tc>
        <w:tc>
          <w:tcPr>
            <w:tcW w:w="1289" w:type="dxa"/>
            <w:tcBorders>
              <w:left w:val="single" w:sz="4" w:space="0" w:color="auto"/>
            </w:tcBorders>
            <w:vAlign w:val="center"/>
          </w:tcPr>
          <w:p>
            <w:pPr>
              <w:pStyle w:val="23"/>
              <w:bidi w:val="0"/>
              <w:spacing w:line="240" w:lineRule="auto"/>
              <w:rPr>
                <w:color w:val="auto"/>
              </w:rPr>
            </w:pPr>
            <w:r>
              <w:rPr>
                <w:rFonts w:hint="eastAsia"/>
                <w:color w:val="auto"/>
                <w:lang w:val="en-US" w:eastAsia="zh-CN"/>
              </w:rPr>
              <w:t>0.184</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0.482</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w:t>
            </w:r>
            <w:r>
              <w:rPr>
                <w:rFonts w:ascii="Times New Roman" w:eastAsia="宋体" w:cs="Times New Roman" w:hAnsi="Times New Roman" w:hint="eastAsia"/>
                <w:color w:val="auto"/>
                <w:kern w:val="0"/>
                <w:sz w:val="21"/>
                <w:szCs w:val="24"/>
                <w:lang w:val="en-US" w:eastAsia="zh-CN" w:bidi="ar-SA"/>
              </w:rPr>
              <w:t>0.298</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污泥</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4.49</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7.215</w:t>
            </w:r>
          </w:p>
        </w:tc>
        <w:tc>
          <w:tcPr>
            <w:tcW w:w="1289" w:type="dxa"/>
            <w:tcBorders>
              <w:left w:val="single" w:sz="4" w:space="0" w:color="auto"/>
            </w:tcBorders>
            <w:vAlign w:val="center"/>
          </w:tcPr>
          <w:p>
            <w:pPr>
              <w:pStyle w:val="23"/>
              <w:bidi w:val="0"/>
              <w:spacing w:line="240" w:lineRule="auto"/>
              <w:rPr>
                <w:color w:val="auto"/>
              </w:rPr>
            </w:pPr>
            <w:r>
              <w:rPr>
                <w:rFonts w:hint="eastAsia"/>
                <w:color w:val="auto"/>
                <w:lang w:val="en-US" w:eastAsia="zh-CN"/>
              </w:rPr>
              <w:t>4.49</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7.215</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+2.725</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废反渗透膜</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0.5</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0.1</w:t>
            </w:r>
          </w:p>
        </w:tc>
        <w:tc>
          <w:tcPr>
            <w:tcW w:w="1289" w:type="dxa"/>
            <w:tcBorders>
              <w:left w:val="single" w:sz="4" w:space="0" w:color="auto"/>
            </w:tcBorders>
            <w:vAlign w:val="center"/>
          </w:tcPr>
          <w:p>
            <w:pPr>
              <w:pStyle w:val="23"/>
              <w:bidi w:val="0"/>
              <w:spacing w:line="240" w:lineRule="auto"/>
              <w:rPr>
                <w:color w:val="auto"/>
              </w:rPr>
            </w:pPr>
            <w:r>
              <w:rPr>
                <w:rFonts w:hint="eastAsia"/>
                <w:color w:val="auto"/>
              </w:rPr>
              <w:t>--</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0.6</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+0.1</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浮油</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0.379</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0.683</w:t>
            </w:r>
          </w:p>
        </w:tc>
        <w:tc>
          <w:tcPr>
            <w:tcW w:w="1289" w:type="dxa"/>
            <w:tcBorders>
              <w:left w:val="single" w:sz="4" w:space="0" w:color="auto"/>
            </w:tcBorders>
            <w:vAlign w:val="center"/>
          </w:tcPr>
          <w:p>
            <w:pPr>
              <w:pStyle w:val="23"/>
              <w:bidi w:val="0"/>
              <w:spacing w:line="240" w:lineRule="auto"/>
              <w:rPr>
                <w:color w:val="auto"/>
              </w:rPr>
            </w:pPr>
            <w:r>
              <w:rPr>
                <w:rFonts w:hint="eastAsia"/>
                <w:color w:val="auto"/>
                <w:lang w:val="en-US" w:eastAsia="zh-CN"/>
              </w:rPr>
              <w:t>0.379</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0.683</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+0.304</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果蔬渣</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w:t>
            </w:r>
          </w:p>
        </w:tc>
        <w:tc>
          <w:tcPr>
            <w:tcW w:w="113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w:t>
            </w:r>
          </w:p>
        </w:tc>
        <w:tc>
          <w:tcPr>
            <w:tcW w:w="1847"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color w:val="auto"/>
              </w:rPr>
              <w:t>--</w:t>
            </w:r>
          </w:p>
        </w:tc>
        <w:tc>
          <w:tcPr>
            <w:tcW w:w="1559" w:type="dxa"/>
            <w:tcBorders>
              <w:left w:val="single" w:sz="4" w:space="0" w:color="auto"/>
            </w:tcBorders>
            <w:vAlign w:val="center"/>
          </w:tcPr>
          <w:p>
            <w:pPr>
              <w:pStyle w:val="23"/>
              <w:bidi w:val="0"/>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100</w:t>
            </w:r>
          </w:p>
        </w:tc>
        <w:tc>
          <w:tcPr>
            <w:tcW w:w="1289" w:type="dxa"/>
            <w:tcBorders>
              <w:left w:val="single" w:sz="4" w:space="0" w:color="auto"/>
            </w:tcBorders>
            <w:vAlign w:val="center"/>
          </w:tcPr>
          <w:p>
            <w:pPr>
              <w:pStyle w:val="23"/>
              <w:bidi w:val="0"/>
              <w:spacing w:line="240" w:lineRule="auto"/>
              <w:rPr>
                <w:color w:val="auto"/>
              </w:rPr>
            </w:pPr>
            <w:r>
              <w:rPr>
                <w:color w:val="auto"/>
              </w:rPr>
              <w:t>--</w:t>
            </w:r>
          </w:p>
        </w:tc>
        <w:tc>
          <w:tcPr>
            <w:tcW w:w="2040" w:type="dxa"/>
            <w:tcBorders>
              <w:left w:val="single" w:sz="4" w:space="0" w:color="auto"/>
            </w:tcBorders>
            <w:vAlign w:val="center"/>
          </w:tcPr>
          <w:p>
            <w:pPr>
              <w:pStyle w:val="23"/>
              <w:bidi w:val="0"/>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100</w:t>
            </w:r>
          </w:p>
        </w:tc>
        <w:tc>
          <w:tcPr>
            <w:tcW w:w="1217" w:type="dxa"/>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+100</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废研发样品</w:t>
            </w:r>
          </w:p>
        </w:tc>
        <w:tc>
          <w:tcPr>
            <w:tcW w:w="1569" w:type="dxa"/>
            <w:tcBorders>
              <w:left w:val="single" w:sz="4" w:space="0" w:color="auto"/>
            </w:tcBorders>
            <w:vAlign w:val="center"/>
          </w:tcPr>
          <w:p>
            <w:pPr>
              <w:pStyle w:val="23"/>
              <w:bidi w:val="0"/>
              <w:spacing w:line="240" w:lineRule="auto"/>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0</w:t>
            </w:r>
          </w:p>
        </w:tc>
        <w:tc>
          <w:tcPr>
            <w:tcW w:w="1130"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w:t>
            </w:r>
          </w:p>
        </w:tc>
        <w:tc>
          <w:tcPr>
            <w:tcW w:w="1847"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rPr>
              <w:t>--</w:t>
            </w:r>
          </w:p>
        </w:tc>
        <w:tc>
          <w:tcPr>
            <w:tcW w:w="1559" w:type="dxa"/>
            <w:tcBorders>
              <w:left w:val="single" w:sz="4" w:space="0" w:color="auto"/>
            </w:tcBorders>
            <w:vAlign w:val="center"/>
          </w:tcPr>
          <w:p>
            <w:pPr>
              <w:pStyle w:val="23"/>
              <w:bidi w:val="0"/>
              <w:ind w:firstLine="0"/>
              <w:rPr>
                <w:rFonts w:cs="Times New Roman" w:hint="eastAsia"/>
                <w:color w:val="auto"/>
                <w:kern w:val="0"/>
                <w:sz w:val="21"/>
                <w:szCs w:val="24"/>
                <w:lang w:val="en-US" w:eastAsia="zh-CN" w:bidi="ar-SA"/>
              </w:rPr>
            </w:pPr>
            <w:r>
              <w:rPr>
                <w:rFonts w:cs="Times New Roman" w:hint="eastAsia"/>
                <w:color w:val="auto"/>
                <w:kern w:val="0"/>
                <w:sz w:val="21"/>
                <w:szCs w:val="24"/>
                <w:lang w:val="en-US" w:eastAsia="zh-CN" w:bidi="ar-SA"/>
              </w:rPr>
              <w:t>0.01</w:t>
            </w:r>
          </w:p>
        </w:tc>
        <w:tc>
          <w:tcPr>
            <w:tcW w:w="1289" w:type="dxa"/>
            <w:tcBorders>
              <w:left w:val="single" w:sz="4" w:space="0" w:color="auto"/>
            </w:tcBorders>
            <w:vAlign w:val="center"/>
          </w:tcPr>
          <w:p>
            <w:pPr>
              <w:pStyle w:val="23"/>
              <w:bidi w:val="0"/>
              <w:spacing w:line="240" w:lineRule="auto"/>
              <w:rPr>
                <w:color w:val="auto"/>
              </w:rPr>
            </w:pPr>
            <w:r>
              <w:rPr>
                <w:color w:val="auto"/>
              </w:rPr>
              <w:t>--</w:t>
            </w:r>
          </w:p>
        </w:tc>
        <w:tc>
          <w:tcPr>
            <w:tcW w:w="2040" w:type="dxa"/>
            <w:tcBorders>
              <w:left w:val="single" w:sz="4" w:space="0" w:color="auto"/>
            </w:tcBorders>
            <w:vAlign w:val="center"/>
          </w:tcPr>
          <w:p>
            <w:pPr>
              <w:pStyle w:val="23"/>
              <w:bidi w:val="0"/>
              <w:ind w:firstLine="0"/>
              <w:rPr>
                <w:rFonts w:cs="Times New Roman" w:hint="eastAsia"/>
                <w:color w:val="auto"/>
                <w:kern w:val="0"/>
                <w:sz w:val="21"/>
                <w:szCs w:val="24"/>
                <w:lang w:val="en-US" w:eastAsia="zh-CN" w:bidi="ar-SA"/>
              </w:rPr>
            </w:pPr>
            <w:r>
              <w:rPr>
                <w:rFonts w:cs="Times New Roman" w:hint="eastAsia"/>
                <w:color w:val="auto"/>
                <w:kern w:val="0"/>
                <w:sz w:val="21"/>
                <w:szCs w:val="24"/>
                <w:lang w:val="en-US" w:eastAsia="zh-CN" w:bidi="ar-SA"/>
              </w:rPr>
              <w:t>0.01</w:t>
            </w:r>
          </w:p>
        </w:tc>
        <w:tc>
          <w:tcPr>
            <w:tcW w:w="1217" w:type="dxa"/>
            <w:tcBorders>
              <w:left w:val="single" w:sz="4" w:space="0" w:color="auto"/>
            </w:tcBorders>
            <w:vAlign w:val="center"/>
          </w:tcPr>
          <w:p>
            <w:pPr>
              <w:pStyle w:val="23"/>
              <w:bidi w:val="0"/>
              <w:ind w:firstLine="0"/>
              <w:rPr>
                <w:color w:val="auto"/>
                <w:lang w:val="en-US" w:eastAsia="zh-CN"/>
              </w:rPr>
            </w:pPr>
            <w:r>
              <w:rPr>
                <w:rFonts w:hint="eastAsia"/>
                <w:color w:val="auto"/>
                <w:lang w:val="en-US" w:eastAsia="zh-CN"/>
              </w:rPr>
              <w:t>+0.01</w:t>
            </w:r>
          </w:p>
        </w:tc>
      </w:tr>
      <w:tr>
        <w:trPr>
          <w:trHeight w:val="23"/>
        </w:trPr>
        <w:tc>
          <w:tcPr>
            <w:tcW w:w="1588" w:type="dxa"/>
            <w:vMerge w:val="restart"/>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color w:val="auto"/>
              </w:rPr>
              <w:t>危险废物</w:t>
            </w:r>
          </w:p>
        </w:tc>
        <w:tc>
          <w:tcPr>
            <w:tcW w:w="154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废活性炭</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rFonts w:hint="eastAsia"/>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4.575</w:t>
            </w:r>
          </w:p>
        </w:tc>
        <w:tc>
          <w:tcPr>
            <w:tcW w:w="128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3</w:t>
            </w:r>
          </w:p>
        </w:tc>
        <w:tc>
          <w:tcPr>
            <w:tcW w:w="2040"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4.575</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+1.575</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废过滤棉</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0.01</w:t>
            </w:r>
          </w:p>
        </w:tc>
        <w:tc>
          <w:tcPr>
            <w:tcW w:w="128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rPr>
              <w:t>--</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0.01</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rPr>
              <w:t>废油墨瓶</w:t>
            </w:r>
          </w:p>
        </w:tc>
        <w:tc>
          <w:tcPr>
            <w:tcW w:w="156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color w:val="auto"/>
                <w:lang w:val="en-US" w:eastAsia="zh-CN"/>
              </w:rPr>
              <w:t>0.00</w:t>
            </w:r>
            <w:r>
              <w:rPr>
                <w:rFonts w:hint="eastAsia"/>
                <w:color w:val="auto"/>
                <w:lang w:val="en-US" w:eastAsia="zh-CN"/>
              </w:rPr>
              <w:t>5</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w:t>
            </w:r>
          </w:p>
        </w:tc>
        <w:tc>
          <w:tcPr>
            <w:tcW w:w="128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color w:val="auto"/>
              </w:rPr>
              <w:t>--</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0.00</w:t>
            </w:r>
            <w:r>
              <w:rPr>
                <w:rFonts w:ascii="Times New Roman" w:eastAsia="宋体" w:cs="Times New Roman" w:hAnsi="Times New Roman" w:hint="eastAsia"/>
                <w:color w:val="auto"/>
                <w:kern w:val="0"/>
                <w:sz w:val="21"/>
                <w:szCs w:val="24"/>
                <w:lang w:val="en-US" w:eastAsia="zh-CN" w:bidi="ar-SA"/>
              </w:rPr>
              <w:t>5</w:t>
            </w:r>
          </w:p>
        </w:tc>
        <w:tc>
          <w:tcPr>
            <w:tcW w:w="1217"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废润滑油</w:t>
            </w:r>
          </w:p>
        </w:tc>
        <w:tc>
          <w:tcPr>
            <w:tcW w:w="156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0.01</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0.01</w:t>
            </w:r>
          </w:p>
        </w:tc>
        <w:tc>
          <w:tcPr>
            <w:tcW w:w="1289" w:type="dxa"/>
            <w:tcBorders>
              <w:left w:val="single" w:sz="4" w:space="0" w:color="auto"/>
            </w:tcBorders>
            <w:vAlign w:val="center"/>
          </w:tcPr>
          <w:p>
            <w:pPr>
              <w:pStyle w:val="23"/>
              <w:bidi w:val="0"/>
              <w:spacing w:line="240" w:lineRule="auto"/>
              <w:rPr>
                <w:color w:val="auto"/>
              </w:rPr>
            </w:pPr>
            <w:r>
              <w:rPr>
                <w:rFonts w:hint="eastAsia"/>
                <w:color w:val="auto"/>
              </w:rPr>
              <w:t>--</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0.02</w:t>
            </w:r>
          </w:p>
        </w:tc>
        <w:tc>
          <w:tcPr>
            <w:tcW w:w="1217"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w:t>
            </w:r>
            <w:r>
              <w:rPr>
                <w:rFonts w:ascii="Times New Roman" w:eastAsia="宋体" w:cs="Times New Roman" w:hAnsi="Times New Roman" w:hint="eastAsia"/>
                <w:color w:val="auto"/>
                <w:kern w:val="0"/>
                <w:sz w:val="21"/>
                <w:szCs w:val="24"/>
                <w:lang w:val="en-US" w:eastAsia="zh-CN" w:bidi="ar-SA"/>
              </w:rPr>
              <w:t>0.01</w:t>
            </w:r>
          </w:p>
        </w:tc>
      </w:tr>
      <w:tr>
        <w:trPr>
          <w:trHeight w:val="23"/>
        </w:trPr>
        <w:tc>
          <w:tcPr>
            <w:tcW w:w="1588" w:type="dxa"/>
            <w:vMerge/>
            <w:vAlign w:val="center"/>
          </w:tcPr>
          <w:p/>
        </w:tc>
        <w:tc>
          <w:tcPr>
            <w:tcW w:w="1549"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废润滑油桶</w:t>
            </w:r>
          </w:p>
        </w:tc>
        <w:tc>
          <w:tcPr>
            <w:tcW w:w="1569"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0.001</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0.001</w:t>
            </w:r>
          </w:p>
        </w:tc>
        <w:tc>
          <w:tcPr>
            <w:tcW w:w="1289" w:type="dxa"/>
            <w:tcBorders>
              <w:left w:val="single" w:sz="4" w:space="0" w:color="auto"/>
            </w:tcBorders>
            <w:vAlign w:val="center"/>
          </w:tcPr>
          <w:p>
            <w:pPr>
              <w:pStyle w:val="23"/>
              <w:bidi w:val="0"/>
              <w:spacing w:line="240" w:lineRule="auto"/>
              <w:rPr>
                <w:color w:val="auto"/>
              </w:rPr>
            </w:pPr>
            <w:r>
              <w:rPr>
                <w:rFonts w:hint="eastAsia"/>
                <w:color w:val="auto"/>
              </w:rPr>
              <w:t>--</w:t>
            </w:r>
          </w:p>
        </w:tc>
        <w:tc>
          <w:tcPr>
            <w:tcW w:w="2040" w:type="dxa"/>
            <w:tcBorders>
              <w:left w:val="single" w:sz="4" w:space="0" w:color="auto"/>
            </w:tcBorders>
            <w:vAlign w:val="center"/>
          </w:tcPr>
          <w:p>
            <w:pPr>
              <w:pStyle w:val="23"/>
              <w:bidi w:val="0"/>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0.002</w:t>
            </w:r>
          </w:p>
        </w:tc>
        <w:tc>
          <w:tcPr>
            <w:tcW w:w="1217" w:type="dxa"/>
            <w:tcBorders>
              <w:left w:val="single" w:sz="4" w:space="0" w:color="auto"/>
            </w:tcBorders>
            <w:shd w:val="clear" w:color="auto" w:fill="auto"/>
            <w:vAlign w:val="center"/>
          </w:tcPr>
          <w:p>
            <w:pPr>
              <w:pStyle w:val="23"/>
              <w:bidi w:val="0"/>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w:t>
            </w:r>
            <w:r>
              <w:rPr>
                <w:rFonts w:ascii="Times New Roman" w:eastAsia="宋体" w:cs="Times New Roman" w:hAnsi="Times New Roman" w:hint="eastAsia"/>
                <w:color w:val="auto"/>
                <w:kern w:val="0"/>
                <w:sz w:val="21"/>
                <w:szCs w:val="24"/>
                <w:lang w:val="en-US" w:eastAsia="zh-CN" w:bidi="ar-SA"/>
              </w:rPr>
              <w:t>0.001</w:t>
            </w:r>
          </w:p>
        </w:tc>
      </w:tr>
      <w:tr>
        <w:trPr>
          <w:trHeight w:val="23"/>
        </w:trPr>
        <w:tc>
          <w:tcPr>
            <w:tcW w:w="1588" w:type="dxa"/>
            <w:vAlign w:val="center"/>
          </w:tcPr>
          <w:p>
            <w:pPr>
              <w:pStyle w:val="23"/>
              <w:bidi w:val="0"/>
              <w:spacing w:line="240" w:lineRule="auto"/>
              <w:rPr>
                <w:color w:val="auto"/>
              </w:rPr>
            </w:pPr>
            <w:r>
              <w:rPr>
                <w:rFonts w:hint="eastAsia"/>
                <w:color w:val="auto"/>
              </w:rPr>
              <w:t>生活垃圾</w:t>
            </w:r>
          </w:p>
        </w:tc>
        <w:tc>
          <w:tcPr>
            <w:tcW w:w="1549" w:type="dxa"/>
            <w:tcBorders>
              <w:left w:val="single" w:sz="4" w:space="0" w:color="auto"/>
            </w:tcBorders>
            <w:vAlign w:val="center"/>
          </w:tcPr>
          <w:p>
            <w:pPr>
              <w:pStyle w:val="23"/>
              <w:bidi w:val="0"/>
              <w:spacing w:line="240" w:lineRule="auto"/>
              <w:rPr>
                <w:color w:val="auto"/>
              </w:rPr>
            </w:pPr>
            <w:r>
              <w:rPr>
                <w:rFonts w:hint="eastAsia"/>
                <w:color w:val="auto"/>
              </w:rPr>
              <w:t>生活垃圾</w:t>
            </w:r>
          </w:p>
        </w:tc>
        <w:tc>
          <w:tcPr>
            <w:tcW w:w="1569"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rPr>
              <w:t>0</w:t>
            </w:r>
          </w:p>
        </w:tc>
        <w:tc>
          <w:tcPr>
            <w:tcW w:w="1130" w:type="dxa"/>
            <w:tcBorders>
              <w:left w:val="single" w:sz="4" w:space="0" w:color="auto"/>
            </w:tcBorders>
            <w:vAlign w:val="center"/>
          </w:tcPr>
          <w:p>
            <w:pPr>
              <w:pStyle w:val="23"/>
              <w:bidi w:val="0"/>
              <w:rPr>
                <w:color w:val="auto"/>
              </w:rPr>
            </w:pPr>
            <w:r>
              <w:rPr>
                <w:color w:val="auto"/>
              </w:rPr>
              <w:t>--</w:t>
            </w:r>
          </w:p>
        </w:tc>
        <w:tc>
          <w:tcPr>
            <w:tcW w:w="1847" w:type="dxa"/>
            <w:tcBorders>
              <w:left w:val="single" w:sz="4" w:space="0" w:color="auto"/>
            </w:tcBorders>
            <w:vAlign w:val="center"/>
          </w:tcPr>
          <w:p>
            <w:pPr>
              <w:pStyle w:val="23"/>
              <w:bidi w:val="0"/>
              <w:ind w:firstLine="0"/>
              <w:rPr>
                <w:color w:val="auto"/>
              </w:rPr>
            </w:pPr>
            <w:r>
              <w:rPr>
                <w:color w:val="auto"/>
              </w:rPr>
              <w:t>--</w:t>
            </w:r>
          </w:p>
        </w:tc>
        <w:tc>
          <w:tcPr>
            <w:tcW w:w="1559" w:type="dxa"/>
            <w:tcBorders>
              <w:left w:val="single" w:sz="4" w:space="0" w:color="auto"/>
            </w:tcBorders>
            <w:vAlign w:val="center"/>
          </w:tcPr>
          <w:p>
            <w:pPr>
              <w:pStyle w:val="23"/>
              <w:bidi w:val="0"/>
              <w:spacing w:line="240" w:lineRule="auto"/>
              <w:rPr>
                <w:color w:val="auto"/>
              </w:rPr>
            </w:pPr>
            <w:r>
              <w:rPr>
                <w:rFonts w:hint="eastAsia"/>
                <w:color w:val="auto"/>
                <w:lang w:val="en-US" w:eastAsia="zh-CN"/>
              </w:rPr>
              <w:t>0</w:t>
            </w:r>
          </w:p>
        </w:tc>
        <w:tc>
          <w:tcPr>
            <w:tcW w:w="1289" w:type="dxa"/>
            <w:tcBorders>
              <w:left w:val="single" w:sz="4" w:space="0" w:color="auto"/>
            </w:tcBorders>
            <w:vAlign w:val="center"/>
          </w:tcPr>
          <w:p>
            <w:pPr>
              <w:pStyle w:val="23"/>
              <w:bidi w:val="0"/>
              <w:spacing w:line="240" w:lineRule="auto"/>
              <w:rPr>
                <w:color w:val="auto"/>
              </w:rPr>
            </w:pPr>
            <w:r>
              <w:rPr>
                <w:rFonts w:hint="eastAsia"/>
                <w:color w:val="auto"/>
              </w:rPr>
              <w:t>--</w:t>
            </w:r>
          </w:p>
        </w:tc>
        <w:tc>
          <w:tcPr>
            <w:tcW w:w="2040"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7.5</w:t>
            </w:r>
          </w:p>
        </w:tc>
        <w:tc>
          <w:tcPr>
            <w:tcW w:w="1217" w:type="dxa"/>
            <w:tcBorders>
              <w:left w:val="single" w:sz="4" w:space="0" w:color="auto"/>
            </w:tcBorders>
            <w:vAlign w:val="center"/>
          </w:tcPr>
          <w:p>
            <w:pPr>
              <w:pStyle w:val="23"/>
              <w:bidi w:val="0"/>
              <w:spacing w:line="240" w:lineRule="auto"/>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+7.5</w:t>
            </w:r>
          </w:p>
        </w:tc>
      </w:tr>
    </w:tbl>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snapToGrid w:val="0"/>
          <w:color w:val="auto"/>
          <w:spacing w:val="-6"/>
          <w:kern w:val="21"/>
          <w:szCs w:val="21"/>
        </w:rPr>
      </w:pPr>
      <w:r>
        <w:rPr>
          <w:rFonts w:ascii="Times New Roman" w:hAnsi="Times New Roman"/>
          <w:snapToGrid w:val="0"/>
          <w:color w:val="auto"/>
          <w:kern w:val="21"/>
          <w:szCs w:val="21"/>
        </w:rPr>
        <w:t>注：</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6 \* GB3 \* MERGEFORMAT </w:instrText>
      </w:r>
      <w:r>
        <w:rPr>
          <w:rFonts w:ascii="Times New Roman" w:hAnsi="Times New Roman"/>
          <w:snapToGrid w:val="0"/>
          <w:color w:val="auto"/>
          <w:spacing w:val="-16"/>
          <w:kern w:val="21"/>
          <w:szCs w:val="21"/>
        </w:rPr>
        <w:fldChar w:fldCharType="separate"/>
      </w:r>
      <w:r>
        <w:rPr>
          <w:rFonts w:ascii="Times New Roman" w:hAnsi="Times New Roman"/>
          <w:color w:val="auto"/>
          <w:szCs w:val="21"/>
        </w:rPr>
        <w:t>⑥</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1 \* GB3 \* MERGEFORMAT </w:instrText>
      </w:r>
      <w:r>
        <w:rPr>
          <w:rFonts w:ascii="Times New Roman" w:hAnsi="Times New Roman"/>
          <w:snapToGrid w:val="0"/>
          <w:color w:val="auto"/>
          <w:spacing w:val="-6"/>
          <w:kern w:val="21"/>
          <w:szCs w:val="21"/>
        </w:rPr>
        <w:fldChar w:fldCharType="separate"/>
      </w:r>
      <w:r>
        <w:rPr>
          <w:rFonts w:ascii="Times New Roman" w:hAnsi="Times New Roman"/>
          <w:color w:val="auto"/>
          <w:szCs w:val="21"/>
        </w:rPr>
        <w:t>①</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3 \* GB3 \* MERGEFORMAT </w:instrText>
      </w:r>
      <w:r>
        <w:rPr>
          <w:rFonts w:ascii="Times New Roman" w:hAnsi="Times New Roman"/>
          <w:snapToGrid w:val="0"/>
          <w:color w:val="auto"/>
          <w:spacing w:val="-6"/>
          <w:kern w:val="21"/>
          <w:szCs w:val="21"/>
        </w:rPr>
        <w:fldChar w:fldCharType="separate"/>
      </w:r>
      <w:r>
        <w:rPr>
          <w:rFonts w:ascii="Times New Roman" w:hAnsi="Times New Roman"/>
          <w:color w:val="auto"/>
          <w:szCs w:val="21"/>
        </w:rPr>
        <w:t>③</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4 \* GB3 \* MERGEFORMAT </w:instrText>
      </w:r>
      <w:r>
        <w:rPr>
          <w:rFonts w:ascii="Times New Roman" w:hAnsi="Times New Roman"/>
          <w:snapToGrid w:val="0"/>
          <w:color w:val="auto"/>
          <w:spacing w:val="-6"/>
          <w:kern w:val="21"/>
          <w:szCs w:val="21"/>
        </w:rPr>
        <w:fldChar w:fldCharType="separate"/>
      </w:r>
      <w:r>
        <w:rPr>
          <w:rFonts w:ascii="Times New Roman" w:hAnsi="Times New Roman"/>
          <w:color w:val="auto"/>
          <w:szCs w:val="21"/>
        </w:rPr>
        <w:t>④</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5 \* GB3 \* MERGEFORMAT </w:instrText>
      </w:r>
      <w:r>
        <w:rPr>
          <w:rFonts w:ascii="Times New Roman" w:hAnsi="Times New Roman"/>
          <w:snapToGrid w:val="0"/>
          <w:color w:val="auto"/>
          <w:spacing w:val="-16"/>
          <w:kern w:val="21"/>
          <w:szCs w:val="21"/>
        </w:rPr>
        <w:fldChar w:fldCharType="separate"/>
      </w:r>
      <w:r>
        <w:rPr>
          <w:rFonts w:ascii="Times New Roman" w:hAnsi="Times New Roman"/>
          <w:color w:val="auto"/>
          <w:szCs w:val="21"/>
        </w:rPr>
        <w:t>⑤</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7 \* GB3 \* MERGEFORMAT </w:instrText>
      </w:r>
      <w:r>
        <w:rPr>
          <w:rFonts w:ascii="Times New Roman" w:hAnsi="Times New Roman"/>
          <w:snapToGrid w:val="0"/>
          <w:color w:val="auto"/>
          <w:spacing w:val="-6"/>
          <w:kern w:val="21"/>
          <w:szCs w:val="21"/>
        </w:rPr>
        <w:fldChar w:fldCharType="separate"/>
      </w:r>
      <w:r>
        <w:rPr>
          <w:rFonts w:ascii="Times New Roman" w:hAnsi="Times New Roman"/>
          <w:color w:val="auto"/>
          <w:szCs w:val="21"/>
        </w:rPr>
        <w:t>⑦</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6 \* GB3 \* MERGEFORMAT </w:instrText>
      </w:r>
      <w:r>
        <w:rPr>
          <w:rFonts w:ascii="Times New Roman" w:hAnsi="Times New Roman"/>
          <w:snapToGrid w:val="0"/>
          <w:color w:val="auto"/>
          <w:spacing w:val="-16"/>
          <w:kern w:val="21"/>
          <w:szCs w:val="21"/>
        </w:rPr>
        <w:fldChar w:fldCharType="separate"/>
      </w:r>
      <w:r>
        <w:rPr>
          <w:rFonts w:ascii="Times New Roman" w:hAnsi="Times New Roman"/>
          <w:color w:val="auto"/>
          <w:szCs w:val="21"/>
        </w:rPr>
        <w:t>⑥</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1 \* GB3 \* MERGEFORMAT </w:instrText>
      </w:r>
      <w:r>
        <w:rPr>
          <w:rFonts w:ascii="Times New Roman" w:hAnsi="Times New Roman"/>
          <w:snapToGrid w:val="0"/>
          <w:color w:val="auto"/>
          <w:spacing w:val="-6"/>
          <w:kern w:val="21"/>
          <w:szCs w:val="21"/>
        </w:rPr>
        <w:fldChar w:fldCharType="separate"/>
      </w:r>
      <w:r>
        <w:rPr>
          <w:rFonts w:ascii="Times New Roman" w:hAnsi="Times New Roman"/>
          <w:color w:val="auto"/>
          <w:szCs w:val="21"/>
        </w:rPr>
        <w:t>①</w:t>
      </w:r>
      <w:r>
        <w:rPr>
          <w:rFonts w:ascii="Times New Roman" w:hAnsi="Times New Roman"/>
          <w:snapToGrid w:val="0"/>
          <w:color w:val="auto"/>
          <w:spacing w:val="-6"/>
          <w:kern w:val="21"/>
          <w:szCs w:val="21"/>
        </w:rPr>
        <w:fldChar w:fldCharType="end"/>
      </w:r>
    </w:p>
    <w:p>
      <w:pPr>
        <w:spacing w:line="240" w:lineRule="auto"/>
        <w:jc w:val="center"/>
        <w:rPr>
          <w:color w:val="auto"/>
        </w:rPr>
        <w:sectPr>
          <w:footerReference w:type="default" r:id="rId59"/>
          <w:pgSz w:w="16838" w:h="11906" w:orient="landscape"/>
          <w:pgMar w:top="1191" w:right="1417" w:bottom="1191" w:left="1417" w:header="851" w:footer="992" w:gutter="0"/>
          <w:pgNumType/>
          <w:cols w:num="1" w:space="0"/>
          <w:rtlGutter/>
          <w:docGrid w:type="lines" w:linePitch="336" w:charSpace="0"/>
        </w:sectPr>
      </w:pPr>
    </w:p>
    <w:p>
      <w:pPr>
        <w:jc w:val="center"/>
        <w:rPr>
          <w:color w:val="auto"/>
        </w:rPr>
        <w:sectPr>
          <w:footerReference w:type="default" r:id="rId60"/>
          <w:pgSz w:w="16838" w:h="11906" w:orient="landscape"/>
          <w:pgMar w:top="1417" w:right="1417" w:bottom="1417" w:left="1417" w:header="851" w:footer="992" w:gutter="0"/>
          <w:pgNumType/>
          <w:cols w:num="1" w:space="0"/>
          <w:rtlGutter/>
          <w:docGrid w:type="lines" w:linePitch="336" w:charSpace="0"/>
        </w:sectPr>
      </w:pP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eastAsia="zh-CN"/>
        </w:rPr>
      </w:pPr>
      <w:r>
        <w:rPr>
          <w:rFonts w:eastAsia="宋体" w:hint="eastAsia"/>
          <w:color w:val="auto"/>
          <w:lang w:eastAsia="zh-CN"/>
        </w:rPr>
        <mc:AlternateContent>
          <mc:Choice Requires="wps">
            <w:drawing>
              <wp:anchor distT="0" distB="0" distL="114300" distR="114300" simplePos="0" relativeHeight="484" behindDoc="0" locked="0" layoutInCell="1" hidden="0" allowOverlap="1">
                <wp:simplePos x="0" y="0"/>
                <wp:positionH relativeFrom="column">
                  <wp:posOffset>3548379</wp:posOffset>
                </wp:positionH>
                <wp:positionV relativeFrom="paragraph">
                  <wp:posOffset>3795395</wp:posOffset>
                </wp:positionV>
                <wp:extent cx="1189990" cy="298450"/>
                <wp:effectExtent l="9525" t="390525" r="19684" b="15875"/>
                <wp:wrapNone/>
                <wp:docPr id="242" name="矩形标注 242"/>
                <wp:cNvGraphicFramePr>
                  <a:graphicFrameLocks noChangeAspect="0"/>
                </wp:cNvGraphicFramePr>
                <a:graphic>
                  <a:graphicData uri="http://schemas.microsoft.com/office/word/2010/wordprocessingShape">
                    <wps:wsp>
                      <wps:cNvSpPr/>
                      <wps:spPr>
                        <a:xfrm rot="0">
                          <a:off x="0" y="0"/>
                          <a:ext cx="1189990" cy="298450"/>
                        </a:xfrm>
                        <a:prstGeom prst="wedgeRectCallout">
                          <a:avLst>
                            <a:gd name="adj1" fmla="val 45462"/>
                            <a:gd name="adj2" fmla="val -170634"/>
                          </a:avLst>
                        </a:prstGeom>
                        <a:solidFill>
                          <a:srgbClr val="FFFF00"/>
                        </a:solidFill>
                        <a:ln w="19050" cmpd="sng" cap="flat">
                          <a:solidFill>
                            <a:srgbClr val="000000"/>
                          </a:solidFill>
                          <a:prstDash val="solid"/>
                          <a:miter/>
                        </a:ln>
                      </wps:spPr>
                      <wps:txbx id="127">
                        <w:txbxContent>
                          <w:p>
                            <w:pPr>
                              <w:ind w:left="0" w:firstLineChars="0" w:firstLine="0"/>
                              <w:rPr>
                                <w:rFonts w:eastAsia="仿宋_GB2312"/>
                                <w:b/>
                                <w:bCs/>
                                <w:szCs w:val="21"/>
                              </w:rPr>
                            </w:pPr>
                            <w:r>
                              <w:rPr>
                                <w:rFonts w:ascii="宋体" w:cs="宋体" w:hAnsi="宋体" w:hint="eastAsia"/>
                                <w:b/>
                                <w:bCs/>
                                <w:color w:val="FF0000"/>
                                <w:sz w:val="24"/>
                              </w:rPr>
                              <w:t>本项目所在地</w:t>
                            </w:r>
                          </w:p>
                        </w:txbxContent>
                      </wps:txbx>
                      <wps:bodyPr vert="horz" wrap="square" lIns="91440" tIns="45720" rIns="91440" bIns="45720" anchor="t" anchorCtr="0" upright="1">
                        <a:noAutofit/>
                      </wps:bodyPr>
                    </wps:wsp>
                  </a:graphicData>
                </a:graphic>
              </wp:anchor>
            </w:drawing>
          </mc:Choice>
          <mc:Fallback>
            <w:pict>
              <v:shape type="#_x0000_t61" id="矩形标注 242" o:spid="_x0000_s128" fillcolor="#FFFF00" stroked="t" strokeweight="1.5pt" adj="20620,-26057" style="position:absolute;margin-left:279.4pt;margin-top:298.85pt;width:93.70001pt;height:23.500008pt;z-index:484;mso-position-horizontal:absolute;mso-position-vertical:absolute;mso-wrap-style:square;">
                <v:stroke color="#000000"/>
                <v:textbox id="916" inset="2.54mm,1.27mm,2.54mm,1.27mm" o:insetmode="custom" style="layout-flow:horizontal;v-text-anchor:top;">
                  <w:txbxContent>
                    <w:p>
                      <w:pPr>
                        <w:ind w:left="0" w:firstLineChars="0" w:firstLine="0"/>
                        <w:rPr>
                          <w:rFonts w:eastAsia="仿宋_GB2312"/>
                          <w:b/>
                          <w:bCs/>
                          <w:szCs w:val="21"/>
                        </w:rPr>
                      </w:pPr>
                      <w:r>
                        <w:rPr>
                          <w:rFonts w:ascii="宋体" w:cs="宋体" w:hAnsi="宋体" w:hint="eastAsia"/>
                          <w:b/>
                          <w:bCs/>
                          <w:color w:val="FF0000"/>
                          <w:sz w:val="24"/>
                        </w:rPr>
                        <w:t>本项目所在地</w:t>
                      </w:r>
                    </w:p>
                  </w:txbxContent>
                </v:textbox>
              </v:shape>
            </w:pict>
          </mc:Fallback>
        </mc:AlternateContent>
      </w:r>
      <w:r>
        <w:rPr>
          <w:rFonts w:eastAsia="宋体" w:hint="eastAsia"/>
          <w:color w:val="auto"/>
          <w:lang w:eastAsia="zh-CN"/>
        </w:rPr>
        <mc:AlternateContent>
          <mc:Choice Requires="wps">
            <w:drawing>
              <wp:anchor distT="0" distB="0" distL="114300" distR="114300" simplePos="0" relativeHeight="482" behindDoc="0" locked="0" layoutInCell="1" hidden="0" allowOverlap="1">
                <wp:simplePos x="0" y="0"/>
                <wp:positionH relativeFrom="column">
                  <wp:posOffset>4700904</wp:posOffset>
                </wp:positionH>
                <wp:positionV relativeFrom="paragraph">
                  <wp:posOffset>3291204</wp:posOffset>
                </wp:positionV>
                <wp:extent cx="125094" cy="124460"/>
                <wp:effectExtent l="13970" t="15875" r="32385" b="31115"/>
                <wp:wrapNone/>
                <wp:docPr id="241" name="五角星 241"/>
                <wp:cNvGraphicFramePr>
                  <a:graphicFrameLocks noChangeAspect="0"/>
                </wp:cNvGraphicFramePr>
                <a:graphic>
                  <a:graphicData uri="http://schemas.microsoft.com/office/word/2010/wordprocessingShape">
                    <wps:wsp>
                      <wps:cNvSpPr/>
                      <wps:spPr>
                        <a:xfrm rot="0">
                          <a:off x="0" y="0"/>
                          <a:ext cx="125094" cy="124460"/>
                        </a:xfrm>
                        <a:prstGeom prst="star5">
                          <a:avLst>
                            <a:gd name="adj" fmla="val 19100"/>
                            <a:gd name="hf" fmla="val 105146"/>
                            <a:gd name="vf" fmla="val 110557"/>
                          </a:avLst>
                        </a:prstGeom>
                        <a:solidFill>
                          <a:srgbClr val="FF0000"/>
                        </a:solidFill>
                        <a:ln w="9525" cmpd="sng" cap="flat">
                          <a:solidFill>
                            <a:srgbClr val="FF0000"/>
                          </a:solidFill>
                          <a:prstDash val="solid"/>
                          <a:miter/>
                        </a:ln>
                      </wps:spPr>
                      <wps:bodyPr vert="horz" wrap="square" lIns="91440" tIns="45720" rIns="91440" bIns="45720" anchor="t" anchorCtr="0" upright="1">
                        <a:noAutofit/>
                      </wps:bodyPr>
                    </wps:wsp>
                  </a:graphicData>
                </a:graphic>
              </wp:anchor>
            </w:drawing>
          </mc:Choice>
          <mc:Fallback>
            <w:pict>
              <v:shape type="#_x0000_t12" id="五角星 241" o:spid="_x0000_s129" fillcolor="#FF0000" stroked="t" adj="1910" style="position:absolute;margin-left:370.15pt;margin-top:259.15pt;width:9.849998pt;height:9.800011pt;z-index:482;mso-position-horizontal:absolute;mso-position-vertical:absolute;">
                <v:stroke color="#FF0000"/>
              </v:shape>
            </w:pict>
          </mc:Fallback>
        </mc:AlternateContent>
      </w:r>
      <w:r>
        <w:rPr>
          <w:rFonts w:eastAsia="宋体" w:hint="eastAsia"/>
          <w:color w:val="auto"/>
          <w:lang w:eastAsia="zh-CN"/>
        </w:rPr>
        <w:drawing>
          <wp:anchor distT="0" distB="0" distL="114300" distR="114300" simplePos="0" relativeHeight="478" behindDoc="0" locked="0" layoutInCell="1" hidden="0" allowOverlap="1">
            <wp:simplePos x="0" y="0"/>
            <wp:positionH relativeFrom="column">
              <wp:posOffset>7741284</wp:posOffset>
            </wp:positionH>
            <wp:positionV relativeFrom="paragraph">
              <wp:posOffset>12700</wp:posOffset>
            </wp:positionV>
            <wp:extent cx="822960" cy="736600"/>
            <wp:effectExtent l="0" t="0" r="15240" b="6350"/>
            <wp:wrapNone/>
            <wp:docPr id="1074" name="图片 3" descr="8fbca685491a9b2463b855c1c0accb9"/>
            <wp:cNvGraphicFramePr>
              <a:graphicFrameLocks noChangeAspect="1"/>
            </wp:cNvGraphicFramePr>
            <a:graphic>
              <a:graphicData uri="http://schemas.openxmlformats.org/drawingml/2006/picture">
                <pic:pic>
                  <pic:nvPicPr>
                    <pic:cNvPr id="131" name="图片 3 131"/>
                    <pic:cNvPicPr/>
                  </pic:nvPicPr>
                  <pic:blipFill>
                    <a:blip r:embed="rId61"/>
                    <a:stretch>
                      <a:fillRect/>
                    </a:stretch>
                  </pic:blipFill>
                  <pic:spPr>
                    <a:xfrm rot="0">
                      <a:off x="0" y="0"/>
                      <a:ext cx="822960" cy="736600"/>
                    </a:xfrm>
                    <a:prstGeom prst="rect"/>
                    <a:noFill/>
                    <a:ln cmpd="sng" cap="flat">
                      <a:noFill/>
                      <a:prstDash val="solid"/>
                      <a:round/>
                    </a:ln>
                  </pic:spPr>
                </pic:pic>
              </a:graphicData>
            </a:graphic>
          </wp:anchor>
        </w:drawing>
      </w:r>
      <w:r>
        <w:rPr>
          <w:rFonts w:eastAsia="宋体" w:hint="eastAsia"/>
          <w:color w:val="auto"/>
          <w:lang w:eastAsia="zh-CN"/>
        </w:rPr>
        <w:drawing>
          <wp:inline distT="0" distB="0" distL="114300" distR="114300">
            <wp:extent cx="8224520" cy="5374640"/>
            <wp:effectExtent l="30162" t="30163" r="30163" b="30162"/>
            <wp:docPr id="1075" name="图片 1" descr="C:\Documents and Settings\Administrator\桌面\栾城区地图.jpg"/>
            <wp:cNvGraphicFramePr>
              <a:graphicFrameLocks noChangeAspect="1"/>
            </wp:cNvGraphicFramePr>
            <a:graphic>
              <a:graphicData uri="http://schemas.openxmlformats.org/drawingml/2006/picture">
                <pic:pic>
                  <pic:nvPicPr>
                    <pic:cNvPr id="133" name="图片 1 133"/>
                    <pic:cNvPicPr/>
                  </pic:nvPicPr>
                  <pic:blipFill>
                    <a:blip r:embed="rId62"/>
                    <a:srcRect b="7263"/>
                    <a:stretch>
                      <a:fillRect/>
                    </a:stretch>
                  </pic:blipFill>
                  <pic:spPr>
                    <a:xfrm rot="0">
                      <a:off x="0" y="0"/>
                      <a:ext cx="8224520" cy="5374640"/>
                    </a:xfrm>
                    <a:prstGeom prst="rect"/>
                    <a:noFill/>
                    <a:ln w="25400" cmpd="sng" cap="flat">
                      <a:solidFill>
                        <a:srgbClr val="000000"/>
                      </a:solid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eastAsia="zh-CN"/>
        </w:rPr>
        <w:sectPr>
          <w:pgSz w:w="16838" w:h="11906" w:orient="landscape"/>
          <w:pgMar w:top="1417" w:right="1417" w:bottom="1417" w:left="1417" w:header="851" w:footer="850" w:gutter="0"/>
          <w:cols w:num="1" w:space="0"/>
          <w:rtlGutter/>
          <w:docGrid w:linePitch="312" w:charSpace="0"/>
        </w:sectPr>
      </w:pPr>
      <w:r>
        <w:rPr>
          <w:rFonts w:eastAsia="宋体" w:hint="eastAsia"/>
          <w:b/>
          <w:bCs/>
          <w:color w:val="auto"/>
          <w:lang w:eastAsia="zh-CN"/>
        </w:rPr>
        <w:t>附图1   项目地理位置图</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eastAsia="zh-CN"/>
        </w:rPr>
      </w:pPr>
      <w:r>
        <w:rPr>
          <w:rFonts w:eastAsia="宋体" w:hint="eastAsia"/>
          <w:color w:val="auto"/>
          <w:lang w:eastAsia="zh-CN"/>
        </w:rPr>
        <mc:AlternateContent>
          <mc:Choice Requires="wps">
            <w:drawing>
              <wp:anchor distT="0" distB="0" distL="114300" distR="114300" simplePos="0" relativeHeight="502" behindDoc="0" locked="0" layoutInCell="1" hidden="0" allowOverlap="1">
                <wp:simplePos x="0" y="0"/>
                <wp:positionH relativeFrom="column">
                  <wp:posOffset>1699260</wp:posOffset>
                </wp:positionH>
                <wp:positionV relativeFrom="paragraph">
                  <wp:posOffset>3850005</wp:posOffset>
                </wp:positionV>
                <wp:extent cx="381634" cy="880745"/>
                <wp:wrapNone/>
                <wp:docPr id="59" name="文本框 59"/>
                <wp:cNvGraphicFramePr>
                  <a:graphicFrameLocks noChangeAspect="0"/>
                </wp:cNvGraphicFramePr>
                <a:graphic>
                  <a:graphicData uri="http://schemas.microsoft.com/office/word/2010/wordprocessingShape">
                    <wps:wsp>
                      <wps:cNvSpPr/>
                      <wps:spPr>
                        <a:xfrm rot="0">
                          <a:off x="0" y="0"/>
                          <a:ext cx="381634" cy="880745"/>
                        </a:xfrm>
                        <a:prstGeom prst="rect"/>
                        <a:noFill/>
                        <a:ln cmpd="sng" cap="flat">
                          <a:noFill/>
                          <a:prstDash val="solid"/>
                          <a:round/>
                        </a:ln>
                      </wps:spPr>
                      <wps:txbx id="134">
                        <w:txbxContent>
                          <w:p>
                            <w:pPr>
                              <w:spacing w:line="240" w:lineRule="auto"/>
                              <w:ind w:left="0" w:firstLineChars="0" w:firstLine="0"/>
                              <w:rPr>
                                <w:color w:val="FF0000"/>
                                <w:szCs w:val="21"/>
                                <w:lang w:val="en-US" w:eastAsia="zh-CN"/>
                              </w:rPr>
                            </w:pPr>
                            <w:r>
                              <w:rPr>
                                <w:rFonts w:hint="eastAsia"/>
                                <w:color w:val="FF0000"/>
                                <w:szCs w:val="21"/>
                                <w:lang w:val="en-US" w:eastAsia="zh-CN"/>
                              </w:rPr>
                              <w:t>在建厂房</w:t>
                            </w:r>
                          </w:p>
                        </w:txbxContent>
                      </wps:txbx>
                      <wps:bodyPr vert="horz" wrap="square" lIns="91440" tIns="45720" rIns="91440" bIns="45720" anchor="t" anchorCtr="0" upright="1">
                        <a:noAutofit/>
                      </wps:bodyPr>
                    </wps:wsp>
                  </a:graphicData>
                </a:graphic>
              </wp:anchor>
            </w:drawing>
          </mc:Choice>
          <mc:Fallback>
            <w:pict>
              <v:rect type="#_x0000_t1" id="文本框 59" o:spid="_x0000_s135" filled="f" stroked="f" strokeweight="-1.0pt" style="position:absolute;margin-left:133.8pt;margin-top:303.15pt;width:30.05pt;height:69.350006pt;z-index:502;mso-position-horizontal:absolute;mso-position-vertical:absolute;mso-wrap-style:square;">
                <v:stroke/>
                <v:textbox id="919" inset="2.54mm,1.27mm,2.54mm,1.27mm" o:insetmode="custom" style="layout-flow:horizontal;v-text-anchor:top;">
                  <w:txbxContent>
                    <w:p>
                      <w:pPr>
                        <w:spacing w:line="240" w:lineRule="auto"/>
                        <w:ind w:left="0" w:firstLineChars="0" w:firstLine="0"/>
                        <w:rPr>
                          <w:color w:val="FF0000"/>
                          <w:szCs w:val="21"/>
                          <w:lang w:val="en-US" w:eastAsia="zh-CN"/>
                        </w:rPr>
                      </w:pPr>
                      <w:r>
                        <w:rPr>
                          <w:rFonts w:hint="eastAsia"/>
                          <w:color w:val="FF0000"/>
                          <w:szCs w:val="21"/>
                          <w:lang w:val="en-US" w:eastAsia="zh-CN"/>
                        </w:rPr>
                        <w:t>在建厂房</w:t>
                      </w:r>
                    </w:p>
                  </w:txbxContent>
                </v:textbox>
              </v:rect>
            </w:pict>
          </mc:Fallback>
        </mc:AlternateContent>
      </w:r>
      <w:r>
        <w:rPr>
          <w:rFonts w:eastAsia="宋体" w:hint="eastAsia"/>
          <w:color w:val="auto"/>
          <w:lang w:eastAsia="zh-CN"/>
        </w:rPr>
        <mc:AlternateContent>
          <mc:Choice Requires="wps">
            <w:drawing>
              <wp:anchor distT="0" distB="0" distL="114300" distR="114300" simplePos="0" relativeHeight="498" behindDoc="0" locked="0" layoutInCell="1" hidden="0" allowOverlap="1">
                <wp:simplePos x="0" y="0"/>
                <wp:positionH relativeFrom="column">
                  <wp:posOffset>689610</wp:posOffset>
                </wp:positionH>
                <wp:positionV relativeFrom="paragraph">
                  <wp:posOffset>3555365</wp:posOffset>
                </wp:positionV>
                <wp:extent cx="924560" cy="700405"/>
                <wp:wrapNone/>
                <wp:docPr id="61" name="文本框 61"/>
                <wp:cNvGraphicFramePr>
                  <a:graphicFrameLocks noChangeAspect="0"/>
                </wp:cNvGraphicFramePr>
                <a:graphic>
                  <a:graphicData uri="http://schemas.microsoft.com/office/word/2010/wordprocessingShape">
                    <wps:wsp>
                      <wps:cNvSpPr/>
                      <wps:spPr>
                        <a:xfrm rot="0">
                          <a:off x="0" y="0"/>
                          <a:ext cx="924560" cy="700405"/>
                        </a:xfrm>
                        <a:prstGeom prst="rect"/>
                        <a:noFill/>
                        <a:ln cmpd="sng" cap="flat">
                          <a:noFill/>
                          <a:prstDash val="solid"/>
                          <a:round/>
                        </a:ln>
                      </wps:spPr>
                      <wps:txbx id="136">
                        <w:txbxContent>
                          <w:p>
                            <w:pPr>
                              <w:spacing w:line="240" w:lineRule="auto"/>
                              <w:ind w:left="0" w:firstLineChars="0" w:firstLine="0"/>
                              <w:rPr>
                                <w:rFonts w:hint="eastAsia"/>
                                <w:color w:val="FF0000"/>
                                <w:szCs w:val="21"/>
                                <w:lang w:val="en-US" w:eastAsia="zh-CN"/>
                              </w:rPr>
                            </w:pPr>
                            <w:r>
                              <w:rPr>
                                <w:rFonts w:hint="eastAsia"/>
                                <w:color w:val="FF0000"/>
                                <w:szCs w:val="21"/>
                                <w:lang w:val="en-US" w:eastAsia="zh-CN"/>
                              </w:rPr>
                              <w:t>石家庄市比夫派食品公司</w:t>
                            </w:r>
                          </w:p>
                        </w:txbxContent>
                      </wps:txbx>
                      <wps:bodyPr vert="horz" wrap="square" lIns="91440" tIns="45720" rIns="91440" bIns="45720" anchor="t" anchorCtr="0" upright="1">
                        <a:noAutofit/>
                      </wps:bodyPr>
                    </wps:wsp>
                  </a:graphicData>
                </a:graphic>
              </wp:anchor>
            </w:drawing>
          </mc:Choice>
          <mc:Fallback>
            <w:pict>
              <v:rect type="#_x0000_t1" id="文本框 61" o:spid="_x0000_s137" filled="f" stroked="f" strokeweight="-1.0pt" style="position:absolute;margin-left:54.3pt;margin-top:279.95pt;width:72.8pt;height:55.150017pt;z-index:498;mso-position-horizontal:absolute;mso-position-vertical:absolute;mso-wrap-style:square;">
                <v:stroke/>
                <v:textbox id="920" inset="2.54mm,1.27mm,2.54mm,1.27mm" o:insetmode="custom" style="layout-flow:horizontal;v-text-anchor:top;">
                  <w:txbxContent>
                    <w:p>
                      <w:pPr>
                        <w:spacing w:line="240" w:lineRule="auto"/>
                        <w:ind w:left="0" w:firstLineChars="0" w:firstLine="0"/>
                        <w:rPr>
                          <w:rFonts w:hint="eastAsia"/>
                          <w:color w:val="FF0000"/>
                          <w:szCs w:val="21"/>
                          <w:lang w:val="en-US" w:eastAsia="zh-CN"/>
                        </w:rPr>
                      </w:pPr>
                      <w:r>
                        <w:rPr>
                          <w:rFonts w:hint="eastAsia"/>
                          <w:color w:val="FF0000"/>
                          <w:szCs w:val="21"/>
                          <w:lang w:val="en-US" w:eastAsia="zh-CN"/>
                        </w:rPr>
                        <w:t>石家庄市比夫派食品公司</w:t>
                      </w:r>
                    </w:p>
                  </w:txbxContent>
                </v:textbox>
              </v:rect>
            </w:pict>
          </mc:Fallback>
        </mc:AlternateContent>
      </w:r>
      <w:r>
        <w:rPr>
          <w:rFonts w:eastAsia="宋体" w:hint="eastAsia"/>
          <w:color w:val="auto"/>
          <w:lang w:eastAsia="zh-CN"/>
        </w:rPr>
        <mc:AlternateContent>
          <mc:Choice Requires="wps">
            <w:drawing>
              <wp:anchor distT="0" distB="0" distL="114300" distR="114300" simplePos="0" relativeHeight="500" behindDoc="0" locked="0" layoutInCell="1" hidden="0" allowOverlap="1">
                <wp:simplePos x="0" y="0"/>
                <wp:positionH relativeFrom="column">
                  <wp:posOffset>1032510</wp:posOffset>
                </wp:positionH>
                <wp:positionV relativeFrom="paragraph">
                  <wp:posOffset>5031105</wp:posOffset>
                </wp:positionV>
                <wp:extent cx="753109" cy="339725"/>
                <wp:wrapNone/>
                <wp:docPr id="60" name="文本框 60"/>
                <wp:cNvGraphicFramePr>
                  <a:graphicFrameLocks noChangeAspect="0"/>
                </wp:cNvGraphicFramePr>
                <a:graphic>
                  <a:graphicData uri="http://schemas.microsoft.com/office/word/2010/wordprocessingShape">
                    <wps:wsp>
                      <wps:cNvSpPr/>
                      <wps:spPr>
                        <a:xfrm rot="0">
                          <a:off x="0" y="0"/>
                          <a:ext cx="753109" cy="339725"/>
                        </a:xfrm>
                        <a:prstGeom prst="rect"/>
                        <a:noFill/>
                        <a:ln cmpd="sng" cap="flat">
                          <a:noFill/>
                          <a:prstDash val="solid"/>
                          <a:round/>
                        </a:ln>
                      </wps:spPr>
                      <wps:txbx id="138">
                        <w:txbxContent>
                          <w:p>
                            <w:pPr>
                              <w:ind w:left="0" w:firstLineChars="0" w:firstLine="0"/>
                              <w:rPr>
                                <w:rFonts w:eastAsia="宋体"/>
                                <w:color w:val="FF0000"/>
                                <w:szCs w:val="21"/>
                                <w:lang w:val="en-US" w:eastAsia="zh-CN"/>
                              </w:rPr>
                            </w:pPr>
                            <w:r>
                              <w:rPr>
                                <w:rFonts w:hint="eastAsia"/>
                                <w:color w:val="FF0000"/>
                                <w:szCs w:val="21"/>
                                <w:lang w:val="en-US" w:eastAsia="zh-CN"/>
                              </w:rPr>
                              <w:t>城南路</w:t>
                            </w:r>
                          </w:p>
                        </w:txbxContent>
                      </wps:txbx>
                      <wps:bodyPr vert="horz" wrap="square" lIns="91440" tIns="45720" rIns="91440" bIns="45720" anchor="t" anchorCtr="0" upright="1">
                        <a:noAutofit/>
                      </wps:bodyPr>
                    </wps:wsp>
                  </a:graphicData>
                </a:graphic>
              </wp:anchor>
            </w:drawing>
          </mc:Choice>
          <mc:Fallback>
            <w:pict>
              <v:rect type="#_x0000_t1" id="文本框 60" o:spid="_x0000_s139" filled="f" stroked="f" strokeweight="-1.0pt" style="position:absolute;margin-left:81.3pt;margin-top:396.15pt;width:59.3pt;height:26.750015pt;z-index:500;mso-position-horizontal:absolute;mso-position-vertical:absolute;mso-wrap-style:square;">
                <v:stroke/>
                <v:textbox id="921" inset="2.54mm,1.27mm,2.54mm,1.27mm" o:insetmode="custom" style="layout-flow:horizontal;v-text-anchor:top;">
                  <w:txbxContent>
                    <w:p>
                      <w:pPr>
                        <w:ind w:left="0" w:firstLineChars="0" w:firstLine="0"/>
                        <w:rPr>
                          <w:rFonts w:eastAsia="宋体"/>
                          <w:color w:val="FF0000"/>
                          <w:szCs w:val="21"/>
                          <w:lang w:val="en-US" w:eastAsia="zh-CN"/>
                        </w:rPr>
                      </w:pPr>
                      <w:r>
                        <w:rPr>
                          <w:rFonts w:hint="eastAsia"/>
                          <w:color w:val="FF0000"/>
                          <w:szCs w:val="21"/>
                          <w:lang w:val="en-US" w:eastAsia="zh-CN"/>
                        </w:rPr>
                        <w:t>城南路</w:t>
                      </w:r>
                    </w:p>
                  </w:txbxContent>
                </v:textbox>
              </v:rect>
            </w:pict>
          </mc:Fallback>
        </mc:AlternateContent>
      </w:r>
      <w:r>
        <w:rPr>
          <w:rFonts w:eastAsia="宋体" w:hint="eastAsia"/>
          <w:color w:val="auto"/>
          <w:lang w:eastAsia="zh-CN"/>
        </w:rPr>
        <mc:AlternateContent>
          <mc:Choice Requires="wps">
            <w:drawing>
              <wp:anchor distT="0" distB="0" distL="114300" distR="114300" simplePos="0" relativeHeight="496" behindDoc="0" locked="0" layoutInCell="1" hidden="0" allowOverlap="1">
                <wp:simplePos x="0" y="0"/>
                <wp:positionH relativeFrom="column">
                  <wp:posOffset>518795</wp:posOffset>
                </wp:positionH>
                <wp:positionV relativeFrom="paragraph">
                  <wp:posOffset>4202430</wp:posOffset>
                </wp:positionV>
                <wp:extent cx="552450" cy="634365"/>
                <wp:wrapNone/>
                <wp:docPr id="76" name="文本框 76"/>
                <wp:cNvGraphicFramePr>
                  <a:graphicFrameLocks noChangeAspect="0"/>
                </wp:cNvGraphicFramePr>
                <a:graphic>
                  <a:graphicData uri="http://schemas.microsoft.com/office/word/2010/wordprocessingShape">
                    <wps:wsp>
                      <wps:cNvSpPr/>
                      <wps:spPr>
                        <a:xfrm rot="0">
                          <a:off x="0" y="0"/>
                          <a:ext cx="552450" cy="634365"/>
                        </a:xfrm>
                        <a:prstGeom prst="rect"/>
                        <a:noFill/>
                        <a:ln cmpd="sng" cap="flat">
                          <a:noFill/>
                          <a:prstDash val="solid"/>
                          <a:round/>
                        </a:ln>
                      </wps:spPr>
                      <wps:txbx id="140">
                        <w:txbxContent>
                          <w:p>
                            <w:pPr>
                              <w:spacing w:line="240" w:lineRule="auto"/>
                              <w:ind w:left="0" w:firstLineChars="0" w:firstLine="0"/>
                              <w:rPr>
                                <w:rFonts w:eastAsia="宋体"/>
                                <w:color w:val="FF0000"/>
                                <w:szCs w:val="21"/>
                                <w:lang w:val="en-US" w:eastAsia="zh-CN"/>
                              </w:rPr>
                            </w:pPr>
                            <w:r>
                              <w:rPr>
                                <w:rFonts w:hint="eastAsia"/>
                                <w:color w:val="FF0000"/>
                                <w:szCs w:val="21"/>
                                <w:lang w:val="en-US" w:eastAsia="zh-CN"/>
                              </w:rPr>
                              <w:t>在建厂房</w:t>
                            </w:r>
                          </w:p>
                        </w:txbxContent>
                      </wps:txbx>
                      <wps:bodyPr vert="horz" wrap="square" lIns="91440" tIns="45720" rIns="91440" bIns="45720" anchor="t" anchorCtr="0" upright="1">
                        <a:noAutofit/>
                      </wps:bodyPr>
                    </wps:wsp>
                  </a:graphicData>
                </a:graphic>
              </wp:anchor>
            </w:drawing>
          </mc:Choice>
          <mc:Fallback>
            <w:pict>
              <v:rect type="#_x0000_t1" id="文本框 76" o:spid="_x0000_s141" filled="f" stroked="f" strokeweight="-1.0pt" style="position:absolute;margin-left:40.85pt;margin-top:330.9pt;width:43.5pt;height:49.950005pt;z-index:496;mso-position-horizontal:absolute;mso-position-vertical:absolute;mso-wrap-style:square;">
                <v:stroke/>
                <v:textbox id="922" inset="2.54mm,1.27mm,2.54mm,1.27mm" o:insetmode="custom" style="layout-flow:horizontal;v-text-anchor:top;">
                  <w:txbxContent>
                    <w:p>
                      <w:pPr>
                        <w:spacing w:line="240" w:lineRule="auto"/>
                        <w:ind w:left="0" w:firstLineChars="0" w:firstLine="0"/>
                        <w:rPr>
                          <w:rFonts w:eastAsia="宋体"/>
                          <w:color w:val="FF0000"/>
                          <w:szCs w:val="21"/>
                          <w:lang w:val="en-US" w:eastAsia="zh-CN"/>
                        </w:rPr>
                      </w:pPr>
                      <w:r>
                        <w:rPr>
                          <w:rFonts w:hint="eastAsia"/>
                          <w:color w:val="FF0000"/>
                          <w:szCs w:val="21"/>
                          <w:lang w:val="en-US" w:eastAsia="zh-CN"/>
                        </w:rPr>
                        <w:t>在建厂房</w:t>
                      </w:r>
                    </w:p>
                  </w:txbxContent>
                </v:textbox>
              </v:rect>
            </w:pict>
          </mc:Fallback>
        </mc:AlternateContent>
      </w:r>
      <w:r>
        <w:rPr>
          <w:rFonts w:eastAsia="宋体" w:hint="eastAsia"/>
          <w:color w:val="auto"/>
          <w:lang w:eastAsia="zh-CN"/>
        </w:rPr>
        <w:drawing>
          <wp:anchor distT="0" distB="0" distL="114300" distR="114300" simplePos="0" relativeHeight="476" behindDoc="0" locked="0" layoutInCell="1" hidden="0" allowOverlap="1">
            <wp:simplePos x="0" y="0"/>
            <wp:positionH relativeFrom="column">
              <wp:posOffset>350520</wp:posOffset>
            </wp:positionH>
            <wp:positionV relativeFrom="paragraph">
              <wp:posOffset>3536950</wp:posOffset>
            </wp:positionV>
            <wp:extent cx="1755139" cy="1696719"/>
            <wp:effectExtent l="0" t="0" r="16510" b="17779"/>
            <wp:wrapNone/>
            <wp:docPr id="1076" name="图片 13"/>
            <wp:cNvGraphicFramePr>
              <a:graphicFrameLocks noChangeAspect="1"/>
            </wp:cNvGraphicFramePr>
            <a:graphic>
              <a:graphicData uri="http://schemas.openxmlformats.org/drawingml/2006/picture">
                <pic:pic>
                  <pic:nvPicPr>
                    <pic:cNvPr id="143" name="图片 13 143"/>
                    <pic:cNvPicPr/>
                  </pic:nvPicPr>
                  <pic:blipFill>
                    <a:blip r:embed="rId63"/>
                    <a:stretch>
                      <a:fillRect/>
                    </a:stretch>
                  </pic:blipFill>
                  <pic:spPr>
                    <a:xfrm rot="0">
                      <a:off x="0" y="0"/>
                      <a:ext cx="1755139" cy="1696719"/>
                    </a:xfrm>
                    <a:prstGeom prst="rect"/>
                    <a:noFill/>
                    <a:ln cmpd="sng" cap="flat">
                      <a:noFill/>
                      <a:prstDash val="solid"/>
                      <a:round/>
                    </a:ln>
                  </pic:spPr>
                </pic:pic>
              </a:graphicData>
            </a:graphic>
          </wp:anchor>
        </w:drawing>
      </w:r>
      <w:r>
        <w:rPr>
          <w:rFonts w:eastAsia="宋体" w:hint="eastAsia"/>
          <w:color w:val="auto"/>
          <w:lang w:eastAsia="zh-CN"/>
        </w:rPr>
        <w:drawing>
          <wp:anchor distT="0" distB="0" distL="114300" distR="114300" simplePos="0" relativeHeight="488" behindDoc="0" locked="0" layoutInCell="1" hidden="0" allowOverlap="1">
            <wp:simplePos x="0" y="0"/>
            <wp:positionH relativeFrom="column">
              <wp:posOffset>7867650</wp:posOffset>
            </wp:positionH>
            <wp:positionV relativeFrom="paragraph">
              <wp:posOffset>4686300</wp:posOffset>
            </wp:positionV>
            <wp:extent cx="819150" cy="828675"/>
            <wp:effectExtent l="0" t="0" r="0" b="9525"/>
            <wp:wrapNone/>
            <wp:docPr id="1077" name="图片 1077"/>
            <wp:cNvGraphicFramePr>
              <a:graphicFrameLocks noChangeAspect="1"/>
            </wp:cNvGraphicFramePr>
            <a:graphic>
              <a:graphicData uri="http://schemas.openxmlformats.org/drawingml/2006/picture">
                <pic:pic>
                  <pic:nvPicPr>
                    <pic:cNvPr id="145" name="图片 145"/>
                    <pic:cNvPicPr/>
                  </pic:nvPicPr>
                  <pic:blipFill>
                    <a:blip r:embed="rId64"/>
                    <a:stretch>
                      <a:fillRect/>
                    </a:stretch>
                  </pic:blipFill>
                  <pic:spPr>
                    <a:xfrm rot="0">
                      <a:off x="0" y="0"/>
                      <a:ext cx="819150" cy="828675"/>
                    </a:xfrm>
                    <a:prstGeom prst="rect"/>
                    <a:noFill/>
                    <a:ln cmpd="sng" cap="flat">
                      <a:noFill/>
                      <a:prstDash val="solid"/>
                      <a:round/>
                    </a:ln>
                  </pic:spPr>
                </pic:pic>
              </a:graphicData>
            </a:graphic>
          </wp:anchor>
        </w:drawing>
      </w:r>
      <w:r>
        <w:rPr>
          <w:rFonts w:eastAsia="宋体" w:hint="eastAsia"/>
          <w:color w:val="auto"/>
          <w:lang w:eastAsia="zh-CN"/>
        </w:rPr>
        <mc:AlternateContent>
          <mc:Choice Requires="wps">
            <w:drawing>
              <wp:anchor distT="0" distB="0" distL="114300" distR="114300" simplePos="0" relativeHeight="494" behindDoc="0" locked="0" layoutInCell="1" hidden="0" allowOverlap="1">
                <wp:simplePos x="0" y="0"/>
                <wp:positionH relativeFrom="column">
                  <wp:posOffset>4426585</wp:posOffset>
                </wp:positionH>
                <wp:positionV relativeFrom="paragraph">
                  <wp:posOffset>3478530</wp:posOffset>
                </wp:positionV>
                <wp:extent cx="650874" cy="266700"/>
                <wp:wrapNone/>
                <wp:docPr id="78" name="矩形 78"/>
                <wp:cNvGraphicFramePr>
                  <a:graphicFrameLocks noChangeAspect="0"/>
                </wp:cNvGraphicFramePr>
                <a:graphic>
                  <a:graphicData uri="http://schemas.microsoft.com/office/word/2010/wordprocessingShape">
                    <wps:wsp>
                      <wps:cNvSpPr/>
                      <wps:spPr>
                        <a:xfrm rot="0">
                          <a:off x="0" y="0"/>
                          <a:ext cx="650874" cy="266700"/>
                        </a:xfrm>
                        <a:prstGeom prst="rect"/>
                        <a:noFill/>
                        <a:ln w="12700" cmpd="sng" cap="flat">
                          <a:noFill/>
                          <a:prstDash val="solid"/>
                          <a:miter/>
                        </a:ln>
                      </wps:spPr>
                      <wps:style>
                        <a:lnRef idx="2">
                          <a:schemeClr val="dk1"/>
                        </a:lnRef>
                        <a:fillRef idx="1">
                          <a:schemeClr val="lt1"/>
                        </a:fillRef>
                        <a:effectRef idx="0">
                          <a:schemeClr val="dk1"/>
                        </a:effectRef>
                        <a:fontRef idx="minor">
                          <a:schemeClr val="dk1"/>
                        </a:fontRef>
                      </wps:style>
                      <wps:txbx id="146">
                        <w:txbxContent>
                          <w:p>
                            <w:pPr>
                              <w:spacing w:line="240" w:lineRule="auto"/>
                              <w:ind w:left="0" w:firstLineChars="0" w:firstLine="0"/>
                              <w:jc w:val="both"/>
                              <w:rPr>
                                <w:b/>
                                <w:bCs/>
                                <w:color w:val="FF0000"/>
                                <w:highlight w:val="yellow"/>
                              </w:rPr>
                            </w:pPr>
                            <w:r>
                              <w:rPr>
                                <w:rFonts w:hint="eastAsia"/>
                                <w:b/>
                                <w:bCs/>
                                <w:color w:val="FF0000"/>
                                <w:lang w:val="en-US" w:eastAsia="zh-CN"/>
                                <w:highlight w:val="yellow"/>
                              </w:rPr>
                              <w:t>290</w:t>
                            </w:r>
                            <w:r>
                              <w:rPr>
                                <w:rFonts w:hint="eastAsia"/>
                                <w:b/>
                                <w:bCs/>
                                <w:color w:val="FF0000"/>
                                <w:highlight w:val="yellow"/>
                              </w:rPr>
                              <w:t>m</w:t>
                            </w:r>
                          </w:p>
                        </w:txbxContent>
                      </wps:txbx>
                      <wps:bodyPr vert="horz" wrap="square" lIns="91440" tIns="45720" rIns="91440" bIns="45720" anchor="ctr" anchorCtr="0" upright="0">
                        <a:noAutofit/>
                      </wps:bodyPr>
                    </wps:wsp>
                  </a:graphicData>
                </a:graphic>
              </wp:anchor>
            </w:drawing>
          </mc:Choice>
          <mc:Fallback>
            <w:pict>
              <v:rect type="#_x0000_t1" id="矩形 78" o:spid="_x0000_s147" filled="f" stroked="f" strokeweight="1.0pt" style="position:absolute;margin-left:348.55pt;margin-top:273.9pt;width:51.249985pt;height:21.0pt;z-index:494;mso-position-horizontal:absolute;mso-position-vertical:absolute;mso-wrap-style:square;">
                <v:stroke/>
                <v:textbox id="925" inset="2.54mm,1.27mm,2.54mm,1.27mm" o:insetmode="custom" style="layout-flow:horizontal;v-text-anchor:middle;">
                  <w:txbxContent>
                    <w:p>
                      <w:pPr>
                        <w:spacing w:line="240" w:lineRule="auto"/>
                        <w:ind w:left="0" w:firstLineChars="0" w:firstLine="0"/>
                        <w:jc w:val="both"/>
                        <w:rPr>
                          <w:b/>
                          <w:bCs/>
                          <w:color w:val="FF0000"/>
                          <w:highlight w:val="yellow"/>
                        </w:rPr>
                      </w:pPr>
                      <w:r>
                        <w:rPr>
                          <w:rFonts w:hint="eastAsia"/>
                          <w:b/>
                          <w:bCs/>
                          <w:color w:val="FF0000"/>
                          <w:lang w:val="en-US" w:eastAsia="zh-CN"/>
                          <w:highlight w:val="yellow"/>
                        </w:rPr>
                        <w:t>290</w:t>
                      </w:r>
                      <w:r>
                        <w:rPr>
                          <w:rFonts w:hint="eastAsia"/>
                          <w:b/>
                          <w:bCs/>
                          <w:color w:val="FF0000"/>
                          <w:highlight w:val="yellow"/>
                        </w:rPr>
                        <w:t>m</w:t>
                      </w:r>
                    </w:p>
                  </w:txbxContent>
                </v:textbox>
              </v:rect>
            </w:pict>
          </mc:Fallback>
        </mc:AlternateContent>
      </w:r>
      <w:r>
        <w:rPr>
          <w:rFonts w:eastAsia="宋体" w:hint="eastAsia"/>
          <w:color w:val="auto"/>
          <w:lang w:eastAsia="zh-CN"/>
        </w:rPr>
        <mc:AlternateContent>
          <mc:Choice Requires="wps">
            <w:drawing>
              <wp:anchor distT="0" distB="0" distL="114300" distR="114300" simplePos="0" relativeHeight="492" behindDoc="0" locked="0" layoutInCell="1" hidden="0" allowOverlap="1">
                <wp:simplePos x="0" y="0"/>
                <wp:positionH relativeFrom="column">
                  <wp:posOffset>3207385</wp:posOffset>
                </wp:positionH>
                <wp:positionV relativeFrom="paragraph">
                  <wp:posOffset>2374264</wp:posOffset>
                </wp:positionV>
                <wp:extent cx="875665" cy="421639"/>
                <wp:wrapNone/>
                <wp:docPr id="303" name="矩形 303"/>
                <wp:cNvGraphicFramePr>
                  <a:graphicFrameLocks noChangeAspect="0"/>
                </wp:cNvGraphicFramePr>
                <a:graphic>
                  <a:graphicData uri="http://schemas.microsoft.com/office/word/2010/wordprocessingShape">
                    <wps:wsp>
                      <wps:cNvSpPr/>
                      <wps:spPr>
                        <a:xfrm rot="0">
                          <a:off x="0" y="0"/>
                          <a:ext cx="875665" cy="421639"/>
                        </a:xfrm>
                        <a:prstGeom prst="rect"/>
                        <a:noFill/>
                        <a:ln w="12700" cmpd="sng" cap="flat">
                          <a:noFill/>
                          <a:prstDash val="solid"/>
                          <a:miter/>
                        </a:ln>
                      </wps:spPr>
                      <wps:style>
                        <a:lnRef idx="2">
                          <a:schemeClr val="dk1"/>
                        </a:lnRef>
                        <a:fillRef idx="1">
                          <a:schemeClr val="lt1"/>
                        </a:fillRef>
                        <a:effectRef idx="0">
                          <a:schemeClr val="dk1"/>
                        </a:effectRef>
                        <a:fontRef idx="minor">
                          <a:schemeClr val="dk1"/>
                        </a:fontRef>
                      </wps:style>
                      <wps:txbx id="148">
                        <w:txbxContent>
                          <w:p>
                            <w:pPr>
                              <w:ind w:left="0" w:firstLineChars="0" w:firstLine="0"/>
                              <w:jc w:val="both"/>
                              <w:rPr>
                                <w:b/>
                                <w:bCs/>
                                <w:color w:val="FF0000"/>
                                <w:sz w:val="24"/>
                              </w:rPr>
                            </w:pPr>
                            <w:r>
                              <w:rPr>
                                <w:rFonts w:hint="eastAsia"/>
                                <w:b/>
                                <w:bCs/>
                                <w:color w:val="FF0000"/>
                                <w:sz w:val="24"/>
                              </w:rPr>
                              <w:t>前彪冢村</w:t>
                            </w:r>
                          </w:p>
                        </w:txbxContent>
                      </wps:txbx>
                      <wps:bodyPr vert="horz" wrap="square" lIns="91440" tIns="45720" rIns="91440" bIns="45720" anchor="ctr" anchorCtr="0" upright="0">
                        <a:noAutofit/>
                      </wps:bodyPr>
                    </wps:wsp>
                  </a:graphicData>
                </a:graphic>
              </wp:anchor>
            </w:drawing>
          </mc:Choice>
          <mc:Fallback>
            <w:pict>
              <v:rect type="#_x0000_t1" id="矩形 303" o:spid="_x0000_s149" filled="f" stroked="f" strokeweight="1.0pt" style="position:absolute;margin-left:252.55pt;margin-top:186.95pt;width:68.95001pt;height:33.199997pt;z-index:492;mso-position-horizontal:absolute;mso-position-vertical:absolute;mso-wrap-style:square;">
                <v:stroke/>
                <v:textbox id="926" inset="2.54mm,1.27mm,2.54mm,1.27mm" o:insetmode="custom" style="layout-flow:horizontal;v-text-anchor:middle;">
                  <w:txbxContent>
                    <w:p>
                      <w:pPr>
                        <w:ind w:left="0" w:firstLineChars="0" w:firstLine="0"/>
                        <w:jc w:val="both"/>
                        <w:rPr>
                          <w:b/>
                          <w:bCs/>
                          <w:color w:val="FF0000"/>
                          <w:sz w:val="24"/>
                        </w:rPr>
                      </w:pPr>
                      <w:r>
                        <w:rPr>
                          <w:rFonts w:hint="eastAsia"/>
                          <w:b/>
                          <w:bCs/>
                          <w:color w:val="FF0000"/>
                          <w:sz w:val="24"/>
                        </w:rPr>
                        <w:t>前彪冢村</w:t>
                      </w:r>
                    </w:p>
                  </w:txbxContent>
                </v:textbox>
              </v:rect>
            </w:pict>
          </mc:Fallback>
        </mc:AlternateContent>
      </w:r>
      <w:r>
        <w:rPr>
          <w:rFonts w:eastAsia="宋体" w:hint="eastAsia"/>
          <w:color w:val="auto"/>
          <w:lang w:eastAsia="zh-CN"/>
        </w:rPr>
        <w:drawing>
          <wp:anchor distT="0" distB="0" distL="114300" distR="114300" simplePos="0" relativeHeight="486" behindDoc="0" locked="0" layoutInCell="1" hidden="0" allowOverlap="1">
            <wp:simplePos x="0" y="0"/>
            <wp:positionH relativeFrom="column">
              <wp:posOffset>7991475</wp:posOffset>
            </wp:positionH>
            <wp:positionV relativeFrom="paragraph">
              <wp:posOffset>38100</wp:posOffset>
            </wp:positionV>
            <wp:extent cx="756285" cy="676909"/>
            <wp:effectExtent l="0" t="0" r="5715" b="8889"/>
            <wp:wrapNone/>
            <wp:docPr id="1078" name="图片 1078" descr="图片1"/>
            <wp:cNvGraphicFramePr>
              <a:graphicFrameLocks noChangeAspect="1"/>
            </wp:cNvGraphicFramePr>
            <a:graphic>
              <a:graphicData uri="http://schemas.openxmlformats.org/drawingml/2006/picture">
                <pic:pic>
                  <pic:nvPicPr>
                    <pic:cNvPr id="150" name="图片 150"/>
                    <pic:cNvPicPr/>
                  </pic:nvPicPr>
                  <pic:blipFill>
                    <a:blip r:embed="rId65"/>
                    <a:stretch>
                      <a:fillRect/>
                    </a:stretch>
                  </pic:blipFill>
                  <pic:spPr>
                    <a:xfrm rot="0">
                      <a:off x="0" y="0"/>
                      <a:ext cx="756285" cy="676909"/>
                    </a:xfrm>
                    <a:prstGeom prst="rect"/>
                    <a:noFill/>
                    <a:ln w="9525" cmpd="sng" cap="flat">
                      <a:noFill/>
                      <a:prstDash val="solid"/>
                      <a:miter/>
                    </a:ln>
                  </pic:spPr>
                </pic:pic>
              </a:graphicData>
            </a:graphic>
          </wp:anchor>
        </w:drawing>
      </w:r>
      <w:r>
        <w:rPr>
          <w:rFonts w:eastAsia="宋体" w:hint="eastAsia"/>
          <w:color w:val="auto"/>
          <w:lang w:eastAsia="zh-CN"/>
        </w:rPr>
        <mc:AlternateContent>
          <mc:Choice Requires="wps">
            <w:drawing>
              <wp:anchor distT="0" distB="0" distL="114300" distR="114300" simplePos="0" relativeHeight="490" behindDoc="0" locked="0" layoutInCell="1" hidden="0" allowOverlap="1">
                <wp:simplePos x="0" y="0"/>
                <wp:positionH relativeFrom="column">
                  <wp:posOffset>4318634</wp:posOffset>
                </wp:positionH>
                <wp:positionV relativeFrom="paragraph">
                  <wp:posOffset>2998470</wp:posOffset>
                </wp:positionV>
                <wp:extent cx="171450" cy="1381125"/>
                <wp:effectExtent l="41910" t="0" r="15240" b="9525"/>
                <wp:wrapNone/>
                <wp:docPr id="44" name="直接箭头连接符 44"/>
                <wp:cNvGraphicFramePr>
                  <a:graphicFrameLocks noChangeAspect="0"/>
                </wp:cNvGraphicFramePr>
                <a:graphic>
                  <a:graphicData uri="http://schemas.microsoft.com/office/word/2010/wordprocessingShape">
                    <wps:wsp>
                      <wps:cNvSpPr/>
                      <wps:spPr>
                        <a:xfrm flipH="1" flipV="1" rot="0">
                          <a:off x="0" y="0"/>
                          <a:ext cx="171450" cy="1381125"/>
                        </a:xfrm>
                        <a:prstGeom prst="straightConnector1"/>
                        <a:ln w="19050" cmpd="sng" cap="flat">
                          <a:solidFill>
                            <a:srgbClr val="FF0000"/>
                          </a:solidFill>
                          <a:prstDash val="solid"/>
                          <a:miter/>
                          <a:tailEnd type="arrow" w="med" len="med"/>
                        </a:ln>
                      </wps:spPr>
                      <wps:style>
                        <a:lnRef idx="3">
                          <a:schemeClr val="dk1"/>
                        </a:lnRef>
                        <a:fillRef idx="0">
                          <a:schemeClr val="dk1"/>
                        </a:fillRef>
                        <a:effectRef idx="2">
                          <a:schemeClr val="dk1"/>
                        </a:effectRef>
                        <a:fontRef idx="minor">
                          <a:schemeClr val="tx1"/>
                        </a:fontRef>
                      </wps:style>
                      <wps:bodyPr vert="horz" wrap="square" lIns="91440" tIns="45720" rIns="91440" bIns="45720" anchor="t" anchorCtr="0" upright="0">
                        <a:noAutofit/>
                      </wps:bodyPr>
                    </wps:wsp>
                  </a:graphicData>
                </a:graphic>
              </wp:anchor>
            </w:drawing>
          </mc:Choice>
          <mc:Fallback>
            <w:pict>
              <v:shape type="#_x0000_t32" id="直接箭头连接符 44" o:spid="_x0000_s151" filled="f" stroked="t" strokeweight="1.5pt" style="position:absolute;margin-left:340.04996pt;margin-top:236.1pt;width:13.5pt;height:108.75003pt;flip:x y;z-index:490;mso-position-horizontal:absolute;mso-position-vertical:absolute;">
                <v:stroke color="#FF0000" endarrow="open"/>
              </v:shape>
            </w:pict>
          </mc:Fallback>
        </mc:AlternateContent>
      </w:r>
      <w:r>
        <w:rPr>
          <w:rFonts w:eastAsia="宋体" w:hint="eastAsia"/>
          <w:color w:val="auto"/>
          <w:lang w:eastAsia="zh-CN"/>
        </w:rPr>
        <w:drawing>
          <wp:inline distT="0" distB="0" distL="114300" distR="114300">
            <wp:extent cx="8554719" cy="5542280"/>
            <wp:effectExtent l="0" t="0" r="0" b="0"/>
            <wp:docPr id="1079" name="图片 1079"/>
            <wp:cNvGraphicFramePr>
              <a:graphicFrameLocks noChangeAspect="1"/>
            </wp:cNvGraphicFramePr>
            <a:graphic>
              <a:graphicData uri="http://schemas.openxmlformats.org/drawingml/2006/picture">
                <pic:pic>
                  <pic:nvPicPr>
                    <pic:cNvPr id="153" name="图片 153"/>
                    <pic:cNvPicPr/>
                  </pic:nvPicPr>
                  <pic:blipFill>
                    <a:blip r:embed="rId66"/>
                    <a:stretch>
                      <a:fillRect/>
                    </a:stretch>
                  </pic:blipFill>
                  <pic:spPr>
                    <a:xfrm rot="0">
                      <a:off x="0" y="0"/>
                      <a:ext cx="8554719" cy="554228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pPr>
      <w:r>
        <w:rPr>
          <w:rFonts w:eastAsia="宋体" w:hint="eastAsia"/>
          <w:b/>
          <w:bCs/>
          <w:color w:val="auto"/>
          <w:lang w:val="en-US" w:eastAsia="zh-CN"/>
        </w:rPr>
        <w:t>附图2  项目周边关系图</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eastAsia="zh-CN"/>
        </w:rPr>
        <w:sectPr>
          <w:pgSz w:w="16838" w:h="11906" w:orient="landscape"/>
          <w:pgMar w:top="1417" w:right="1417" w:bottom="1417" w:left="1417" w:header="851" w:footer="850" w:gutter="0"/>
          <w:cols w:num="1" w:space="0"/>
          <w:rtlGutter/>
          <w:docGrid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eastAsia="zh-CN"/>
        </w:rPr>
      </w:pPr>
      <w:r>
        <w:rPr>
          <w:color w:val="auto"/>
          <w:sz w:val="24"/>
        </w:rPr>
        <mc:AlternateContent>
          <mc:Choice Requires="wps">
            <w:drawing>
              <wp:anchor distT="0" distB="0" distL="114300" distR="114300" simplePos="0" relativeHeight="556" behindDoc="0" locked="0" layoutInCell="1" hidden="0" allowOverlap="1">
                <wp:simplePos x="0" y="0"/>
                <wp:positionH relativeFrom="column">
                  <wp:posOffset>1864360</wp:posOffset>
                </wp:positionH>
                <wp:positionV relativeFrom="paragraph">
                  <wp:posOffset>107314</wp:posOffset>
                </wp:positionV>
                <wp:extent cx="953135" cy="275590"/>
                <wp:wrapNone/>
                <wp:docPr id="123" name="文本框 123"/>
                <wp:cNvGraphicFramePr>
                  <a:graphicFrameLocks noChangeAspect="0"/>
                </wp:cNvGraphicFramePr>
                <a:graphic>
                  <a:graphicData uri="http://schemas.microsoft.com/office/word/2010/wordprocessingShape">
                    <wps:wsp>
                      <wps:cNvSpPr/>
                      <wps:spPr>
                        <a:xfrm rot="0">
                          <a:off x="0" y="0"/>
                          <a:ext cx="953135" cy="275590"/>
                        </a:xfrm>
                        <a:prstGeom prst="rect"/>
                        <a:noFill/>
                        <a:ln w="6350" cmpd="sng" cap="flat">
                          <a:noFill/>
                          <a:prstDash val="solid"/>
                          <a:round/>
                        </a:ln>
                      </wps:spPr>
                      <wps:txbx id="154">
                        <w:txbxContent>
                          <w:p>
                            <w:pPr>
                              <w:ind w:left="0" w:firstLineChars="0" w:firstLine="0"/>
                              <w:rPr>
                                <w:lang w:val="en-US" w:eastAsia="zh-CN"/>
                              </w:rPr>
                            </w:pPr>
                            <w:r>
                              <w:rPr>
                                <w:rFonts w:hint="eastAsia"/>
                                <w:lang w:val="en-US" w:eastAsia="zh-CN"/>
                              </w:rPr>
                              <w:t>一般固废间</w:t>
                            </w:r>
                          </w:p>
                        </w:txbxContent>
                      </wps:txbx>
                      <wps:bodyPr vert="horz" wrap="square" lIns="91440" tIns="45720" rIns="91440" bIns="45720" anchor="t" anchorCtr="0" upright="0">
                        <a:noAutofit/>
                      </wps:bodyPr>
                    </wps:wsp>
                  </a:graphicData>
                </a:graphic>
              </wp:anchor>
            </w:drawing>
          </mc:Choice>
          <mc:Fallback>
            <w:pict>
              <v:rect type="#_x0000_t1" id="文本框 123" o:spid="_x0000_s155" filled="f" stroked="f" strokeweight="0.5pt" style="position:absolute;margin-left:146.8pt;margin-top:8.45pt;width:75.05001pt;height:21.7pt;z-index:556;mso-position-horizontal:absolute;mso-position-vertical:absolute;mso-wrap-style:square;">
                <v:stroke/>
                <v:textbox id="929" inset="2.54mm,1.27mm,2.54mm,1.27mm" o:insetmode="custom" style="layout-flow:horizontal;v-text-anchor:top;">
                  <w:txbxContent>
                    <w:p>
                      <w:pPr>
                        <w:ind w:left="0" w:firstLineChars="0" w:firstLine="0"/>
                        <w:rPr>
                          <w:lang w:val="en-US" w:eastAsia="zh-CN"/>
                        </w:rPr>
                      </w:pPr>
                      <w:r>
                        <w:rPr>
                          <w:rFonts w:hint="eastAsia"/>
                          <w:lang w:val="en-US" w:eastAsia="zh-CN"/>
                        </w:rPr>
                        <w:t>一般固废间</w:t>
                      </w:r>
                    </w:p>
                  </w:txbxContent>
                </v:textbox>
              </v:rect>
            </w:pict>
          </mc:Fallback>
        </mc:AlternateContent>
      </w:r>
      <w:r>
        <w:rPr>
          <w:color w:val="auto"/>
          <w:sz w:val="24"/>
        </w:rPr>
        <mc:AlternateContent>
          <mc:Choice Requires="wps">
            <w:drawing>
              <wp:anchor distT="0" distB="0" distL="114300" distR="114300" simplePos="0" relativeHeight="554" behindDoc="0" locked="0" layoutInCell="1" hidden="0" allowOverlap="1">
                <wp:simplePos x="0" y="0"/>
                <wp:positionH relativeFrom="column">
                  <wp:posOffset>2155189</wp:posOffset>
                </wp:positionH>
                <wp:positionV relativeFrom="paragraph">
                  <wp:posOffset>328929</wp:posOffset>
                </wp:positionV>
                <wp:extent cx="374650" cy="173989"/>
                <wp:effectExtent l="4444" t="5080" r="20955" b="11430"/>
                <wp:wrapNone/>
                <wp:docPr id="121" name="文本框 121"/>
                <wp:cNvGraphicFramePr>
                  <a:graphicFrameLocks noChangeAspect="0"/>
                </wp:cNvGraphicFramePr>
                <a:graphic>
                  <a:graphicData uri="http://schemas.microsoft.com/office/word/2010/wordprocessingShape">
                    <wps:wsp>
                      <wps:cNvSpPr/>
                      <wps:spPr>
                        <a:xfrm rot="0">
                          <a:off x="0" y="0"/>
                          <a:ext cx="374650" cy="173989"/>
                        </a:xfrm>
                        <a:prstGeom prst="rect"/>
                        <a:solidFill>
                          <a:srgbClr val="FFFFFF"/>
                        </a:solidFill>
                        <a:ln w="6350" cmpd="sng" cap="flat">
                          <a:solidFill>
                            <a:srgbClr val="000000"/>
                          </a:solidFill>
                          <a:prstDash val="solid"/>
                          <a:round/>
                        </a:ln>
                      </wps:spPr>
                      <wps:txbx id="156">
                        <w:txbxContent>
                          <w:p>
                            <w:pPr>
                              <w:rPr>
                                <w:rFonts w:hint="eastAsia"/>
                                <w:lang w:val="en-US" w:eastAsia="zh-CN"/>
                              </w:rPr>
                            </w:pPr>
                          </w:p>
                        </w:txbxContent>
                      </wps:txbx>
                      <wps:bodyPr vert="horz" wrap="square" lIns="91440" tIns="45720" rIns="91440" bIns="45720" anchor="t" anchorCtr="0" upright="0">
                        <a:noAutofit/>
                      </wps:bodyPr>
                    </wps:wsp>
                  </a:graphicData>
                </a:graphic>
              </wp:anchor>
            </w:drawing>
          </mc:Choice>
          <mc:Fallback>
            <w:pict>
              <v:rect type="#_x0000_t1" id="文本框 121" o:spid="_x0000_s157" fillcolor="#FFFFFF" stroked="t" strokeweight="0.5pt" style="position:absolute;margin-left:169.7pt;margin-top:25.9pt;width:29.500008pt;height:13.7pt;z-index:554;mso-position-horizontal:absolute;mso-position-vertical:absolute;mso-wrap-style:square;">
                <v:stroke color="#000000"/>
                <v:textbox id="930" inset="2.54mm,1.27mm,2.54mm,1.27mm" o:insetmode="custom" style="layout-flow:horizontal;v-text-anchor:top;">
                  <w:txbxContent>
                    <w:p>
                      <w:pPr>
                        <w:rPr>
                          <w:rFonts w:hint="eastAsia"/>
                          <w:lang w:val="en-US" w:eastAsia="zh-CN"/>
                        </w:rPr>
                      </w:pPr>
                    </w:p>
                  </w:txbxContent>
                </v:textbox>
              </v:rect>
            </w:pict>
          </mc:Fallback>
        </mc:AlternateContent>
      </w:r>
      <w:r>
        <w:rPr>
          <w:color w:val="auto"/>
          <w:sz w:val="24"/>
        </w:rPr>
        <mc:AlternateContent>
          <mc:Choice Requires="wps">
            <w:drawing>
              <wp:anchor distT="0" distB="0" distL="114300" distR="114300" simplePos="0" relativeHeight="544" behindDoc="0" locked="0" layoutInCell="1" hidden="0" allowOverlap="1">
                <wp:simplePos x="0" y="0"/>
                <wp:positionH relativeFrom="column">
                  <wp:posOffset>914400</wp:posOffset>
                </wp:positionH>
                <wp:positionV relativeFrom="paragraph">
                  <wp:posOffset>6864350</wp:posOffset>
                </wp:positionV>
                <wp:extent cx="1942465" cy="666750"/>
                <wp:effectExtent l="6350" t="6350" r="13335" b="12700"/>
                <wp:wrapNone/>
                <wp:docPr id="34" name="文本框 34"/>
                <wp:cNvGraphicFramePr>
                  <a:graphicFrameLocks noChangeAspect="0"/>
                </wp:cNvGraphicFramePr>
                <a:graphic>
                  <a:graphicData uri="http://schemas.microsoft.com/office/word/2010/wordprocessingShape">
                    <wps:wsp>
                      <wps:cNvSpPr/>
                      <wps:spPr>
                        <a:xfrm rot="0">
                          <a:off x="0" y="0"/>
                          <a:ext cx="1942465" cy="666750"/>
                        </a:xfrm>
                        <a:prstGeom prst="rect"/>
                        <a:noFill/>
                        <a:ln w="12700" cmpd="sng" cap="flat">
                          <a:solidFill>
                            <a:srgbClr val="5B9BD5"/>
                          </a:solidFill>
                          <a:prstDash val="dash"/>
                          <a:miter/>
                        </a:ln>
                      </wps:spPr>
                      <wps:txbx id="158">
                        <w:txbxContent>
                          <w:p>
                            <w:pPr>
                              <w:spacing w:line="240" w:lineRule="auto"/>
                              <w:ind w:left="0" w:right="0" w:firstLineChars="0" w:firstLine="0"/>
                              <w:jc w:val="center"/>
                              <w:rPr>
                                <w:rFonts w:hint="eastAsia"/>
                                <w:lang w:val="en-US" w:eastAsia="zh-CN"/>
                              </w:rPr>
                            </w:pPr>
                            <w:r>
                              <w:rPr>
                                <w:rFonts w:hint="eastAsia"/>
                                <w:lang w:val="en-US" w:eastAsia="zh-CN"/>
                              </w:rPr>
                              <w:t>图例</w:t>
                            </w:r>
                          </w:p>
                          <w:p>
                            <w:pPr>
                              <w:spacing w:line="240" w:lineRule="auto"/>
                              <w:ind w:left="0" w:right="0" w:firstLineChars="0" w:firstLine="0"/>
                              <w:jc w:val="both"/>
                              <w:rPr>
                                <w:rFonts w:hint="eastAsia"/>
                                <w:sz w:val="22"/>
                                <w:szCs w:val="22"/>
                                <w:lang w:val="en-US" w:eastAsia="zh-CN"/>
                              </w:rPr>
                            </w:pPr>
                            <w:r>
                              <w:rPr>
                                <w:rFonts w:hint="eastAsia"/>
                                <w:sz w:val="22"/>
                                <w:szCs w:val="22"/>
                                <w:lang w:val="en-US" w:eastAsia="zh-CN"/>
                              </w:rPr>
                              <w:t>□废气治理设施</w:t>
                            </w:r>
                          </w:p>
                          <w:p>
                            <w:pPr>
                              <w:spacing w:line="240" w:lineRule="auto"/>
                              <w:ind w:left="0" w:right="0" w:firstLineChars="0" w:firstLine="0"/>
                              <w:jc w:val="both"/>
                              <w:rPr>
                                <w:sz w:val="22"/>
                                <w:szCs w:val="22"/>
                                <w:lang w:val="en-US" w:eastAsia="zh-CN"/>
                              </w:rPr>
                            </w:pPr>
                            <w:r>
                              <w:rPr>
                                <w:rFonts w:hint="eastAsia"/>
                                <w:sz w:val="22"/>
                                <w:szCs w:val="22"/>
                                <w:lang w:val="en-US" w:eastAsia="zh-CN"/>
                              </w:rPr>
                              <w:t>○排气筒</w:t>
                            </w:r>
                          </w:p>
                        </w:txbxContent>
                      </wps:txbx>
                      <wps:bodyPr vert="horz" wrap="square" lIns="91440" tIns="45720" rIns="91440" bIns="45720" anchor="t" anchorCtr="0" upright="0">
                        <a:noAutofit/>
                      </wps:bodyPr>
                    </wps:wsp>
                  </a:graphicData>
                </a:graphic>
              </wp:anchor>
            </w:drawing>
          </mc:Choice>
          <mc:Fallback>
            <w:pict>
              <v:rect type="#_x0000_t1" id="文本框 34" o:spid="_x0000_s159" filled="f" stroked="t" strokeweight="1.0pt" style="position:absolute;margin-left:72.0pt;margin-top:540.5pt;width:152.95001pt;height:52.5pt;z-index:544;mso-position-horizontal:absolute;mso-position-vertical:absolute;mso-wrap-style:square;">
                <v:stroke dashstyle="dash" color="#5B9BD5"/>
                <v:textbox id="931" inset="2.54mm,1.27mm,2.54mm,1.27mm" o:insetmode="custom" style="layout-flow:horizontal;v-text-anchor:top;">
                  <w:txbxContent>
                    <w:p>
                      <w:pPr>
                        <w:spacing w:line="240" w:lineRule="auto"/>
                        <w:ind w:left="0" w:right="0" w:firstLineChars="0" w:firstLine="0"/>
                        <w:jc w:val="center"/>
                        <w:rPr>
                          <w:rFonts w:hint="eastAsia"/>
                          <w:lang w:val="en-US" w:eastAsia="zh-CN"/>
                        </w:rPr>
                      </w:pPr>
                      <w:r>
                        <w:rPr>
                          <w:rFonts w:hint="eastAsia"/>
                          <w:lang w:val="en-US" w:eastAsia="zh-CN"/>
                        </w:rPr>
                        <w:t>图例</w:t>
                      </w:r>
                    </w:p>
                    <w:p>
                      <w:pPr>
                        <w:spacing w:line="240" w:lineRule="auto"/>
                        <w:ind w:left="0" w:right="0" w:firstLineChars="0" w:firstLine="0"/>
                        <w:jc w:val="both"/>
                        <w:rPr>
                          <w:rFonts w:hint="eastAsia"/>
                          <w:sz w:val="22"/>
                          <w:szCs w:val="22"/>
                          <w:lang w:val="en-US" w:eastAsia="zh-CN"/>
                        </w:rPr>
                      </w:pPr>
                      <w:r>
                        <w:rPr>
                          <w:rFonts w:hint="eastAsia"/>
                          <w:sz w:val="22"/>
                          <w:szCs w:val="22"/>
                          <w:lang w:val="en-US" w:eastAsia="zh-CN"/>
                        </w:rPr>
                        <w:t>□废气治理设施</w:t>
                      </w:r>
                    </w:p>
                    <w:p>
                      <w:pPr>
                        <w:spacing w:line="240" w:lineRule="auto"/>
                        <w:ind w:left="0" w:right="0" w:firstLineChars="0" w:firstLine="0"/>
                        <w:jc w:val="both"/>
                        <w:rPr>
                          <w:sz w:val="22"/>
                          <w:szCs w:val="22"/>
                          <w:lang w:val="en-US" w:eastAsia="zh-CN"/>
                        </w:rPr>
                      </w:pPr>
                      <w:r>
                        <w:rPr>
                          <w:rFonts w:hint="eastAsia"/>
                          <w:sz w:val="22"/>
                          <w:szCs w:val="22"/>
                          <w:lang w:val="en-US" w:eastAsia="zh-CN"/>
                        </w:rPr>
                        <w:t>○排气筒</w:t>
                      </w:r>
                    </w:p>
                  </w:txbxContent>
                </v:textbox>
              </v:rect>
            </w:pict>
          </mc:Fallback>
        </mc:AlternateContent>
      </w:r>
      <w:r>
        <w:rPr>
          <w:color w:val="auto"/>
          <w:sz w:val="24"/>
        </w:rPr>
        <w:drawing>
          <wp:inline distT="0" distB="0" distL="114300" distR="114300">
            <wp:extent cx="5676900" cy="7667625"/>
            <wp:effectExtent l="0" t="0" r="1" b="0"/>
            <wp:docPr id="1080" name="图片 8"/>
            <wp:cNvGraphicFramePr>
              <a:graphicFrameLocks noChangeAspect="1"/>
            </wp:cNvGraphicFramePr>
            <a:graphic>
              <a:graphicData uri="http://schemas.openxmlformats.org/drawingml/2006/picture">
                <pic:pic>
                  <pic:nvPicPr>
                    <pic:cNvPr id="161" name="图片 8 161"/>
                    <pic:cNvPicPr/>
                  </pic:nvPicPr>
                  <pic:blipFill>
                    <a:blip r:embed="rId67"/>
                    <a:stretch>
                      <a:fillRect/>
                    </a:stretch>
                  </pic:blipFill>
                  <pic:spPr>
                    <a:xfrm rot="0">
                      <a:off x="0" y="0"/>
                      <a:ext cx="5676900" cy="7667625"/>
                    </a:xfrm>
                    <a:prstGeom prst="rect"/>
                    <a:noFill/>
                    <a:ln cmpd="sng" cap="flat">
                      <a:noFill/>
                      <a:prstDash val="solid"/>
                      <a:round/>
                    </a:ln>
                  </pic:spPr>
                </pic:pic>
              </a:graphicData>
            </a:graphic>
          </wp:inline>
        </w:drawing>
      </w:r>
      <w:r>
        <w:rPr>
          <w:rFonts w:eastAsia="宋体" w:hint="eastAsia"/>
          <w:color w:val="auto"/>
          <w:lang w:eastAsia="zh-CN"/>
        </w:rPr>
        <w:drawing>
          <wp:anchor distT="0" distB="0" distL="114300" distR="114300" simplePos="0" relativeHeight="522" behindDoc="0" locked="0" layoutInCell="1" hidden="0" allowOverlap="1">
            <wp:simplePos x="0" y="0"/>
            <wp:positionH relativeFrom="column">
              <wp:posOffset>5625465</wp:posOffset>
            </wp:positionH>
            <wp:positionV relativeFrom="paragraph">
              <wp:posOffset>127635</wp:posOffset>
            </wp:positionV>
            <wp:extent cx="756285" cy="676909"/>
            <wp:effectExtent l="0" t="0" r="5715" b="8889"/>
            <wp:wrapNone/>
            <wp:docPr id="1081" name="图片 1081" descr="图片1"/>
            <wp:cNvGraphicFramePr>
              <a:graphicFrameLocks noChangeAspect="1"/>
            </wp:cNvGraphicFramePr>
            <a:graphic>
              <a:graphicData uri="http://schemas.openxmlformats.org/drawingml/2006/picture">
                <pic:pic>
                  <pic:nvPicPr>
                    <pic:cNvPr id="162" name="图片 162"/>
                    <pic:cNvPicPr/>
                  </pic:nvPicPr>
                  <pic:blipFill>
                    <a:blip r:embed="rId68"/>
                    <a:stretch>
                      <a:fillRect/>
                    </a:stretch>
                  </pic:blipFill>
                  <pic:spPr>
                    <a:xfrm rot="0">
                      <a:off x="0" y="0"/>
                      <a:ext cx="756285" cy="676909"/>
                    </a:xfrm>
                    <a:prstGeom prst="rect"/>
                    <a:noFill/>
                    <a:ln w="9525" cmpd="sng" cap="flat">
                      <a:noFill/>
                      <a:prstDash val="solid"/>
                      <a:miter/>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sectPr>
          <w:pgSz w:w="11906" w:h="16838"/>
          <w:pgMar w:top="1417" w:right="1417" w:bottom="1417" w:left="1417" w:header="851" w:footer="850" w:gutter="0"/>
          <w:cols w:num="1" w:space="0"/>
          <w:rtlGutter/>
          <w:docGrid w:linePitch="312" w:charSpace="0"/>
        </w:sectPr>
      </w:pPr>
      <w:r>
        <w:rPr>
          <w:rFonts w:eastAsia="宋体" w:hint="eastAsia"/>
          <w:b/>
          <w:bCs/>
          <w:color w:val="auto"/>
          <w:lang w:val="en-US" w:eastAsia="zh-CN"/>
        </w:rPr>
        <w:t>附图3-1  厂区总平面布置图                比例尺1:10</w:t>
      </w:r>
      <w:r>
        <w:rPr>
          <w:rFonts w:hint="eastAsia"/>
          <w:b/>
          <w:bCs/>
          <w:color w:val="auto"/>
          <w:lang w:val="en-US" w:eastAsia="zh-CN"/>
        </w:rPr>
        <w:t>00</w:t>
      </w:r>
      <w:r>
        <w:rPr>
          <w:rFonts w:eastAsia="宋体" w:hint="eastAsia"/>
          <w:b/>
          <w:bCs/>
          <w:color w:val="auto"/>
          <w:lang w:val="en-US" w:eastAsia="zh-CN"/>
        </w:rPr>
        <w:t>00</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pPr>
      <w:r>
        <w:rPr>
          <w:rFonts w:eastAsia="宋体" w:hint="eastAsia"/>
          <w:b/>
          <w:bCs/>
          <w:color w:val="auto"/>
          <w:lang w:val="en-US" w:eastAsia="zh-CN"/>
        </w:rPr>
        <w:drawing>
          <wp:inline distT="0" distB="0" distL="114300" distR="114300">
            <wp:extent cx="4828540" cy="7985125"/>
            <wp:effectExtent l="0" t="0" r="0" b="1"/>
            <wp:docPr id="1082" name="图片 6"/>
            <wp:cNvGraphicFramePr>
              <a:graphicFrameLocks noChangeAspect="1"/>
            </wp:cNvGraphicFramePr>
            <a:graphic>
              <a:graphicData uri="http://schemas.openxmlformats.org/drawingml/2006/picture">
                <pic:pic>
                  <pic:nvPicPr>
                    <pic:cNvPr id="164" name="图片 6 164"/>
                    <pic:cNvPicPr/>
                  </pic:nvPicPr>
                  <pic:blipFill>
                    <a:blip r:embed="rId69"/>
                    <a:stretch>
                      <a:fillRect/>
                    </a:stretch>
                  </pic:blipFill>
                  <pic:spPr>
                    <a:xfrm rot="0">
                      <a:off x="0" y="0"/>
                      <a:ext cx="4828540" cy="798512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b/>
          <w:bCs/>
          <w:color w:val="auto"/>
          <w:lang w:val="en-US" w:eastAsia="zh-CN"/>
        </w:rPr>
        <w:sectPr>
          <w:pgSz w:w="11906" w:h="16838"/>
          <w:pgMar w:top="1417" w:right="1417" w:bottom="1417" w:left="1417" w:header="851" w:footer="850" w:gutter="0"/>
          <w:cols w:num="1" w:space="0"/>
          <w:rtlGutter/>
          <w:docGrid w:linePitch="312" w:charSpace="0"/>
        </w:sectPr>
      </w:pPr>
      <w:r>
        <w:rPr>
          <w:rFonts w:eastAsia="宋体" w:hint="eastAsia"/>
          <w:b/>
          <w:bCs/>
          <w:color w:val="auto"/>
          <w:lang w:val="en-US" w:eastAsia="zh-CN"/>
        </w:rPr>
        <w:t>附图3-</w:t>
      </w:r>
      <w:r>
        <w:rPr>
          <w:rFonts w:hint="eastAsia"/>
          <w:b/>
          <w:bCs/>
          <w:color w:val="auto"/>
          <w:lang w:val="en-US" w:eastAsia="zh-CN"/>
        </w:rPr>
        <w:t>2</w:t>
      </w:r>
      <w:r>
        <w:rPr>
          <w:rFonts w:eastAsia="宋体" w:hint="eastAsia"/>
          <w:b/>
          <w:bCs/>
          <w:color w:val="auto"/>
          <w:lang w:val="en-US" w:eastAsia="zh-CN"/>
        </w:rPr>
        <w:t xml:space="preserve">  </w:t>
      </w:r>
      <w:r>
        <w:rPr>
          <w:rFonts w:hint="eastAsia"/>
          <w:b/>
          <w:bCs/>
          <w:color w:val="auto"/>
          <w:lang w:val="en-US" w:eastAsia="zh-CN"/>
        </w:rPr>
        <w:t>技改前</w:t>
      </w:r>
      <w:r>
        <w:rPr>
          <w:rFonts w:eastAsia="宋体" w:hint="eastAsia"/>
          <w:b/>
          <w:bCs/>
          <w:color w:val="auto"/>
          <w:lang w:val="en-US" w:eastAsia="zh-CN"/>
        </w:rPr>
        <w:t>1#车间1层平面布置图                比例尺1:10</w:t>
      </w:r>
      <w:r>
        <w:rPr>
          <w:rFonts w:hint="eastAsia"/>
          <w:b/>
          <w:bCs/>
          <w:color w:val="auto"/>
          <w:lang w:val="en-US" w:eastAsia="zh-CN"/>
        </w:rPr>
        <w:t>000</w:t>
      </w:r>
      <w:r>
        <w:rPr>
          <w:rFonts w:eastAsia="宋体" w:hint="eastAsia"/>
          <w:b/>
          <w:bCs/>
          <w:color w:val="auto"/>
          <w:lang w:val="en-US" w:eastAsia="zh-CN"/>
        </w:rPr>
        <w:t>0</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val="en-US" w:eastAsia="zh-CN"/>
        </w:rPr>
      </w:pPr>
      <w:r>
        <w:rPr>
          <w:rFonts w:eastAsia="宋体" w:hint="eastAsia"/>
          <w:color w:val="auto"/>
          <w:lang w:val="en-US" w:eastAsia="zh-CN"/>
        </w:rPr>
        <w:drawing>
          <wp:inline distT="0" distB="0" distL="114300" distR="114300">
            <wp:extent cx="4410075" cy="7715250"/>
            <wp:effectExtent l="0" t="0" r="0" b="1"/>
            <wp:docPr id="1083" name="图片 8"/>
            <wp:cNvGraphicFramePr>
              <a:graphicFrameLocks noChangeAspect="1"/>
            </wp:cNvGraphicFramePr>
            <a:graphic>
              <a:graphicData uri="http://schemas.openxmlformats.org/drawingml/2006/picture">
                <pic:pic>
                  <pic:nvPicPr>
                    <pic:cNvPr id="166" name="图片 8 166"/>
                    <pic:cNvPicPr/>
                  </pic:nvPicPr>
                  <pic:blipFill>
                    <a:blip r:embed="rId70"/>
                    <a:stretch>
                      <a:fillRect/>
                    </a:stretch>
                  </pic:blipFill>
                  <pic:spPr>
                    <a:xfrm rot="0">
                      <a:off x="0" y="0"/>
                      <a:ext cx="4410075" cy="7715250"/>
                    </a:xfrm>
                    <a:prstGeom prst="rect"/>
                    <a:noFill/>
                    <a:ln cmpd="sng" cap="flat">
                      <a:noFill/>
                      <a:prstDash val="solid"/>
                      <a:round/>
                    </a:ln>
                  </pic:spPr>
                </pic:pic>
              </a:graphicData>
            </a:graphic>
          </wp:inline>
        </w:drawing>
      </w:r>
      <w:r>
        <w:rPr>
          <w:color w:val="auto"/>
          <w:sz w:val="24"/>
        </w:rPr>
        <mc:AlternateContent>
          <mc:Choice Requires="wps">
            <w:drawing>
              <wp:anchor distT="0" distB="0" distL="114300" distR="114300" simplePos="0" relativeHeight="548" behindDoc="0" locked="0" layoutInCell="1" hidden="0" allowOverlap="1">
                <wp:simplePos x="0" y="0"/>
                <wp:positionH relativeFrom="column">
                  <wp:posOffset>4940300</wp:posOffset>
                </wp:positionH>
                <wp:positionV relativeFrom="paragraph">
                  <wp:posOffset>6973569</wp:posOffset>
                </wp:positionV>
                <wp:extent cx="1228725" cy="428625"/>
                <wp:effectExtent l="4444" t="4444" r="5080" b="5080"/>
                <wp:wrapNone/>
                <wp:docPr id="120" name="文本框 120"/>
                <wp:cNvGraphicFramePr>
                  <a:graphicFrameLocks noChangeAspect="0"/>
                </wp:cNvGraphicFramePr>
                <a:graphic>
                  <a:graphicData uri="http://schemas.microsoft.com/office/word/2010/wordprocessingShape">
                    <wps:wsp>
                      <wps:cNvSpPr/>
                      <wps:spPr>
                        <a:xfrm rot="0">
                          <a:off x="0" y="0"/>
                          <a:ext cx="1228725" cy="428625"/>
                        </a:xfrm>
                        <a:prstGeom prst="rect"/>
                        <a:solidFill>
                          <a:srgbClr val="FFFFFF"/>
                        </a:solidFill>
                        <a:ln w="6350" cmpd="sng" cap="flat">
                          <a:solidFill>
                            <a:srgbClr val="000000"/>
                          </a:solidFill>
                          <a:prstDash val="solid"/>
                          <a:round/>
                        </a:ln>
                      </wps:spPr>
                      <wps:txbx id="167">
                        <w:txbxContent>
                          <w:p>
                            <w:pPr>
                              <w:ind w:left="0" w:firstLineChars="0" w:firstLine="0"/>
                              <w:rPr>
                                <w:rFonts w:eastAsia="宋体"/>
                                <w:lang w:val="en-US" w:eastAsia="zh-CN"/>
                              </w:rPr>
                            </w:pPr>
                            <w:r>
                              <w:rPr>
                                <w:rFonts w:hint="eastAsia"/>
                                <w:b/>
                                <w:bCs/>
                                <w:color w:val="FF0000"/>
                                <w:lang w:val="en-US" w:eastAsia="zh-CN"/>
                              </w:rPr>
                              <w:t>□</w:t>
                            </w:r>
                            <w:r>
                              <w:rPr>
                                <w:rFonts w:hint="eastAsia"/>
                                <w:color w:val="FF0000"/>
                                <w:lang w:val="en-US" w:eastAsia="zh-CN"/>
                              </w:rPr>
                              <w:t xml:space="preserve"> </w:t>
                            </w:r>
                            <w:r>
                              <w:rPr>
                                <w:rFonts w:hint="eastAsia"/>
                                <w:lang w:val="en-US" w:eastAsia="zh-CN"/>
                              </w:rPr>
                              <w:t xml:space="preserve"> 本项目</w:t>
                            </w:r>
                          </w:p>
                        </w:txbxContent>
                      </wps:txbx>
                      <wps:bodyPr vert="horz" wrap="square" lIns="91440" tIns="45720" rIns="91440" bIns="45720" anchor="t" anchorCtr="0" upright="0">
                        <a:noAutofit/>
                      </wps:bodyPr>
                    </wps:wsp>
                  </a:graphicData>
                </a:graphic>
              </wp:anchor>
            </w:drawing>
          </mc:Choice>
          <mc:Fallback>
            <w:pict>
              <v:rect type="#_x0000_t1" id="文本框 120" o:spid="_x0000_s168" fillcolor="#FFFFFF" stroked="t" strokeweight="0.5pt" style="position:absolute;margin-left:389.0pt;margin-top:549.1pt;width:96.75pt;height:33.75pt;z-index:548;mso-position-horizontal:absolute;mso-position-vertical:absolute;mso-wrap-style:square;">
                <v:stroke color="#000000"/>
                <v:textbox id="936" inset="2.54mm,1.27mm,2.54mm,1.27mm" o:insetmode="custom" style="layout-flow:horizontal;v-text-anchor:top;">
                  <w:txbxContent>
                    <w:p>
                      <w:pPr>
                        <w:ind w:left="0" w:firstLineChars="0" w:firstLine="0"/>
                        <w:rPr>
                          <w:rFonts w:eastAsia="宋体"/>
                          <w:lang w:val="en-US" w:eastAsia="zh-CN"/>
                        </w:rPr>
                      </w:pPr>
                      <w:r>
                        <w:rPr>
                          <w:rFonts w:hint="eastAsia"/>
                          <w:b/>
                          <w:bCs/>
                          <w:color w:val="FF0000"/>
                          <w:lang w:val="en-US" w:eastAsia="zh-CN"/>
                        </w:rPr>
                        <w:t>□</w:t>
                      </w:r>
                      <w:r>
                        <w:rPr>
                          <w:rFonts w:hint="eastAsia"/>
                          <w:color w:val="FF0000"/>
                          <w:lang w:val="en-US" w:eastAsia="zh-CN"/>
                        </w:rPr>
                        <w:t xml:space="preserve"> </w:t>
                      </w:r>
                      <w:r>
                        <w:rPr>
                          <w:rFonts w:hint="eastAsia"/>
                          <w:lang w:val="en-US" w:eastAsia="zh-CN"/>
                        </w:rPr>
                        <w:t xml:space="preserve"> 本项目</w:t>
                      </w:r>
                    </w:p>
                  </w:txbxContent>
                </v:textbox>
              </v:rect>
            </w:pict>
          </mc:Fallback>
        </mc:AlternateContent>
      </w:r>
      <w:r>
        <w:rPr>
          <w:rFonts w:eastAsia="宋体" w:hint="eastAsia"/>
          <w:color w:val="auto"/>
          <w:lang w:val="en-US" w:eastAsia="zh-CN"/>
        </w:rPr>
        <w:drawing>
          <wp:anchor distT="0" distB="0" distL="114300" distR="114300" simplePos="0" relativeHeight="524" behindDoc="0" locked="0" layoutInCell="1" hidden="0" allowOverlap="1">
            <wp:simplePos x="0" y="0"/>
            <wp:positionH relativeFrom="column">
              <wp:posOffset>4958715</wp:posOffset>
            </wp:positionH>
            <wp:positionV relativeFrom="paragraph">
              <wp:posOffset>51435</wp:posOffset>
            </wp:positionV>
            <wp:extent cx="756285" cy="676909"/>
            <wp:effectExtent l="0" t="0" r="5715" b="8889"/>
            <wp:wrapNone/>
            <wp:docPr id="1084" name="图片 1084" descr="图片1"/>
            <wp:cNvGraphicFramePr>
              <a:graphicFrameLocks noChangeAspect="1"/>
            </wp:cNvGraphicFramePr>
            <a:graphic>
              <a:graphicData uri="http://schemas.openxmlformats.org/drawingml/2006/picture">
                <pic:pic>
                  <pic:nvPicPr>
                    <pic:cNvPr id="169" name="图片 169"/>
                    <pic:cNvPicPr/>
                  </pic:nvPicPr>
                  <pic:blipFill>
                    <a:blip r:embed="rId71"/>
                    <a:stretch>
                      <a:fillRect/>
                    </a:stretch>
                  </pic:blipFill>
                  <pic:spPr>
                    <a:xfrm rot="0">
                      <a:off x="0" y="0"/>
                      <a:ext cx="756285" cy="676909"/>
                    </a:xfrm>
                    <a:prstGeom prst="rect"/>
                    <a:noFill/>
                    <a:ln w="9525" cmpd="sng" cap="flat">
                      <a:noFill/>
                      <a:prstDash val="solid"/>
                      <a:miter/>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sectPr>
          <w:pgSz w:w="11906" w:h="16838"/>
          <w:pgMar w:top="1417" w:right="1417" w:bottom="1417" w:left="1417" w:header="851" w:footer="850" w:gutter="0"/>
          <w:cols w:num="1" w:space="0"/>
          <w:rtlGutter/>
          <w:docGrid w:linePitch="312" w:charSpace="0"/>
        </w:sectPr>
      </w:pPr>
      <w:r>
        <w:rPr>
          <w:rFonts w:eastAsia="宋体" w:hint="eastAsia"/>
          <w:b/>
          <w:bCs/>
          <w:color w:val="auto"/>
          <w:lang w:val="en-US" w:eastAsia="zh-CN"/>
        </w:rPr>
        <w:t>附图3-</w:t>
      </w:r>
      <w:r>
        <w:rPr>
          <w:rFonts w:hint="eastAsia"/>
          <w:b/>
          <w:bCs/>
          <w:color w:val="auto"/>
          <w:lang w:val="en-US" w:eastAsia="zh-CN"/>
        </w:rPr>
        <w:t>3</w:t>
      </w:r>
      <w:r>
        <w:rPr>
          <w:rFonts w:eastAsia="宋体" w:hint="eastAsia"/>
          <w:b/>
          <w:bCs/>
          <w:color w:val="auto"/>
          <w:lang w:val="en-US" w:eastAsia="zh-CN"/>
        </w:rPr>
        <w:t xml:space="preserve">  1#车间1层平面布置图                比例尺1:100</w:t>
      </w:r>
      <w:r>
        <w:rPr>
          <w:rFonts w:hint="eastAsia"/>
          <w:b/>
          <w:bCs/>
          <w:color w:val="auto"/>
          <w:lang w:val="en-US" w:eastAsia="zh-CN"/>
        </w:rPr>
        <w:t>00</w:t>
      </w:r>
      <w:r>
        <w:rPr>
          <w:rFonts w:eastAsia="宋体" w:hint="eastAsia"/>
          <w:b/>
          <w:bCs/>
          <w:color w:val="auto"/>
          <w:lang w:val="en-US" w:eastAsia="zh-CN"/>
        </w:rPr>
        <w:t>0</w:t>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val="en-US" w:eastAsia="zh-CN"/>
        </w:rPr>
      </w:pPr>
      <w:r>
        <w:rPr>
          <w:color w:val="auto"/>
          <w:sz w:val="24"/>
        </w:rPr>
        <mc:AlternateContent>
          <mc:Choice Requires="wps">
            <w:drawing>
              <wp:anchor distT="0" distB="0" distL="114300" distR="114300" simplePos="0" relativeHeight="584" behindDoc="0" locked="0" layoutInCell="1" hidden="0" allowOverlap="1">
                <wp:simplePos x="0" y="0"/>
                <wp:positionH relativeFrom="column">
                  <wp:posOffset>67310</wp:posOffset>
                </wp:positionH>
                <wp:positionV relativeFrom="paragraph">
                  <wp:posOffset>7173594</wp:posOffset>
                </wp:positionV>
                <wp:extent cx="1228725" cy="428625"/>
                <wp:effectExtent l="4444" t="4444" r="5080" b="5080"/>
                <wp:wrapNone/>
                <wp:docPr id="142" name="文本框 142"/>
                <wp:cNvGraphicFramePr>
                  <a:graphicFrameLocks noChangeAspect="0"/>
                </wp:cNvGraphicFramePr>
                <a:graphic>
                  <a:graphicData uri="http://schemas.microsoft.com/office/word/2010/wordprocessingShape">
                    <wps:wsp>
                      <wps:cNvSpPr/>
                      <wps:spPr>
                        <a:xfrm rot="0">
                          <a:off x="0" y="0"/>
                          <a:ext cx="1228725" cy="428625"/>
                        </a:xfrm>
                        <a:prstGeom prst="rect"/>
                        <a:solidFill>
                          <a:srgbClr val="FFFFFF"/>
                        </a:solidFill>
                        <a:ln w="6350" cmpd="sng" cap="flat">
                          <a:solidFill>
                            <a:srgbClr val="000000"/>
                          </a:solidFill>
                          <a:prstDash val="solid"/>
                          <a:round/>
                        </a:ln>
                      </wps:spPr>
                      <wps:txbx id="170">
                        <w:txbxContent>
                          <w:p>
                            <w:pPr>
                              <w:ind w:left="0" w:firstLineChars="0" w:firstLine="0"/>
                              <w:rPr>
                                <w:rFonts w:eastAsia="宋体"/>
                                <w:lang w:val="en-US" w:eastAsia="zh-CN"/>
                              </w:rPr>
                            </w:pPr>
                            <w:r>
                              <w:rPr>
                                <w:rFonts w:hint="eastAsia"/>
                                <w:b/>
                                <w:bCs/>
                                <w:color w:val="FF0000"/>
                                <w:lang w:val="en-US" w:eastAsia="zh-CN"/>
                              </w:rPr>
                              <w:t>□</w:t>
                            </w:r>
                            <w:r>
                              <w:rPr>
                                <w:rFonts w:hint="eastAsia"/>
                                <w:color w:val="FF0000"/>
                                <w:lang w:val="en-US" w:eastAsia="zh-CN"/>
                              </w:rPr>
                              <w:t xml:space="preserve"> </w:t>
                            </w:r>
                            <w:r>
                              <w:rPr>
                                <w:rFonts w:hint="eastAsia"/>
                                <w:lang w:val="en-US" w:eastAsia="zh-CN"/>
                              </w:rPr>
                              <w:t xml:space="preserve"> 本项目</w:t>
                            </w:r>
                          </w:p>
                        </w:txbxContent>
                      </wps:txbx>
                      <wps:bodyPr vert="horz" wrap="square" lIns="91440" tIns="45720" rIns="91440" bIns="45720" anchor="t" anchorCtr="0" upright="0">
                        <a:noAutofit/>
                      </wps:bodyPr>
                    </wps:wsp>
                  </a:graphicData>
                </a:graphic>
              </wp:anchor>
            </w:drawing>
          </mc:Choice>
          <mc:Fallback>
            <w:pict>
              <v:rect type="#_x0000_t1" id="文本框 142" o:spid="_x0000_s171" fillcolor="#FFFFFF" stroked="t" strokeweight="0.5pt" style="position:absolute;margin-left:5.3pt;margin-top:564.85pt;width:96.75pt;height:33.75pt;z-index:584;mso-position-horizontal:absolute;mso-position-vertical:absolute;mso-wrap-style:square;">
                <v:stroke color="#000000"/>
                <v:textbox id="938" inset="2.54mm,1.27mm,2.54mm,1.27mm" o:insetmode="custom" style="layout-flow:horizontal;v-text-anchor:top;">
                  <w:txbxContent>
                    <w:p>
                      <w:pPr>
                        <w:ind w:left="0" w:firstLineChars="0" w:firstLine="0"/>
                        <w:rPr>
                          <w:rFonts w:eastAsia="宋体"/>
                          <w:lang w:val="en-US" w:eastAsia="zh-CN"/>
                        </w:rPr>
                      </w:pPr>
                      <w:r>
                        <w:rPr>
                          <w:rFonts w:hint="eastAsia"/>
                          <w:b/>
                          <w:bCs/>
                          <w:color w:val="FF0000"/>
                          <w:lang w:val="en-US" w:eastAsia="zh-CN"/>
                        </w:rPr>
                        <w:t>□</w:t>
                      </w:r>
                      <w:r>
                        <w:rPr>
                          <w:rFonts w:hint="eastAsia"/>
                          <w:color w:val="FF0000"/>
                          <w:lang w:val="en-US" w:eastAsia="zh-CN"/>
                        </w:rPr>
                        <w:t xml:space="preserve"> </w:t>
                      </w:r>
                      <w:r>
                        <w:rPr>
                          <w:rFonts w:hint="eastAsia"/>
                          <w:lang w:val="en-US" w:eastAsia="zh-CN"/>
                        </w:rPr>
                        <w:t xml:space="preserve"> 本项目</w:t>
                      </w:r>
                    </w:p>
                  </w:txbxContent>
                </v:textbox>
              </v:rect>
            </w:pict>
          </mc:Fallback>
        </mc:AlternateContent>
      </w:r>
      <w:r>
        <w:rPr>
          <w:rFonts w:eastAsia="宋体" w:hint="eastAsia"/>
          <w:color w:val="auto"/>
          <w:lang w:val="en-US" w:eastAsia="zh-CN"/>
        </w:rPr>
        <w:drawing>
          <wp:inline distT="0" distB="0" distL="114300" distR="114300">
            <wp:extent cx="5743575" cy="7715250"/>
            <wp:effectExtent l="0" t="0" r="1" b="1"/>
            <wp:docPr id="1085" name="图片 9"/>
            <wp:cNvGraphicFramePr>
              <a:graphicFrameLocks noChangeAspect="1"/>
            </wp:cNvGraphicFramePr>
            <a:graphic>
              <a:graphicData uri="http://schemas.openxmlformats.org/drawingml/2006/picture">
                <pic:pic>
                  <pic:nvPicPr>
                    <pic:cNvPr id="173" name="图片 9 173"/>
                    <pic:cNvPicPr/>
                  </pic:nvPicPr>
                  <pic:blipFill>
                    <a:blip r:embed="rId72"/>
                    <a:stretch>
                      <a:fillRect/>
                    </a:stretch>
                  </pic:blipFill>
                  <pic:spPr>
                    <a:xfrm rot="0">
                      <a:off x="0" y="0"/>
                      <a:ext cx="5743575" cy="7715250"/>
                    </a:xfrm>
                    <a:prstGeom prst="rect"/>
                    <a:noFill/>
                    <a:ln cmpd="sng" cap="flat">
                      <a:noFill/>
                      <a:prstDash val="solid"/>
                      <a:round/>
                    </a:ln>
                  </pic:spPr>
                </pic:pic>
              </a:graphicData>
            </a:graphic>
          </wp:inline>
        </w:drawing>
      </w:r>
      <w:r>
        <w:rPr>
          <w:rFonts w:eastAsia="宋体" w:hint="eastAsia"/>
          <w:color w:val="auto"/>
          <w:lang w:val="en-US" w:eastAsia="zh-CN"/>
        </w:rPr>
        <w:drawing>
          <wp:anchor distT="0" distB="0" distL="114300" distR="114300" simplePos="0" relativeHeight="526" behindDoc="0" locked="0" layoutInCell="1" hidden="0" allowOverlap="1">
            <wp:simplePos x="0" y="0"/>
            <wp:positionH relativeFrom="column">
              <wp:posOffset>4958715</wp:posOffset>
            </wp:positionH>
            <wp:positionV relativeFrom="paragraph">
              <wp:posOffset>51435</wp:posOffset>
            </wp:positionV>
            <wp:extent cx="756285" cy="676909"/>
            <wp:effectExtent l="0" t="0" r="5715" b="8889"/>
            <wp:wrapNone/>
            <wp:docPr id="1086" name="图片 1086" descr="图片1"/>
            <wp:cNvGraphicFramePr>
              <a:graphicFrameLocks noChangeAspect="1"/>
            </wp:cNvGraphicFramePr>
            <a:graphic>
              <a:graphicData uri="http://schemas.openxmlformats.org/drawingml/2006/picture">
                <pic:pic>
                  <pic:nvPicPr>
                    <pic:cNvPr id="174" name="图片 174"/>
                    <pic:cNvPicPr/>
                  </pic:nvPicPr>
                  <pic:blipFill>
                    <a:blip r:embed="rId73"/>
                    <a:stretch>
                      <a:fillRect/>
                    </a:stretch>
                  </pic:blipFill>
                  <pic:spPr>
                    <a:xfrm rot="0">
                      <a:off x="0" y="0"/>
                      <a:ext cx="756285" cy="676909"/>
                    </a:xfrm>
                    <a:prstGeom prst="rect"/>
                    <a:noFill/>
                    <a:ln w="9525" cmpd="sng" cap="flat">
                      <a:noFill/>
                      <a:prstDash val="solid"/>
                      <a:miter/>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sectPr>
          <w:pgSz w:w="11906" w:h="16838"/>
          <w:pgMar w:top="1417" w:right="1417" w:bottom="1417" w:left="1417" w:header="851" w:footer="850" w:gutter="0"/>
          <w:cols w:num="1" w:space="0"/>
          <w:rtlGutter/>
          <w:docGrid w:linePitch="312" w:charSpace="0"/>
        </w:sectPr>
      </w:pPr>
      <w:r>
        <w:rPr>
          <w:rFonts w:eastAsia="宋体" w:hint="eastAsia"/>
          <w:b/>
          <w:bCs/>
          <w:color w:val="auto"/>
          <w:lang w:val="en-US" w:eastAsia="zh-CN"/>
        </w:rPr>
        <w:t>附图3-</w:t>
      </w:r>
      <w:r>
        <w:rPr>
          <w:rFonts w:hint="eastAsia"/>
          <w:b/>
          <w:bCs/>
          <w:color w:val="auto"/>
          <w:lang w:val="en-US" w:eastAsia="zh-CN"/>
        </w:rPr>
        <w:t>4</w:t>
      </w:r>
      <w:r>
        <w:rPr>
          <w:rFonts w:eastAsia="宋体" w:hint="eastAsia"/>
          <w:b/>
          <w:bCs/>
          <w:color w:val="auto"/>
          <w:lang w:val="en-US" w:eastAsia="zh-CN"/>
        </w:rPr>
        <w:t xml:space="preserve">  1#车间2层平面布置图                比例尺1:100</w:t>
      </w:r>
      <w:r>
        <w:rPr>
          <w:rFonts w:hint="eastAsia"/>
          <w:b/>
          <w:bCs/>
          <w:color w:val="auto"/>
          <w:lang w:val="en-US" w:eastAsia="zh-CN"/>
        </w:rPr>
        <w:t>00</w:t>
      </w:r>
      <w:r>
        <w:rPr>
          <w:rFonts w:eastAsia="宋体" w:hint="eastAsia"/>
          <w:b/>
          <w:bCs/>
          <w:color w:val="auto"/>
          <w:lang w:val="en-US" w:eastAsia="zh-CN"/>
        </w:rPr>
        <w:t>0</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val="en-US" w:eastAsia="zh-CN"/>
        </w:rPr>
      </w:pPr>
      <w:r>
        <w:rPr>
          <w:rFonts w:eastAsia="宋体" w:hint="eastAsia"/>
          <w:b/>
          <w:bCs/>
          <w:color w:val="auto"/>
          <w:lang w:val="en-US" w:eastAsia="zh-CN"/>
        </w:rPr>
        <mc:AlternateContent>
          <mc:Choice Requires="wps">
            <w:drawing>
              <wp:anchor distT="0" distB="0" distL="114300" distR="114300" simplePos="0" relativeHeight="586" behindDoc="0" locked="0" layoutInCell="1" hidden="0" allowOverlap="1">
                <wp:simplePos x="0" y="0"/>
                <wp:positionH relativeFrom="column">
                  <wp:posOffset>895985</wp:posOffset>
                </wp:positionH>
                <wp:positionV relativeFrom="paragraph">
                  <wp:posOffset>7183119</wp:posOffset>
                </wp:positionV>
                <wp:extent cx="1228725" cy="428625"/>
                <wp:effectExtent l="4444" t="4444" r="5080" b="5080"/>
                <wp:wrapNone/>
                <wp:docPr id="144" name="文本框 144"/>
                <wp:cNvGraphicFramePr>
                  <a:graphicFrameLocks noChangeAspect="0"/>
                </wp:cNvGraphicFramePr>
                <a:graphic>
                  <a:graphicData uri="http://schemas.microsoft.com/office/word/2010/wordprocessingShape">
                    <wps:wsp>
                      <wps:cNvSpPr/>
                      <wps:spPr>
                        <a:xfrm rot="0">
                          <a:off x="0" y="0"/>
                          <a:ext cx="1228725" cy="428625"/>
                        </a:xfrm>
                        <a:prstGeom prst="rect"/>
                        <a:solidFill>
                          <a:srgbClr val="FFFFFF"/>
                        </a:solidFill>
                        <a:ln w="6350" cmpd="sng" cap="flat">
                          <a:solidFill>
                            <a:srgbClr val="000000"/>
                          </a:solidFill>
                          <a:prstDash val="solid"/>
                          <a:round/>
                        </a:ln>
                      </wps:spPr>
                      <wps:txbx id="175">
                        <w:txbxContent>
                          <w:p>
                            <w:pPr>
                              <w:ind w:left="0" w:firstLineChars="0" w:firstLine="0"/>
                              <w:rPr>
                                <w:rFonts w:eastAsia="宋体"/>
                                <w:lang w:val="en-US" w:eastAsia="zh-CN"/>
                              </w:rPr>
                            </w:pPr>
                            <w:r>
                              <w:rPr>
                                <w:rFonts w:hint="eastAsia"/>
                                <w:b/>
                                <w:bCs/>
                                <w:color w:val="FF0000"/>
                                <w:lang w:val="en-US" w:eastAsia="zh-CN"/>
                              </w:rPr>
                              <w:t>□</w:t>
                            </w:r>
                            <w:r>
                              <w:rPr>
                                <w:rFonts w:hint="eastAsia"/>
                                <w:color w:val="FF0000"/>
                                <w:lang w:val="en-US" w:eastAsia="zh-CN"/>
                              </w:rPr>
                              <w:t xml:space="preserve"> </w:t>
                            </w:r>
                            <w:r>
                              <w:rPr>
                                <w:rFonts w:hint="eastAsia"/>
                                <w:lang w:val="en-US" w:eastAsia="zh-CN"/>
                              </w:rPr>
                              <w:t xml:space="preserve"> 本项目</w:t>
                            </w:r>
                          </w:p>
                        </w:txbxContent>
                      </wps:txbx>
                      <wps:bodyPr vert="horz" wrap="square" lIns="91440" tIns="45720" rIns="91440" bIns="45720" anchor="t" anchorCtr="0" upright="0">
                        <a:noAutofit/>
                      </wps:bodyPr>
                    </wps:wsp>
                  </a:graphicData>
                </a:graphic>
              </wp:anchor>
            </w:drawing>
          </mc:Choice>
          <mc:Fallback>
            <w:pict>
              <v:rect type="#_x0000_t1" id="文本框 144" o:spid="_x0000_s176" fillcolor="#FFFFFF" stroked="t" strokeweight="0.5pt" style="position:absolute;margin-left:70.55pt;margin-top:565.6pt;width:96.75pt;height:33.75pt;z-index:586;mso-position-horizontal:absolute;mso-position-vertical:absolute;mso-wrap-style:square;">
                <v:stroke color="#000000"/>
                <v:textbox id="941" inset="2.54mm,1.27mm,2.54mm,1.27mm" o:insetmode="custom" style="layout-flow:horizontal;v-text-anchor:top;">
                  <w:txbxContent>
                    <w:p>
                      <w:pPr>
                        <w:ind w:left="0" w:firstLineChars="0" w:firstLine="0"/>
                        <w:rPr>
                          <w:rFonts w:eastAsia="宋体"/>
                          <w:lang w:val="en-US" w:eastAsia="zh-CN"/>
                        </w:rPr>
                      </w:pPr>
                      <w:r>
                        <w:rPr>
                          <w:rFonts w:hint="eastAsia"/>
                          <w:b/>
                          <w:bCs/>
                          <w:color w:val="FF0000"/>
                          <w:lang w:val="en-US" w:eastAsia="zh-CN"/>
                        </w:rPr>
                        <w:t>□</w:t>
                      </w:r>
                      <w:r>
                        <w:rPr>
                          <w:rFonts w:hint="eastAsia"/>
                          <w:color w:val="FF0000"/>
                          <w:lang w:val="en-US" w:eastAsia="zh-CN"/>
                        </w:rPr>
                        <w:t xml:space="preserve"> </w:t>
                      </w:r>
                      <w:r>
                        <w:rPr>
                          <w:rFonts w:hint="eastAsia"/>
                          <w:lang w:val="en-US" w:eastAsia="zh-CN"/>
                        </w:rPr>
                        <w:t xml:space="preserve"> 本项目</w:t>
                      </w:r>
                    </w:p>
                  </w:txbxContent>
                </v:textbox>
              </v:rect>
            </w:pict>
          </mc:Fallback>
        </mc:AlternateContent>
      </w:r>
      <w:r>
        <w:rPr>
          <w:rFonts w:eastAsia="宋体" w:hint="eastAsia"/>
          <w:color w:val="auto"/>
          <w:lang w:val="en-US" w:eastAsia="zh-CN"/>
        </w:rPr>
        <w:drawing>
          <wp:inline distT="0" distB="0" distL="114300" distR="114300">
            <wp:extent cx="4819650" cy="7715250"/>
            <wp:effectExtent l="0" t="0" r="0" b="1"/>
            <wp:docPr id="1087" name="图片 10"/>
            <wp:cNvGraphicFramePr>
              <a:graphicFrameLocks noChangeAspect="1"/>
            </wp:cNvGraphicFramePr>
            <a:graphic>
              <a:graphicData uri="http://schemas.openxmlformats.org/drawingml/2006/picture">
                <pic:pic>
                  <pic:nvPicPr>
                    <pic:cNvPr id="178" name="图片 10 178"/>
                    <pic:cNvPicPr/>
                  </pic:nvPicPr>
                  <pic:blipFill>
                    <a:blip r:embed="rId74"/>
                    <a:stretch>
                      <a:fillRect/>
                    </a:stretch>
                  </pic:blipFill>
                  <pic:spPr>
                    <a:xfrm rot="0">
                      <a:off x="0" y="0"/>
                      <a:ext cx="4819650" cy="7715250"/>
                    </a:xfrm>
                    <a:prstGeom prst="rect"/>
                    <a:noFill/>
                    <a:ln cmpd="sng" cap="flat">
                      <a:noFill/>
                      <a:prstDash val="solid"/>
                      <a:round/>
                    </a:ln>
                  </pic:spPr>
                </pic:pic>
              </a:graphicData>
            </a:graphic>
          </wp:inline>
        </w:drawing>
      </w:r>
      <w:r>
        <w:rPr>
          <w:rFonts w:eastAsia="宋体" w:hint="eastAsia"/>
          <w:color w:val="auto"/>
          <w:lang w:val="en-US" w:eastAsia="zh-CN"/>
        </w:rPr>
        <w:drawing>
          <wp:anchor distT="0" distB="0" distL="114300" distR="114300" simplePos="0" relativeHeight="528" behindDoc="0" locked="0" layoutInCell="1" hidden="0" allowOverlap="1">
            <wp:simplePos x="0" y="0"/>
            <wp:positionH relativeFrom="column">
              <wp:posOffset>4958715</wp:posOffset>
            </wp:positionH>
            <wp:positionV relativeFrom="paragraph">
              <wp:posOffset>51435</wp:posOffset>
            </wp:positionV>
            <wp:extent cx="756285" cy="676909"/>
            <wp:effectExtent l="0" t="0" r="5715" b="8889"/>
            <wp:wrapNone/>
            <wp:docPr id="1088" name="图片 1088" descr="图片1"/>
            <wp:cNvGraphicFramePr>
              <a:graphicFrameLocks noChangeAspect="1"/>
            </wp:cNvGraphicFramePr>
            <a:graphic>
              <a:graphicData uri="http://schemas.openxmlformats.org/drawingml/2006/picture">
                <pic:pic>
                  <pic:nvPicPr>
                    <pic:cNvPr id="179" name="图片 179"/>
                    <pic:cNvPicPr/>
                  </pic:nvPicPr>
                  <pic:blipFill>
                    <a:blip r:embed="rId75"/>
                    <a:stretch>
                      <a:fillRect/>
                    </a:stretch>
                  </pic:blipFill>
                  <pic:spPr>
                    <a:xfrm rot="0">
                      <a:off x="0" y="0"/>
                      <a:ext cx="756285" cy="676909"/>
                    </a:xfrm>
                    <a:prstGeom prst="rect"/>
                    <a:noFill/>
                    <a:ln w="9525" cmpd="sng" cap="flat">
                      <a:noFill/>
                      <a:prstDash val="solid"/>
                      <a:miter/>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b/>
          <w:bCs/>
          <w:color w:val="auto"/>
          <w:lang w:val="en-US" w:eastAsia="zh-CN"/>
        </w:rPr>
        <w:sectPr>
          <w:pgSz w:w="11906" w:h="16838"/>
          <w:pgMar w:top="1417" w:right="1417" w:bottom="1417" w:left="1417" w:header="851" w:footer="850" w:gutter="0"/>
          <w:cols w:num="1" w:space="0"/>
          <w:rtlGutter/>
          <w:docGrid w:linePitch="312" w:charSpace="0"/>
        </w:sectPr>
      </w:pPr>
      <w:r>
        <w:rPr>
          <w:rFonts w:eastAsia="宋体" w:hint="eastAsia"/>
          <w:b/>
          <w:bCs/>
          <w:color w:val="auto"/>
          <w:lang w:val="en-US" w:eastAsia="zh-CN"/>
        </w:rPr>
        <w:t>附图3-4  2#车间1层平面布置图                比例尺1:1000</w:t>
      </w:r>
      <w:r>
        <w:rPr>
          <w:rFonts w:hint="eastAsia"/>
          <w:b/>
          <w:bCs/>
          <w:color w:val="auto"/>
          <w:lang w:val="en-US" w:eastAsia="zh-CN"/>
        </w:rPr>
        <w:t>00</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val="en-US" w:eastAsia="zh-CN"/>
        </w:rPr>
      </w:pPr>
      <w:r>
        <w:rPr>
          <w:rFonts w:eastAsia="宋体" w:hint="eastAsia"/>
          <w:color w:val="auto"/>
          <w:lang w:eastAsia="zh-CN"/>
        </w:rPr>
        <mc:AlternateContent>
          <mc:Choice Requires="wps">
            <w:drawing>
              <wp:anchor distT="0" distB="0" distL="114300" distR="114300" simplePos="0" relativeHeight="530" behindDoc="0" locked="0" layoutInCell="1" hidden="0" allowOverlap="1">
                <wp:simplePos x="0" y="0"/>
                <wp:positionH relativeFrom="column">
                  <wp:posOffset>304165</wp:posOffset>
                </wp:positionH>
                <wp:positionV relativeFrom="paragraph">
                  <wp:posOffset>7023100</wp:posOffset>
                </wp:positionV>
                <wp:extent cx="3028315" cy="476250"/>
                <wp:effectExtent l="4444" t="4444" r="15240" b="14604"/>
                <wp:wrapNone/>
                <wp:docPr id="32" name="文本框 32"/>
                <wp:cNvGraphicFramePr>
                  <a:graphicFrameLocks noChangeAspect="0"/>
                </wp:cNvGraphicFramePr>
                <a:graphic>
                  <a:graphicData uri="http://schemas.microsoft.com/office/word/2010/wordprocessingShape">
                    <wps:wsp>
                      <wps:cNvSpPr/>
                      <wps:spPr>
                        <a:xfrm rot="0">
                          <a:off x="0" y="0"/>
                          <a:ext cx="3028315" cy="476250"/>
                        </a:xfrm>
                        <a:prstGeom prst="rect"/>
                        <a:solidFill>
                          <a:srgbClr val="FFFFFF"/>
                        </a:solidFill>
                        <a:ln w="6350" cmpd="sng" cap="flat">
                          <a:solidFill>
                            <a:srgbClr val="000000"/>
                          </a:solidFill>
                          <a:prstDash val="solid"/>
                          <a:round/>
                        </a:ln>
                      </wps:spPr>
                      <wps:txbx id="180">
                        <w:txbxContent>
                          <w:p>
                            <w:pPr>
                              <w:spacing w:line="240" w:lineRule="auto"/>
                              <w:ind w:left="0" w:right="0" w:firstLineChars="0" w:firstLine="0"/>
                              <w:jc w:val="center"/>
                              <w:rPr>
                                <w:rFonts w:hint="eastAsia"/>
                                <w:b/>
                                <w:bCs/>
                                <w:lang w:val="en-US" w:eastAsia="zh-CN"/>
                              </w:rPr>
                            </w:pPr>
                            <w:r>
                              <w:rPr>
                                <w:rFonts w:hint="eastAsia"/>
                                <w:b/>
                                <w:bCs/>
                                <w:lang w:val="en-US" w:eastAsia="zh-CN"/>
                              </w:rPr>
                              <w:t>图例</w:t>
                            </w:r>
                          </w:p>
                          <w:p>
                            <w:pPr>
                              <w:spacing w:line="240" w:lineRule="auto"/>
                              <w:ind w:left="0" w:firstLineChars="0" w:firstLine="0"/>
                              <w:rPr>
                                <w:lang w:val="en-US" w:eastAsia="zh-CN"/>
                              </w:rPr>
                            </w:pPr>
                            <w:r>
                              <w:rPr>
                                <w:rFonts w:hint="eastAsia"/>
                                <w:color w:val="FF0000"/>
                                <w:lang w:val="en-US" w:eastAsia="zh-CN"/>
                              </w:rPr>
                              <w:t>■</w:t>
                            </w:r>
                            <w:r>
                              <w:rPr>
                                <w:rFonts w:hint="eastAsia"/>
                                <w:lang w:val="en-US" w:eastAsia="zh-CN"/>
                              </w:rPr>
                              <w:t xml:space="preserve">重点防渗   </w:t>
                            </w:r>
                            <w:r>
                              <w:rPr>
                                <w:rFonts w:hint="eastAsia"/>
                                <w:color w:val="0000FF"/>
                                <w:lang w:val="en-US" w:eastAsia="zh-CN"/>
                              </w:rPr>
                              <w:t>■</w:t>
                            </w:r>
                            <w:r>
                              <w:rPr>
                                <w:rFonts w:hint="eastAsia"/>
                                <w:lang w:val="en-US" w:eastAsia="zh-CN"/>
                              </w:rPr>
                              <w:t>一般防渗   □简单防渗</w:t>
                            </w:r>
                          </w:p>
                        </w:txbxContent>
                      </wps:txbx>
                      <wps:bodyPr vert="horz" wrap="square" lIns="91440" tIns="45720" rIns="91440" bIns="45720" anchor="t" anchorCtr="0" upright="0">
                        <a:noAutofit/>
                      </wps:bodyPr>
                    </wps:wsp>
                  </a:graphicData>
                </a:graphic>
              </wp:anchor>
            </w:drawing>
          </mc:Choice>
          <mc:Fallback>
            <w:pict>
              <v:rect type="#_x0000_t1" id="文本框 32" o:spid="_x0000_s181" fillcolor="#FFFFFF" stroked="t" strokeweight="0.5pt" style="position:absolute;margin-left:23.95pt;margin-top:553.0pt;width:238.45001pt;height:37.5pt;z-index:530;mso-position-horizontal:absolute;mso-position-vertical:absolute;mso-wrap-style:square;">
                <v:stroke color="#000000"/>
                <v:textbox id="944" inset="2.54mm,1.27mm,2.54mm,1.27mm" o:insetmode="custom" style="layout-flow:horizontal;v-text-anchor:top;">
                  <w:txbxContent>
                    <w:p>
                      <w:pPr>
                        <w:spacing w:line="240" w:lineRule="auto"/>
                        <w:ind w:left="0" w:right="0" w:firstLineChars="0" w:firstLine="0"/>
                        <w:jc w:val="center"/>
                        <w:rPr>
                          <w:rFonts w:hint="eastAsia"/>
                          <w:b/>
                          <w:bCs/>
                          <w:lang w:val="en-US" w:eastAsia="zh-CN"/>
                        </w:rPr>
                      </w:pPr>
                      <w:r>
                        <w:rPr>
                          <w:rFonts w:hint="eastAsia"/>
                          <w:b/>
                          <w:bCs/>
                          <w:lang w:val="en-US" w:eastAsia="zh-CN"/>
                        </w:rPr>
                        <w:t>图例</w:t>
                      </w:r>
                    </w:p>
                    <w:p>
                      <w:pPr>
                        <w:spacing w:line="240" w:lineRule="auto"/>
                        <w:ind w:left="0" w:firstLineChars="0" w:firstLine="0"/>
                        <w:rPr>
                          <w:lang w:val="en-US" w:eastAsia="zh-CN"/>
                        </w:rPr>
                      </w:pPr>
                      <w:r>
                        <w:rPr>
                          <w:rFonts w:hint="eastAsia"/>
                          <w:color w:val="FF0000"/>
                          <w:lang w:val="en-US" w:eastAsia="zh-CN"/>
                        </w:rPr>
                        <w:t>■</w:t>
                      </w:r>
                      <w:r>
                        <w:rPr>
                          <w:rFonts w:hint="eastAsia"/>
                          <w:lang w:val="en-US" w:eastAsia="zh-CN"/>
                        </w:rPr>
                        <w:t xml:space="preserve">重点防渗   </w:t>
                      </w:r>
                      <w:r>
                        <w:rPr>
                          <w:rFonts w:hint="eastAsia"/>
                          <w:color w:val="0000FF"/>
                          <w:lang w:val="en-US" w:eastAsia="zh-CN"/>
                        </w:rPr>
                        <w:t>■</w:t>
                      </w:r>
                      <w:r>
                        <w:rPr>
                          <w:rFonts w:hint="eastAsia"/>
                          <w:lang w:val="en-US" w:eastAsia="zh-CN"/>
                        </w:rPr>
                        <w:t>一般防渗   □简单防渗</w:t>
                      </w:r>
                    </w:p>
                  </w:txbxContent>
                </v:textbox>
              </v:rect>
            </w:pict>
          </mc:Fallback>
        </mc:AlternateContent>
      </w:r>
      <w:r>
        <w:rPr>
          <w:rFonts w:eastAsia="宋体" w:hint="eastAsia"/>
          <w:color w:val="auto"/>
          <w:lang w:eastAsia="zh-CN"/>
        </w:rPr>
        <w:drawing>
          <wp:inline distT="0" distB="0" distL="114300" distR="114300">
            <wp:extent cx="5724525" cy="7677150"/>
            <wp:effectExtent l="0" t="0" r="1" b="0"/>
            <wp:docPr id="1089" name="图片 10"/>
            <wp:cNvGraphicFramePr>
              <a:graphicFrameLocks noChangeAspect="1"/>
            </wp:cNvGraphicFramePr>
            <a:graphic>
              <a:graphicData uri="http://schemas.openxmlformats.org/drawingml/2006/picture">
                <pic:pic>
                  <pic:nvPicPr>
                    <pic:cNvPr id="183" name="图片 10 183"/>
                    <pic:cNvPicPr/>
                  </pic:nvPicPr>
                  <pic:blipFill>
                    <a:blip r:embed="rId76"/>
                    <a:stretch>
                      <a:fillRect/>
                    </a:stretch>
                  </pic:blipFill>
                  <pic:spPr>
                    <a:xfrm rot="0">
                      <a:off x="0" y="0"/>
                      <a:ext cx="5724525" cy="767715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sectPr>
          <w:pgSz w:w="11906" w:h="16838"/>
          <w:pgMar w:top="1417" w:right="1417" w:bottom="1417" w:left="1417" w:header="851" w:footer="850" w:gutter="0"/>
          <w:cols w:num="1" w:space="0"/>
          <w:rtlGutter/>
          <w:docGrid w:linePitch="312" w:charSpace="0"/>
        </w:sectPr>
      </w:pPr>
      <w:r>
        <w:rPr>
          <w:rFonts w:eastAsia="宋体" w:hint="eastAsia"/>
          <w:b/>
          <w:bCs/>
          <w:color w:val="auto"/>
          <w:lang w:val="en-US" w:eastAsia="zh-CN"/>
        </w:rPr>
        <w:t xml:space="preserve">附图4  分区防渗图       </w:t>
      </w:r>
      <w:r>
        <w:rPr>
          <w:rFonts w:eastAsia="宋体" w:hint="eastAsia"/>
          <w:b/>
          <w:bCs/>
          <w:color w:val="auto"/>
          <w:lang w:val="en-US" w:eastAsia="zh-CN"/>
        </w:rPr>
        <mc:AlternateContent>
          <mc:Choice Requires="wps">
            <w:drawing>
              <wp:anchor distT="0" distB="0" distL="114300" distR="114300" simplePos="0" relativeHeight="558" behindDoc="0" locked="0" layoutInCell="1" hidden="0" allowOverlap="1">
                <wp:simplePos x="0" y="0"/>
                <wp:positionH relativeFrom="column">
                  <wp:posOffset>2155189</wp:posOffset>
                </wp:positionH>
                <wp:positionV relativeFrom="paragraph">
                  <wp:posOffset>-7348220</wp:posOffset>
                </wp:positionV>
                <wp:extent cx="374650" cy="173989"/>
                <wp:effectExtent l="4444" t="5080" r="20955" b="11430"/>
                <wp:wrapNone/>
                <wp:docPr id="125" name="文本框 125"/>
                <wp:cNvGraphicFramePr>
                  <a:graphicFrameLocks noChangeAspect="0"/>
                </wp:cNvGraphicFramePr>
                <a:graphic>
                  <a:graphicData uri="http://schemas.microsoft.com/office/word/2010/wordprocessingShape">
                    <wps:wsp>
                      <wps:cNvSpPr/>
                      <wps:spPr>
                        <a:xfrm rot="0">
                          <a:off x="0" y="0"/>
                          <a:ext cx="374650" cy="173989"/>
                        </a:xfrm>
                        <a:prstGeom prst="rect"/>
                        <a:solidFill>
                          <a:srgbClr val="0000FF"/>
                        </a:solidFill>
                        <a:ln w="6350" cmpd="sng" cap="flat">
                          <a:solidFill>
                            <a:srgbClr val="000000"/>
                          </a:solidFill>
                          <a:prstDash val="solid"/>
                          <a:round/>
                        </a:ln>
                      </wps:spPr>
                      <wps:txbx id="184">
                        <w:txbxContent>
                          <w:p>
                            <w:pPr>
                              <w:rPr>
                                <w:rFonts w:hint="eastAsia"/>
                                <w:lang w:val="en-US" w:eastAsia="zh-CN"/>
                              </w:rPr>
                            </w:pPr>
                          </w:p>
                        </w:txbxContent>
                      </wps:txbx>
                      <wps:bodyPr vert="horz" wrap="square" lIns="91440" tIns="45720" rIns="91440" bIns="45720" anchor="t" anchorCtr="0" upright="0">
                        <a:noAutofit/>
                      </wps:bodyPr>
                    </wps:wsp>
                  </a:graphicData>
                </a:graphic>
              </wp:anchor>
            </w:drawing>
          </mc:Choice>
          <mc:Fallback>
            <w:pict>
              <v:rect type="#_x0000_t1" id="文本框 125" o:spid="_x0000_s185" fillcolor="#0000FF" stroked="t" strokeweight="0.5pt" style="position:absolute;margin-left:169.7pt;margin-top:-578.6pt;width:29.500008pt;height:13.699997pt;z-index:558;mso-position-horizontal:absolute;mso-position-vertical:absolute;mso-wrap-style:square;">
                <v:stroke color="#000000"/>
                <v:textbox id="946" inset="2.54mm,1.27mm,2.54mm,1.27mm" o:insetmode="custom" style="layout-flow:horizontal;v-text-anchor:top;">
                  <w:txbxContent>
                    <w:p>
                      <w:pPr>
                        <w:rPr>
                          <w:rFonts w:hint="eastAsia"/>
                          <w:lang w:val="en-US" w:eastAsia="zh-CN"/>
                        </w:rPr>
                      </w:pPr>
                    </w:p>
                  </w:txbxContent>
                </v:textbox>
              </v:rect>
            </w:pict>
          </mc:Fallback>
        </mc:AlternateContent>
      </w:r>
      <w:r>
        <w:rPr>
          <w:rFonts w:eastAsia="宋体" w:hint="eastAsia"/>
          <w:b/>
          <w:bCs/>
          <w:color w:val="auto"/>
          <w:lang w:val="en-US" w:eastAsia="zh-CN"/>
        </w:rPr>
        <w:t xml:space="preserve">   </w:t>
      </w:r>
      <w:r>
        <w:rPr>
          <w:rFonts w:eastAsia="宋体" w:hint="eastAsia"/>
          <w:b/>
          <w:bCs/>
          <w:color w:val="auto"/>
          <w:lang w:val="en-US" w:eastAsia="zh-CN"/>
        </w:rPr>
        <mc:AlternateContent>
          <mc:Choice Requires="wps">
            <w:drawing>
              <wp:anchor distT="0" distB="0" distL="114300" distR="114300" simplePos="0" relativeHeight="560" behindDoc="0" locked="0" layoutInCell="1" hidden="0" allowOverlap="1">
                <wp:simplePos x="0" y="0"/>
                <wp:positionH relativeFrom="column">
                  <wp:posOffset>1864360</wp:posOffset>
                </wp:positionH>
                <wp:positionV relativeFrom="paragraph">
                  <wp:posOffset>-7569834</wp:posOffset>
                </wp:positionV>
                <wp:extent cx="953135" cy="275590"/>
                <wp:wrapNone/>
                <wp:docPr id="126" name="文本框 126"/>
                <wp:cNvGraphicFramePr>
                  <a:graphicFrameLocks noChangeAspect="0"/>
                </wp:cNvGraphicFramePr>
                <a:graphic>
                  <a:graphicData uri="http://schemas.microsoft.com/office/word/2010/wordprocessingShape">
                    <wps:wsp>
                      <wps:cNvSpPr/>
                      <wps:spPr>
                        <a:xfrm rot="0">
                          <a:off x="0" y="0"/>
                          <a:ext cx="953135" cy="275590"/>
                        </a:xfrm>
                        <a:prstGeom prst="rect"/>
                        <a:noFill/>
                        <a:ln w="6350" cmpd="sng" cap="flat">
                          <a:noFill/>
                          <a:prstDash val="solid"/>
                          <a:round/>
                        </a:ln>
                      </wps:spPr>
                      <wps:txbx id="186">
                        <w:txbxContent>
                          <w:p>
                            <w:pPr>
                              <w:ind w:left="0" w:firstLineChars="0" w:firstLine="0"/>
                              <w:rPr>
                                <w:lang w:val="en-US" w:eastAsia="zh-CN"/>
                              </w:rPr>
                            </w:pPr>
                            <w:r>
                              <w:rPr>
                                <w:rFonts w:hint="eastAsia"/>
                                <w:lang w:val="en-US" w:eastAsia="zh-CN"/>
                              </w:rPr>
                              <w:t>一般固废间</w:t>
                            </w:r>
                          </w:p>
                        </w:txbxContent>
                      </wps:txbx>
                      <wps:bodyPr vert="horz" wrap="square" lIns="91440" tIns="45720" rIns="91440" bIns="45720" anchor="t" anchorCtr="0" upright="0">
                        <a:noAutofit/>
                      </wps:bodyPr>
                    </wps:wsp>
                  </a:graphicData>
                </a:graphic>
              </wp:anchor>
            </w:drawing>
          </mc:Choice>
          <mc:Fallback>
            <w:pict>
              <v:rect type="#_x0000_t1" id="文本框 126" o:spid="_x0000_s187" filled="f" stroked="f" strokeweight="0.5pt" style="position:absolute;margin-left:146.8pt;margin-top:-596.05pt;width:75.05001pt;height:21.700012pt;z-index:560;mso-position-horizontal:absolute;mso-position-vertical:absolute;mso-wrap-style:square;">
                <v:stroke/>
                <v:textbox id="947" inset="2.54mm,1.27mm,2.54mm,1.27mm" o:insetmode="custom" style="layout-flow:horizontal;v-text-anchor:top;">
                  <w:txbxContent>
                    <w:p>
                      <w:pPr>
                        <w:ind w:left="0" w:firstLineChars="0" w:firstLine="0"/>
                        <w:rPr>
                          <w:lang w:val="en-US" w:eastAsia="zh-CN"/>
                        </w:rPr>
                      </w:pPr>
                      <w:r>
                        <w:rPr>
                          <w:rFonts w:hint="eastAsia"/>
                          <w:lang w:val="en-US" w:eastAsia="zh-CN"/>
                        </w:rPr>
                        <w:t>一般固废间</w:t>
                      </w:r>
                    </w:p>
                  </w:txbxContent>
                </v:textbox>
              </v:rect>
            </w:pict>
          </mc:Fallback>
        </mc:AlternateContent>
      </w:r>
      <w:r>
        <w:rPr>
          <w:rFonts w:eastAsia="宋体" w:hint="eastAsia"/>
          <w:b/>
          <w:bCs/>
          <w:color w:val="auto"/>
          <w:lang w:val="en-US" w:eastAsia="zh-CN"/>
        </w:rPr>
        <w:t xml:space="preserve">      比例尺1:100</w:t>
      </w:r>
      <w:r>
        <w:rPr>
          <w:rFonts w:hint="eastAsia"/>
          <w:b/>
          <w:bCs/>
          <w:color w:val="auto"/>
          <w:lang w:val="en-US" w:eastAsia="zh-CN"/>
        </w:rPr>
        <w:t>00</w:t>
      </w:r>
      <w:r>
        <w:rPr>
          <w:rFonts w:eastAsia="宋体" w:hint="eastAsia"/>
          <w:b/>
          <w:bCs/>
          <w:color w:val="auto"/>
          <w:lang w:val="en-US" w:eastAsia="zh-CN"/>
        </w:rPr>
        <w:t>0</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eastAsia="zh-CN"/>
        </w:rPr>
      </w:pPr>
      <w:r>
        <w:rPr>
          <w:rFonts w:eastAsia="宋体" w:hint="eastAsia"/>
          <w:color w:val="auto"/>
          <w:lang w:eastAsia="zh-CN"/>
        </w:rPr>
        <mc:AlternateContent>
          <mc:Choice Requires="wps">
            <w:drawing>
              <wp:anchor distT="0" distB="0" distL="114300" distR="114300" simplePos="0" relativeHeight="506" behindDoc="0" locked="0" layoutInCell="1" hidden="0" allowOverlap="1">
                <wp:simplePos x="0" y="0"/>
                <wp:positionH relativeFrom="column">
                  <wp:posOffset>2983864</wp:posOffset>
                </wp:positionH>
                <wp:positionV relativeFrom="paragraph">
                  <wp:posOffset>4711700</wp:posOffset>
                </wp:positionV>
                <wp:extent cx="1152525" cy="298449"/>
                <wp:effectExtent l="9525" t="111760" r="647700" b="27940"/>
                <wp:wrapNone/>
                <wp:docPr id="466" name="矩形标注 466"/>
                <wp:cNvGraphicFramePr>
                  <a:graphicFrameLocks noChangeAspect="0"/>
                </wp:cNvGraphicFramePr>
                <a:graphic>
                  <a:graphicData uri="http://schemas.microsoft.com/office/word/2010/wordprocessingShape">
                    <wps:wsp>
                      <wps:cNvSpPr/>
                      <wps:spPr>
                        <a:xfrm rot="0">
                          <a:off x="0" y="0"/>
                          <a:ext cx="1152525" cy="298449"/>
                        </a:xfrm>
                        <a:prstGeom prst="wedgeRectCallout">
                          <a:avLst>
                            <a:gd name="adj1" fmla="val 98925"/>
                            <a:gd name="adj2" fmla="val -78509"/>
                          </a:avLst>
                        </a:prstGeom>
                        <a:solidFill>
                          <a:srgbClr val="FFFF00"/>
                        </a:solidFill>
                        <a:ln w="19050" cmpd="sng" cap="flat">
                          <a:solidFill>
                            <a:srgbClr val="000000"/>
                          </a:solidFill>
                          <a:prstDash val="solid"/>
                          <a:miter/>
                        </a:ln>
                      </wps:spPr>
                      <wps:txbx id="188">
                        <w:txbxContent>
                          <w:p>
                            <w:pPr>
                              <w:ind w:left="0" w:firstLineChars="0" w:firstLine="0"/>
                              <w:rPr>
                                <w:b/>
                                <w:bCs/>
                                <w:szCs w:val="21"/>
                              </w:rPr>
                            </w:pPr>
                            <w:r>
                              <w:rPr>
                                <w:rFonts w:ascii="宋体" w:cs="宋体" w:hAnsi="宋体" w:hint="eastAsia"/>
                                <w:b/>
                                <w:bCs/>
                                <w:color w:val="FF0000"/>
                                <w:sz w:val="24"/>
                              </w:rPr>
                              <w:t>本项目所在地</w:t>
                            </w:r>
                          </w:p>
                        </w:txbxContent>
                      </wps:txbx>
                      <wps:bodyPr vert="horz" wrap="square" lIns="91440" tIns="45720" rIns="91440" bIns="45720" anchor="t" anchorCtr="0" upright="1">
                        <a:noAutofit/>
                      </wps:bodyPr>
                    </wps:wsp>
                  </a:graphicData>
                </a:graphic>
              </wp:anchor>
            </w:drawing>
          </mc:Choice>
          <mc:Fallback>
            <w:pict>
              <v:shape type="#_x0000_t61" id="矩形标注 466" o:spid="_x0000_s189" fillcolor="#FFFF00" stroked="t" strokeweight="1.5pt" adj="32168,-6158" style="position:absolute;margin-left:234.95pt;margin-top:371.0pt;width:90.75pt;height:23.499985pt;z-index:506;mso-position-horizontal:absolute;mso-position-vertical:absolute;mso-wrap-style:square;">
                <v:stroke color="#000000"/>
                <v:textbox id="948" inset="2.54mm,1.27mm,2.54mm,1.27mm" o:insetmode="custom" style="layout-flow:horizontal;v-text-anchor:top;">
                  <w:txbxContent>
                    <w:p>
                      <w:pPr>
                        <w:ind w:left="0" w:firstLineChars="0" w:firstLine="0"/>
                        <w:rPr>
                          <w:b/>
                          <w:bCs/>
                          <w:szCs w:val="21"/>
                        </w:rPr>
                      </w:pPr>
                      <w:r>
                        <w:rPr>
                          <w:rFonts w:ascii="宋体" w:cs="宋体" w:hAnsi="宋体" w:hint="eastAsia"/>
                          <w:b/>
                          <w:bCs/>
                          <w:color w:val="FF0000"/>
                          <w:sz w:val="24"/>
                        </w:rPr>
                        <w:t>本项目所在地</w:t>
                      </w:r>
                    </w:p>
                  </w:txbxContent>
                </v:textbox>
              </v:shape>
            </w:pict>
          </mc:Fallback>
        </mc:AlternateContent>
      </w:r>
      <w:r>
        <w:rPr>
          <w:rFonts w:eastAsia="宋体" w:hint="eastAsia"/>
          <w:color w:val="auto"/>
          <w:lang w:val="en-US" w:eastAsia="zh-CN"/>
        </w:rPr>
        <mc:AlternateContent>
          <mc:Choice Requires="wps">
            <w:drawing>
              <wp:anchor distT="0" distB="0" distL="114300" distR="114300" simplePos="0" relativeHeight="504" behindDoc="0" locked="0" layoutInCell="1" hidden="0" allowOverlap="1">
                <wp:simplePos x="0" y="0"/>
                <wp:positionH relativeFrom="column">
                  <wp:posOffset>4778375</wp:posOffset>
                </wp:positionH>
                <wp:positionV relativeFrom="paragraph">
                  <wp:posOffset>4562475</wp:posOffset>
                </wp:positionV>
                <wp:extent cx="80645" cy="91440"/>
                <wp:effectExtent l="12700" t="18415" r="20955" b="23495"/>
                <wp:wrapNone/>
                <wp:docPr id="467" name="五角星 467"/>
                <wp:cNvGraphicFramePr>
                  <a:graphicFrameLocks noChangeAspect="0"/>
                </wp:cNvGraphicFramePr>
                <a:graphic>
                  <a:graphicData uri="http://schemas.microsoft.com/office/word/2010/wordprocessingShape">
                    <wps:wsp>
                      <wps:cNvSpPr/>
                      <wps:spPr>
                        <a:xfrm rot="0">
                          <a:off x="0" y="0"/>
                          <a:ext cx="80645" cy="91440"/>
                        </a:xfrm>
                        <a:prstGeom prst="star5">
                          <a:avLst>
                            <a:gd name="adj" fmla="val 19100"/>
                            <a:gd name="hf" fmla="val 105146"/>
                            <a:gd name="vf" fmla="val 110557"/>
                          </a:avLst>
                        </a:prstGeom>
                        <a:solidFill>
                          <a:srgbClr val="FF0000"/>
                        </a:solidFill>
                        <a:ln w="9525" cmpd="sng" cap="flat">
                          <a:solidFill>
                            <a:srgbClr val="FF0000"/>
                          </a:solidFill>
                          <a:prstDash val="solid"/>
                          <a:miter/>
                        </a:ln>
                      </wps:spPr>
                      <wps:bodyPr vert="horz" wrap="square" lIns="91440" tIns="45720" rIns="91440" bIns="45720" anchor="t" anchorCtr="0" upright="1">
                        <a:noAutofit/>
                      </wps:bodyPr>
                    </wps:wsp>
                  </a:graphicData>
                </a:graphic>
              </wp:anchor>
            </w:drawing>
          </mc:Choice>
          <mc:Fallback>
            <w:pict>
              <v:shape type="#_x0000_t12" id="五角星 467" o:spid="_x0000_s190" fillcolor="#FF0000" stroked="t" adj="1910" style="position:absolute;margin-left:376.25pt;margin-top:359.25pt;width:6.350006pt;height:7.2000046pt;z-index:504;mso-position-horizontal:absolute;mso-position-vertical:absolute;">
                <v:stroke color="#FF0000"/>
              </v:shape>
            </w:pict>
          </mc:Fallback>
        </mc:AlternateContent>
      </w:r>
      <w:r>
        <w:rPr>
          <w:rFonts w:eastAsia="宋体" w:hint="eastAsia"/>
          <w:color w:val="auto"/>
          <w:lang w:eastAsia="zh-CN"/>
        </w:rPr>
        <w:drawing>
          <wp:inline distT="0" distB="0" distL="114300" distR="114300">
            <wp:extent cx="5493385" cy="7934959"/>
            <wp:effectExtent l="0" t="1" r="2" b="0"/>
            <wp:docPr id="1090" name="图片 1090" descr="1646454101(1)"/>
            <wp:cNvGraphicFramePr>
              <a:graphicFrameLocks noChangeAspect="1"/>
            </wp:cNvGraphicFramePr>
            <a:graphic>
              <a:graphicData uri="http://schemas.openxmlformats.org/drawingml/2006/picture">
                <pic:pic>
                  <pic:nvPicPr>
                    <pic:cNvPr id="192" name="图片 192"/>
                    <pic:cNvPicPr/>
                  </pic:nvPicPr>
                  <pic:blipFill>
                    <a:blip r:embed="rId77"/>
                    <a:srcRect t="10723" b="13695" l="13430" r="14414"/>
                    <a:stretch>
                      <a:fillRect/>
                    </a:stretch>
                  </pic:blipFill>
                  <pic:spPr>
                    <a:xfrm rot="5400000">
                      <a:off x="0" y="0"/>
                      <a:ext cx="5493385" cy="7934959"/>
                    </a:xfrm>
                    <a:prstGeom prst="rect"/>
                    <a:noFill/>
                    <a:ln w="9525" cmpd="sng" cap="flat">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sectPr>
          <w:pgSz w:w="16838" w:h="11906" w:orient="landscape"/>
          <w:pgMar w:top="1417" w:right="1417" w:bottom="1417" w:left="1417" w:header="851" w:footer="850" w:gutter="0"/>
          <w:cols w:num="1" w:space="0"/>
          <w:rtlGutter/>
          <w:docGrid w:linePitch="312" w:charSpace="0"/>
        </w:sectPr>
      </w:pPr>
      <w:r>
        <w:rPr>
          <w:rFonts w:eastAsia="宋体" w:hint="eastAsia"/>
          <w:b/>
          <w:bCs/>
          <w:color w:val="auto"/>
          <w:lang w:val="en-US" w:eastAsia="zh-CN"/>
        </w:rPr>
        <w:t>附图5  石家庄市声环境功能区划分示意图</w:t>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val="en-US" w:eastAsia="zh-CN"/>
        </w:rPr>
      </w:pPr>
      <w:r>
        <w:rPr>
          <w:rFonts w:eastAsia="宋体" w:hint="eastAsia"/>
          <w:color w:val="auto"/>
          <w:lang w:eastAsia="zh-CN"/>
        </w:rPr>
        <mc:AlternateContent>
          <mc:Choice Requires="wps">
            <w:drawing>
              <wp:anchor distT="0" distB="0" distL="114300" distR="114300" simplePos="0" relativeHeight="510" behindDoc="0" locked="0" layoutInCell="1" hidden="0" allowOverlap="1">
                <wp:simplePos x="0" y="0"/>
                <wp:positionH relativeFrom="column">
                  <wp:posOffset>5690235</wp:posOffset>
                </wp:positionH>
                <wp:positionV relativeFrom="paragraph">
                  <wp:posOffset>3166110</wp:posOffset>
                </wp:positionV>
                <wp:extent cx="1170305" cy="314325"/>
                <wp:effectExtent l="207645" t="12700" r="12700" b="739775"/>
                <wp:wrapNone/>
                <wp:docPr id="95" name="矩形标注 84"/>
                <wp:cNvGraphicFramePr>
                  <a:graphicFrameLocks noChangeAspect="0"/>
                </wp:cNvGraphicFramePr>
                <a:graphic>
                  <a:graphicData uri="http://schemas.microsoft.com/office/word/2010/wordprocessingShape">
                    <wps:wsp>
                      <wps:cNvSpPr/>
                      <wps:spPr>
                        <a:xfrm rot="0">
                          <a:off x="0" y="0"/>
                          <a:ext cx="1170305" cy="314325"/>
                        </a:xfrm>
                        <a:prstGeom prst="wedgeRectCallout">
                          <a:avLst>
                            <a:gd name="adj1" fmla="val -66652"/>
                            <a:gd name="adj2" fmla="val 276865"/>
                          </a:avLst>
                        </a:prstGeom>
                        <a:solidFill>
                          <a:srgbClr val="FFFF00"/>
                        </a:solidFill>
                        <a:ln w="25400" cmpd="sng" cap="flat">
                          <a:solidFill>
                            <a:srgbClr val="385D8A"/>
                          </a:solidFill>
                          <a:prstDash val="solid"/>
                          <a:round/>
                        </a:ln>
                      </wps:spPr>
                      <wps:txbx id="193">
                        <w:txbxContent>
                          <w:p>
                            <w:pPr>
                              <w:ind w:left="0" w:firstLineChars="0" w:firstLine="0"/>
                              <w:rPr>
                                <w:b/>
                                <w:bCs/>
                              </w:rPr>
                            </w:pPr>
                            <w:r>
                              <w:rPr>
                                <w:rFonts w:hint="eastAsia"/>
                                <w:b/>
                                <w:bCs/>
                              </w:rPr>
                              <w:t>本项目位置</w:t>
                            </w:r>
                          </w:p>
                        </w:txbxContent>
                      </wps:txbx>
                      <wps:bodyPr vert="horz" wrap="square" lIns="91440" tIns="45720" rIns="91440" bIns="45720" anchor="ctr" anchorCtr="0" upright="1">
                        <a:noAutofit/>
                      </wps:bodyPr>
                    </wps:wsp>
                  </a:graphicData>
                </a:graphic>
              </wp:anchor>
            </w:drawing>
          </mc:Choice>
          <mc:Fallback>
            <w:pict>
              <v:shape type="#_x0000_t61" id="矩形标注 84" o:spid="_x0000_s194" fillcolor="#FFFF00" stroked="t" strokeweight="2.0pt" adj="-3597,70603" style="position:absolute;margin-left:448.05002pt;margin-top:249.30002pt;width:92.150024pt;height:24.75pt;z-index:510;mso-position-horizontal:absolute;mso-position-vertical:absolute;mso-wrap-style:square;">
                <v:stroke color="#385D8A"/>
                <v:textbox id="950" inset="2.54mm,1.27mm,2.54mm,1.27mm" o:insetmode="custom" style="layout-flow:horizontal;v-text-anchor:middle;">
                  <w:txbxContent>
                    <w:p>
                      <w:pPr>
                        <w:ind w:left="0" w:firstLineChars="0" w:firstLine="0"/>
                        <w:rPr>
                          <w:b/>
                          <w:bCs/>
                        </w:rPr>
                      </w:pPr>
                      <w:r>
                        <w:rPr>
                          <w:rFonts w:hint="eastAsia"/>
                          <w:b/>
                          <w:bCs/>
                        </w:rPr>
                        <w:t>本项目位置</w:t>
                      </w:r>
                    </w:p>
                  </w:txbxContent>
                </v:textbox>
              </v:shape>
            </w:pict>
          </mc:Fallback>
        </mc:AlternateContent>
      </w:r>
      <w:r>
        <w:rPr>
          <w:rFonts w:eastAsia="宋体" w:hint="eastAsia"/>
          <w:color w:val="auto"/>
          <w:lang w:val="en-US" w:eastAsia="zh-CN"/>
        </w:rPr>
        <mc:AlternateContent>
          <mc:Choice Requires="wps">
            <w:drawing>
              <wp:anchor distT="0" distB="0" distL="114300" distR="114300" simplePos="0" relativeHeight="508" behindDoc="0" locked="0" layoutInCell="1" hidden="0" allowOverlap="1">
                <wp:simplePos x="0" y="0"/>
                <wp:positionH relativeFrom="column">
                  <wp:posOffset>5433060</wp:posOffset>
                </wp:positionH>
                <wp:positionV relativeFrom="paragraph">
                  <wp:posOffset>4160520</wp:posOffset>
                </wp:positionV>
                <wp:extent cx="76200" cy="76200"/>
                <wp:effectExtent l="12700" t="12700" r="25400" b="25400"/>
                <wp:wrapNone/>
                <wp:docPr id="93" name="椭圆 83"/>
                <wp:cNvGraphicFramePr>
                  <a:graphicFrameLocks noChangeAspect="0"/>
                </wp:cNvGraphicFramePr>
                <a:graphic>
                  <a:graphicData uri="http://schemas.microsoft.com/office/word/2010/wordprocessingShape">
                    <wps:wsp>
                      <wps:cNvSpPr/>
                      <wps:spPr>
                        <a:xfrm rot="0">
                          <a:off x="0" y="0"/>
                          <a:ext cx="76200" cy="76200"/>
                        </a:xfrm>
                        <a:prstGeom prst="ellipse"/>
                        <a:solidFill>
                          <a:srgbClr val="FF0000"/>
                        </a:solidFill>
                        <a:ln w="25400" cmpd="sng" cap="flat">
                          <a:solidFill>
                            <a:srgbClr val="264264"/>
                          </a:solidFill>
                          <a:prstDash val="solid"/>
                          <a:round/>
                        </a:ln>
                      </wps:spPr>
                      <wps:txbx id="195">
                        <w:txbxContent>
                          <w:p>
                            <w:pPr>
                              <w:jc w:val="center"/>
                            </w:pPr>
                          </w:p>
                        </w:txbxContent>
                      </wps:txbx>
                      <wps:bodyPr vert="horz" wrap="square" lIns="91440" tIns="45720" rIns="91440" bIns="45720" anchor="ctr" anchorCtr="0" upright="0">
                        <a:noAutofit/>
                      </wps:bodyPr>
                    </wps:wsp>
                  </a:graphicData>
                </a:graphic>
              </wp:anchor>
            </w:drawing>
          </mc:Choice>
          <mc:Fallback>
            <w:pict>
              <v:oval type="#_x0000_t3" id="椭圆 83" o:spid="_x0000_s196" fillcolor="#FF0000" stroked="t" strokeweight="2.0pt" style="position:absolute;margin-left:427.80002pt;margin-top:327.6pt;width:6.0pt;height:6.0pt;z-index:508;mso-position-horizontal:absolute;mso-position-vertical:absolute;mso-wrap-style:square;">
                <v:stroke color="#264264"/>
                <v:textbox id="951" inset="2.54mm,1.27mm,2.54mm,1.27mm" o:insetmode="custom" style="layout-flow:horizontal;v-text-anchor:middle;">
                  <w:txbxContent>
                    <w:p>
                      <w:pPr>
                        <w:jc w:val="center"/>
                      </w:pPr>
                    </w:p>
                  </w:txbxContent>
                </v:textbox>
              </v:oval>
            </w:pict>
          </mc:Fallback>
        </mc:AlternateContent>
      </w:r>
      <w:r>
        <w:rPr>
          <w:rFonts w:eastAsia="宋体" w:hint="eastAsia"/>
          <w:color w:val="auto"/>
          <w:lang w:val="en-US" w:eastAsia="zh-CN"/>
        </w:rPr>
        <w:drawing>
          <wp:inline distT="0" distB="0" distL="114300" distR="114300">
            <wp:extent cx="7811769" cy="5522595"/>
            <wp:effectExtent l="0" t="0" r="0" b="1"/>
            <wp:docPr id="1091" name="图片 1091" descr="附图6 产业布局指引图（改）"/>
            <wp:cNvGraphicFramePr>
              <a:graphicFrameLocks noChangeAspect="1"/>
            </wp:cNvGraphicFramePr>
            <a:graphic>
              <a:graphicData uri="http://schemas.openxmlformats.org/drawingml/2006/picture">
                <pic:pic>
                  <pic:nvPicPr>
                    <pic:cNvPr id="198" name="图片 198"/>
                    <pic:cNvPicPr/>
                  </pic:nvPicPr>
                  <pic:blipFill>
                    <a:blip r:embed="rId78"/>
                    <a:stretch>
                      <a:fillRect/>
                    </a:stretch>
                  </pic:blipFill>
                  <pic:spPr>
                    <a:xfrm rot="0">
                      <a:off x="0" y="0"/>
                      <a:ext cx="7811769" cy="5522595"/>
                    </a:xfrm>
                    <a:prstGeom prst="rect"/>
                    <a:noFill/>
                    <a:ln w="9525" cmpd="sng" cap="flat">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sectPr>
          <w:pgSz w:w="16838" w:h="11906" w:orient="landscape"/>
          <w:pgMar w:top="1417" w:right="1417" w:bottom="1417" w:left="1417" w:header="851" w:footer="850" w:gutter="0"/>
          <w:cols w:num="1" w:space="0"/>
          <w:rtlGutter/>
          <w:docGrid w:linePitch="312" w:charSpace="0"/>
        </w:sectPr>
      </w:pPr>
      <w:r>
        <w:rPr>
          <w:rFonts w:eastAsia="宋体" w:hint="eastAsia"/>
          <w:b/>
          <w:bCs/>
          <w:color w:val="auto"/>
          <w:lang w:val="en-US" w:eastAsia="zh-CN"/>
        </w:rPr>
        <w:t>附图6  总体规划图</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val="en-US" w:eastAsia="zh-CN"/>
        </w:rPr>
      </w:pPr>
      <w:r>
        <w:rPr>
          <w:rFonts w:eastAsia="宋体" w:hint="eastAsia"/>
          <w:color w:val="auto"/>
          <w:lang w:val="en-US" w:eastAsia="zh-CN"/>
        </w:rPr>
        <mc:AlternateContent>
          <mc:Choice Requires="wps">
            <w:drawing>
              <wp:anchor distT="0" distB="0" distL="114300" distR="114300" simplePos="0" relativeHeight="514" behindDoc="0" locked="0" layoutInCell="1" hidden="0" allowOverlap="1">
                <wp:simplePos x="0" y="0"/>
                <wp:positionH relativeFrom="column">
                  <wp:posOffset>4846320</wp:posOffset>
                </wp:positionH>
                <wp:positionV relativeFrom="paragraph">
                  <wp:posOffset>4090035</wp:posOffset>
                </wp:positionV>
                <wp:extent cx="1170305" cy="314325"/>
                <wp:effectExtent l="12700" t="471170" r="17145" b="14604"/>
                <wp:wrapNone/>
                <wp:docPr id="84" name="矩形标注 84"/>
                <wp:cNvGraphicFramePr>
                  <a:graphicFrameLocks noChangeAspect="0"/>
                </wp:cNvGraphicFramePr>
                <a:graphic>
                  <a:graphicData uri="http://schemas.microsoft.com/office/word/2010/wordprocessingShape">
                    <wps:wsp>
                      <wps:cNvSpPr/>
                      <wps:spPr>
                        <a:xfrm rot="0">
                          <a:off x="0" y="0"/>
                          <a:ext cx="1170305" cy="314325"/>
                        </a:xfrm>
                        <a:prstGeom prst="wedgeRectCallout">
                          <a:avLst>
                            <a:gd name="adj1" fmla="val -43865"/>
                            <a:gd name="adj2" fmla="val -195856"/>
                          </a:avLst>
                        </a:prstGeom>
                        <a:solidFill>
                          <a:srgbClr val="FFFF00"/>
                        </a:solidFill>
                        <a:ln w="25400" cmpd="sng" cap="flat">
                          <a:solidFill>
                            <a:srgbClr val="385D8A"/>
                          </a:solidFill>
                          <a:prstDash val="solid"/>
                          <a:round/>
                        </a:ln>
                      </wps:spPr>
                      <wps:txbx id="199">
                        <w:txbxContent>
                          <w:p>
                            <w:pPr>
                              <w:ind w:left="0" w:firstLineChars="0" w:firstLine="0"/>
                              <w:rPr>
                                <w:b/>
                                <w:bCs/>
                              </w:rPr>
                            </w:pPr>
                            <w:r>
                              <w:rPr>
                                <w:rFonts w:hint="eastAsia"/>
                                <w:b/>
                                <w:bCs/>
                              </w:rPr>
                              <w:t>本项目位置</w:t>
                            </w:r>
                          </w:p>
                        </w:txbxContent>
                      </wps:txbx>
                      <wps:bodyPr vert="horz" wrap="square" lIns="91440" tIns="45720" rIns="91440" bIns="45720" anchor="ctr" anchorCtr="0" upright="1">
                        <a:noAutofit/>
                      </wps:bodyPr>
                    </wps:wsp>
                  </a:graphicData>
                </a:graphic>
              </wp:anchor>
            </w:drawing>
          </mc:Choice>
          <mc:Fallback>
            <w:pict>
              <v:shape type="#_x0000_t61" id="矩形标注 84" o:spid="_x0000_s200" fillcolor="#FFFF00" stroked="t" strokeweight="2.0pt" adj="1325,-31505" style="position:absolute;margin-left:381.6pt;margin-top:322.05pt;width:92.15pt;height:24.75pt;z-index:514;mso-position-horizontal:absolute;mso-position-vertical:absolute;mso-wrap-style:square;">
                <v:stroke color="#385D8A"/>
                <v:textbox id="953" inset="2.54mm,1.27mm,2.54mm,1.27mm" o:insetmode="custom" style="layout-flow:horizontal;v-text-anchor:middle;">
                  <w:txbxContent>
                    <w:p>
                      <w:pPr>
                        <w:ind w:left="0" w:firstLineChars="0" w:firstLine="0"/>
                        <w:rPr>
                          <w:b/>
                          <w:bCs/>
                        </w:rPr>
                      </w:pPr>
                      <w:r>
                        <w:rPr>
                          <w:rFonts w:hint="eastAsia"/>
                          <w:b/>
                          <w:bCs/>
                        </w:rPr>
                        <w:t>本项目位置</w:t>
                      </w:r>
                    </w:p>
                  </w:txbxContent>
                </v:textbox>
              </v:shape>
            </w:pict>
          </mc:Fallback>
        </mc:AlternateContent>
      </w:r>
      <w:r>
        <w:rPr>
          <w:rFonts w:eastAsia="宋体" w:hint="eastAsia"/>
          <w:color w:val="auto"/>
          <w:lang w:val="en-US" w:eastAsia="zh-CN"/>
        </w:rPr>
        <mc:AlternateContent>
          <mc:Choice Requires="wps">
            <w:drawing>
              <wp:anchor distT="0" distB="0" distL="114300" distR="114300" simplePos="0" relativeHeight="512" behindDoc="0" locked="0" layoutInCell="1" hidden="0" allowOverlap="1">
                <wp:simplePos x="0" y="0"/>
                <wp:positionH relativeFrom="column">
                  <wp:posOffset>4851400</wp:posOffset>
                </wp:positionH>
                <wp:positionV relativeFrom="paragraph">
                  <wp:posOffset>3540125</wp:posOffset>
                </wp:positionV>
                <wp:extent cx="76200" cy="76200"/>
                <wp:effectExtent l="12700" t="12700" r="25400" b="25400"/>
                <wp:wrapNone/>
                <wp:docPr id="83" name="椭圆 83"/>
                <wp:cNvGraphicFramePr>
                  <a:graphicFrameLocks noChangeAspect="0"/>
                </wp:cNvGraphicFramePr>
                <a:graphic>
                  <a:graphicData uri="http://schemas.microsoft.com/office/word/2010/wordprocessingShape">
                    <wps:wsp>
                      <wps:cNvSpPr/>
                      <wps:spPr>
                        <a:xfrm rot="0">
                          <a:off x="0" y="0"/>
                          <a:ext cx="76200" cy="76200"/>
                        </a:xfrm>
                        <a:prstGeom prst="ellipse"/>
                        <a:solidFill>
                          <a:srgbClr val="FF0000"/>
                        </a:solidFill>
                        <a:ln w="25400" cmpd="sng" cap="flat">
                          <a:solidFill>
                            <a:srgbClr val="264264"/>
                          </a:solidFill>
                          <a:prstDash val="solid"/>
                          <a:round/>
                        </a:ln>
                      </wps:spPr>
                      <wps:txbx id="201">
                        <w:txbxContent>
                          <w:p>
                            <w:pPr>
                              <w:jc w:val="center"/>
                            </w:pPr>
                          </w:p>
                        </w:txbxContent>
                      </wps:txbx>
                      <wps:bodyPr vert="horz" wrap="square" lIns="91440" tIns="45720" rIns="91440" bIns="45720" anchor="ctr" anchorCtr="0" upright="0">
                        <a:noAutofit/>
                      </wps:bodyPr>
                    </wps:wsp>
                  </a:graphicData>
                </a:graphic>
              </wp:anchor>
            </w:drawing>
          </mc:Choice>
          <mc:Fallback>
            <w:pict>
              <v:oval type="#_x0000_t3" id="椭圆 83" o:spid="_x0000_s202" fillcolor="#FF0000" stroked="t" strokeweight="2.0pt" style="position:absolute;margin-left:382.0pt;margin-top:278.75pt;width:6.000023pt;height:6.0pt;z-index:512;mso-position-horizontal:absolute;mso-position-vertical:absolute;mso-wrap-style:square;">
                <v:stroke color="#264264"/>
                <v:textbox id="954" inset="2.54mm,1.27mm,2.54mm,1.27mm" o:insetmode="custom" style="layout-flow:horizontal;v-text-anchor:middle;">
                  <w:txbxContent>
                    <w:p>
                      <w:pPr>
                        <w:jc w:val="center"/>
                      </w:pPr>
                    </w:p>
                  </w:txbxContent>
                </v:textbox>
              </v:oval>
            </w:pict>
          </mc:Fallback>
        </mc:AlternateContent>
      </w:r>
      <w:r>
        <w:rPr>
          <w:rFonts w:eastAsia="宋体" w:hint="eastAsia"/>
          <w:color w:val="auto"/>
          <w:lang w:val="en-US" w:eastAsia="zh-CN"/>
        </w:rPr>
        <w:drawing>
          <wp:inline distT="0" distB="0" distL="114300" distR="114300">
            <wp:extent cx="8151495" cy="5436235"/>
            <wp:effectExtent l="0" t="0" r="0" b="0"/>
            <wp:docPr id="1092" name="图片 1092" descr="图片1"/>
            <wp:cNvGraphicFramePr>
              <a:graphicFrameLocks noChangeAspect="1"/>
            </wp:cNvGraphicFramePr>
            <a:graphic>
              <a:graphicData uri="http://schemas.openxmlformats.org/drawingml/2006/picture">
                <pic:pic>
                  <pic:nvPicPr>
                    <pic:cNvPr id="204" name="图片 204"/>
                    <pic:cNvPicPr/>
                  </pic:nvPicPr>
                  <pic:blipFill>
                    <a:blip r:embed="rId79"/>
                    <a:stretch>
                      <a:fillRect/>
                    </a:stretch>
                  </pic:blipFill>
                  <pic:spPr>
                    <a:xfrm rot="0">
                      <a:off x="0" y="0"/>
                      <a:ext cx="8151495" cy="5436235"/>
                    </a:xfrm>
                    <a:prstGeom prst="rect"/>
                    <a:noFill/>
                    <a:ln w="9525" cmpd="sng" cap="flat">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sectPr>
          <w:pgSz w:w="16838" w:h="11906" w:orient="landscape"/>
          <w:pgMar w:top="1417" w:right="1417" w:bottom="1417" w:left="1417" w:header="851" w:footer="850" w:gutter="0"/>
          <w:cols w:num="1" w:space="0"/>
          <w:rtlGutter/>
          <w:docGrid w:linePitch="312" w:charSpace="0"/>
        </w:sectPr>
      </w:pPr>
      <w:r>
        <w:rPr>
          <w:rFonts w:eastAsia="宋体" w:hint="eastAsia"/>
          <w:b/>
          <w:bCs/>
          <w:color w:val="auto"/>
          <w:lang w:val="en-US" w:eastAsia="zh-CN"/>
        </w:rPr>
        <w:t>附图7  石家庄市生态保护红线分布图</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val="en-US" w:eastAsia="zh-CN"/>
        </w:rPr>
      </w:pPr>
      <w:r>
        <w:rPr>
          <w:rFonts w:eastAsia="宋体" w:hint="eastAsia"/>
          <w:color w:val="auto"/>
          <w:lang w:val="en-US" w:eastAsia="zh-CN"/>
        </w:rPr>
        <w:drawing>
          <wp:anchor distT="0" distB="0" distL="114300" distR="114300" simplePos="0" relativeHeight="516" behindDoc="0" locked="0" layoutInCell="1" hidden="0" allowOverlap="1">
            <wp:simplePos x="0" y="0"/>
            <wp:positionH relativeFrom="column">
              <wp:posOffset>7722870</wp:posOffset>
            </wp:positionH>
            <wp:positionV relativeFrom="paragraph">
              <wp:posOffset>-6350</wp:posOffset>
            </wp:positionV>
            <wp:extent cx="1184274" cy="1059814"/>
            <wp:effectExtent l="0" t="0" r="15875" b="6985"/>
            <wp:wrapNone/>
            <wp:docPr id="1093" name="图片 3" descr="8fbca685491a9b2463b855c1c0accb9"/>
            <wp:cNvGraphicFramePr>
              <a:graphicFrameLocks noChangeAspect="1"/>
            </wp:cNvGraphicFramePr>
            <a:graphic>
              <a:graphicData uri="http://schemas.openxmlformats.org/drawingml/2006/picture">
                <pic:pic>
                  <pic:nvPicPr>
                    <pic:cNvPr id="205" name="图片 3 205"/>
                    <pic:cNvPicPr/>
                  </pic:nvPicPr>
                  <pic:blipFill>
                    <a:blip r:embed="rId80"/>
                    <a:stretch>
                      <a:fillRect/>
                    </a:stretch>
                  </pic:blipFill>
                  <pic:spPr>
                    <a:xfrm rot="0">
                      <a:off x="0" y="0"/>
                      <a:ext cx="1184274" cy="1059814"/>
                    </a:xfrm>
                    <a:prstGeom prst="rect"/>
                    <a:noFill/>
                    <a:ln cmpd="sng" cap="flat">
                      <a:noFill/>
                      <a:prstDash val="solid"/>
                      <a:round/>
                    </a:ln>
                  </pic:spPr>
                </pic:pic>
              </a:graphicData>
            </a:graphic>
          </wp:anchor>
        </w:drawing>
      </w:r>
      <w:r>
        <w:rPr>
          <w:rFonts w:eastAsia="宋体" w:hint="eastAsia"/>
          <w:color w:val="auto"/>
          <w:lang w:val="en-US" w:eastAsia="zh-CN"/>
        </w:rPr>
        <mc:AlternateContent>
          <mc:Choice Requires="wps">
            <w:drawing>
              <wp:anchor distT="0" distB="0" distL="114300" distR="114300" simplePos="0" relativeHeight="542" behindDoc="0" locked="0" layoutInCell="1" hidden="0" allowOverlap="1">
                <wp:simplePos x="0" y="0"/>
                <wp:positionH relativeFrom="column">
                  <wp:posOffset>5661025</wp:posOffset>
                </wp:positionH>
                <wp:positionV relativeFrom="paragraph">
                  <wp:posOffset>45085</wp:posOffset>
                </wp:positionV>
                <wp:extent cx="1514475" cy="266700"/>
                <wp:wrapNone/>
                <wp:docPr id="79" name="矩形 79"/>
                <wp:cNvGraphicFramePr>
                  <a:graphicFrameLocks noChangeAspect="0"/>
                </wp:cNvGraphicFramePr>
                <a:graphic>
                  <a:graphicData uri="http://schemas.microsoft.com/office/word/2010/wordprocessingShape">
                    <wps:wsp>
                      <wps:cNvSpPr/>
                      <wps:spPr>
                        <a:xfrm rot="0">
                          <a:off x="0" y="0"/>
                          <a:ext cx="1514475" cy="266700"/>
                        </a:xfrm>
                        <a:prstGeom prst="rect"/>
                        <a:noFill/>
                        <a:ln w="12700" cmpd="sng" cap="flat">
                          <a:noFill/>
                          <a:prstDash val="solid"/>
                          <a:miter/>
                        </a:ln>
                      </wps:spPr>
                      <wps:style>
                        <a:lnRef idx="2">
                          <a:schemeClr val="dk1"/>
                        </a:lnRef>
                        <a:fillRef idx="1">
                          <a:schemeClr val="lt1"/>
                        </a:fillRef>
                        <a:effectRef idx="0">
                          <a:schemeClr val="dk1"/>
                        </a:effectRef>
                        <a:fontRef idx="minor">
                          <a:schemeClr val="dk1"/>
                        </a:fontRef>
                      </wps:style>
                      <wps:txbx id="206">
                        <w:txbxContent>
                          <w:p>
                            <w:pPr>
                              <w:spacing w:line="240" w:lineRule="auto"/>
                              <w:ind w:left="0" w:firstLineChars="0" w:firstLine="0"/>
                              <w:jc w:val="both"/>
                              <w:rPr>
                                <w:b/>
                                <w:bCs/>
                                <w:color w:val="FF0000"/>
                                <w:lang w:val="en-US"/>
                                <w:highlight w:val="yellow"/>
                              </w:rPr>
                            </w:pPr>
                            <w:r>
                              <w:rPr>
                                <w:rFonts w:hint="eastAsia"/>
                                <w:b/>
                                <w:bCs/>
                                <w:color w:val="FF0000"/>
                                <w:lang w:val="en-US" w:eastAsia="zh-CN"/>
                                <w:highlight w:val="yellow"/>
                              </w:rPr>
                              <w:t>引用数据监测点</w:t>
                            </w:r>
                          </w:p>
                        </w:txbxContent>
                      </wps:txbx>
                      <wps:bodyPr vert="horz" wrap="square" lIns="91440" tIns="45720" rIns="91440" bIns="45720" anchor="ctr" anchorCtr="0" upright="0">
                        <a:noAutofit/>
                      </wps:bodyPr>
                    </wps:wsp>
                  </a:graphicData>
                </a:graphic>
              </wp:anchor>
            </w:drawing>
          </mc:Choice>
          <mc:Fallback>
            <w:pict>
              <v:rect type="#_x0000_t1" id="矩形 79" o:spid="_x0000_s207" filled="f" stroked="f" strokeweight="1.0pt" style="position:absolute;margin-left:445.75003pt;margin-top:3.5500002pt;width:119.25pt;height:21.0pt;z-index:542;mso-position-horizontal:absolute;mso-position-vertical:absolute;mso-wrap-style:square;">
                <v:stroke/>
                <v:textbox id="957" inset="2.54mm,1.27mm,2.54mm,1.27mm" o:insetmode="custom" style="layout-flow:horizontal;v-text-anchor:middle;">
                  <w:txbxContent>
                    <w:p>
                      <w:pPr>
                        <w:spacing w:line="240" w:lineRule="auto"/>
                        <w:ind w:left="0" w:firstLineChars="0" w:firstLine="0"/>
                        <w:jc w:val="both"/>
                        <w:rPr>
                          <w:b/>
                          <w:bCs/>
                          <w:color w:val="FF0000"/>
                          <w:lang w:val="en-US"/>
                          <w:highlight w:val="yellow"/>
                        </w:rPr>
                      </w:pPr>
                      <w:r>
                        <w:rPr>
                          <w:rFonts w:hint="eastAsia"/>
                          <w:b/>
                          <w:bCs/>
                          <w:color w:val="FF0000"/>
                          <w:lang w:val="en-US" w:eastAsia="zh-CN"/>
                          <w:highlight w:val="yellow"/>
                        </w:rPr>
                        <w:t>引用数据监测点</w:t>
                      </w:r>
                    </w:p>
                  </w:txbxContent>
                </v:textbox>
              </v:rect>
            </w:pict>
          </mc:Fallback>
        </mc:AlternateContent>
      </w:r>
      <w:r>
        <w:rPr>
          <w:rFonts w:eastAsia="宋体" w:hint="eastAsia"/>
          <w:color w:val="auto"/>
          <w:lang w:val="en-US" w:eastAsia="zh-CN"/>
        </w:rPr>
        <mc:AlternateContent>
          <mc:Choice Requires="wps">
            <w:drawing>
              <wp:anchor distT="0" distB="0" distL="114300" distR="114300" simplePos="0" relativeHeight="518" behindDoc="0" locked="0" layoutInCell="1" hidden="0" allowOverlap="1">
                <wp:simplePos x="0" y="0"/>
                <wp:positionH relativeFrom="column">
                  <wp:posOffset>2374900</wp:posOffset>
                </wp:positionH>
                <wp:positionV relativeFrom="paragraph">
                  <wp:posOffset>163195</wp:posOffset>
                </wp:positionV>
                <wp:extent cx="3162300" cy="3516630"/>
                <wp:effectExtent l="6985" t="0" r="12064" b="7620"/>
                <wp:wrapNone/>
                <wp:docPr id="73" name="直接箭头连接符 73"/>
                <wp:cNvGraphicFramePr>
                  <a:graphicFrameLocks noChangeAspect="0"/>
                </wp:cNvGraphicFramePr>
                <a:graphic>
                  <a:graphicData uri="http://schemas.microsoft.com/office/word/2010/wordprocessingShape">
                    <wps:wsp>
                      <wps:cNvSpPr/>
                      <wps:spPr>
                        <a:xfrm flipV="1" rot="21600000">
                          <a:off x="0" y="0"/>
                          <a:ext cx="3162300" cy="3516630"/>
                        </a:xfrm>
                        <a:prstGeom prst="straightConnector1"/>
                        <a:ln w="19050" cmpd="sng" cap="flat">
                          <a:solidFill>
                            <a:srgbClr val="FF0000"/>
                          </a:solidFill>
                          <a:prstDash val="solid"/>
                          <a:miter/>
                          <a:tailEnd type="arrow" w="med" len="med"/>
                        </a:ln>
                      </wps:spPr>
                      <wps:style>
                        <a:lnRef idx="3">
                          <a:schemeClr val="dk1"/>
                        </a:lnRef>
                        <a:fillRef idx="0">
                          <a:schemeClr val="dk1"/>
                        </a:fillRef>
                        <a:effectRef idx="2">
                          <a:schemeClr val="dk1"/>
                        </a:effectRef>
                        <a:fontRef idx="minor">
                          <a:schemeClr val="tx1"/>
                        </a:fontRef>
                      </wps:style>
                      <wps:bodyPr vert="horz" wrap="square" lIns="91440" tIns="45720" rIns="91440" bIns="45720" anchor="t" anchorCtr="0" upright="0">
                        <a:noAutofit/>
                      </wps:bodyPr>
                    </wps:wsp>
                  </a:graphicData>
                </a:graphic>
              </wp:anchor>
            </w:drawing>
          </mc:Choice>
          <mc:Fallback>
            <w:pict>
              <v:shape type="#_x0000_t32" id="直接箭头连接符 73" o:spid="_x0000_s208" filled="f" stroked="t" strokeweight="1.5pt" style="position:absolute;margin-left:187.0pt;margin-top:12.850004pt;width:249.00003pt;height:276.9pt;flip:y;z-index:518;mso-position-horizontal:absolute;mso-position-vertical:absolute;">
                <v:stroke color="#FF0000" endarrow="open"/>
              </v:shape>
            </w:pict>
          </mc:Fallback>
        </mc:AlternateContent>
      </w:r>
      <w:r>
        <w:rPr>
          <w:rFonts w:eastAsia="宋体" w:hint="eastAsia"/>
          <w:color w:val="auto"/>
          <w:lang w:val="en-US" w:eastAsia="zh-CN"/>
        </w:rPr>
        <mc:AlternateContent>
          <mc:Choice Requires="wps">
            <w:drawing>
              <wp:anchor distT="0" distB="0" distL="114300" distR="114300" simplePos="0" relativeHeight="520" behindDoc="0" locked="0" layoutInCell="1" hidden="0" allowOverlap="1">
                <wp:simplePos x="0" y="0"/>
                <wp:positionH relativeFrom="column">
                  <wp:posOffset>3531235</wp:posOffset>
                </wp:positionH>
                <wp:positionV relativeFrom="paragraph">
                  <wp:posOffset>2373630</wp:posOffset>
                </wp:positionV>
                <wp:extent cx="650875" cy="266700"/>
                <wp:wrapNone/>
                <wp:docPr id="72" name="矩形 72"/>
                <wp:cNvGraphicFramePr>
                  <a:graphicFrameLocks noChangeAspect="0"/>
                </wp:cNvGraphicFramePr>
                <a:graphic>
                  <a:graphicData uri="http://schemas.microsoft.com/office/word/2010/wordprocessingShape">
                    <wps:wsp>
                      <wps:cNvSpPr/>
                      <wps:spPr>
                        <a:xfrm rot="0">
                          <a:off x="0" y="0"/>
                          <a:ext cx="650875" cy="266700"/>
                        </a:xfrm>
                        <a:prstGeom prst="rect"/>
                        <a:noFill/>
                        <a:ln w="12700" cmpd="sng" cap="flat">
                          <a:noFill/>
                          <a:prstDash val="solid"/>
                          <a:miter/>
                        </a:ln>
                      </wps:spPr>
                      <wps:style>
                        <a:lnRef idx="2">
                          <a:schemeClr val="dk1"/>
                        </a:lnRef>
                        <a:fillRef idx="1">
                          <a:schemeClr val="lt1"/>
                        </a:fillRef>
                        <a:effectRef idx="0">
                          <a:schemeClr val="dk1"/>
                        </a:effectRef>
                        <a:fontRef idx="minor">
                          <a:schemeClr val="dk1"/>
                        </a:fontRef>
                      </wps:style>
                      <wps:txbx id="209">
                        <w:txbxContent>
                          <w:p>
                            <w:pPr>
                              <w:spacing w:line="240" w:lineRule="auto"/>
                              <w:ind w:left="0" w:firstLineChars="0" w:firstLine="0"/>
                              <w:jc w:val="both"/>
                              <w:rPr>
                                <w:b/>
                                <w:bCs/>
                                <w:color w:val="FF0000"/>
                                <w:highlight w:val="yellow"/>
                              </w:rPr>
                            </w:pPr>
                            <w:r>
                              <w:rPr>
                                <w:rFonts w:hint="eastAsia"/>
                                <w:b/>
                                <w:bCs/>
                                <w:color w:val="FF0000"/>
                                <w:lang w:val="en-US" w:eastAsia="zh-CN"/>
                                <w:highlight w:val="yellow"/>
                              </w:rPr>
                              <w:t>930</w:t>
                            </w:r>
                            <w:r>
                              <w:rPr>
                                <w:rFonts w:hint="eastAsia"/>
                                <w:b/>
                                <w:bCs/>
                                <w:color w:val="FF0000"/>
                                <w:highlight w:val="yellow"/>
                              </w:rPr>
                              <w:t>m</w:t>
                            </w:r>
                          </w:p>
                        </w:txbxContent>
                      </wps:txbx>
                      <wps:bodyPr vert="horz" wrap="square" lIns="91440" tIns="45720" rIns="91440" bIns="45720" anchor="ctr" anchorCtr="0" upright="0">
                        <a:noAutofit/>
                      </wps:bodyPr>
                    </wps:wsp>
                  </a:graphicData>
                </a:graphic>
              </wp:anchor>
            </w:drawing>
          </mc:Choice>
          <mc:Fallback>
            <w:pict>
              <v:rect type="#_x0000_t1" id="矩形 72" o:spid="_x0000_s210" filled="f" stroked="f" strokeweight="1.0pt" style="position:absolute;margin-left:278.05pt;margin-top:186.9pt;width:51.250008pt;height:21.000011pt;z-index:520;mso-position-horizontal:absolute;mso-position-vertical:absolute;mso-wrap-style:square;">
                <v:stroke/>
                <v:textbox id="958" inset="2.54mm,1.27mm,2.54mm,1.27mm" o:insetmode="custom" style="layout-flow:horizontal;v-text-anchor:middle;">
                  <w:txbxContent>
                    <w:p>
                      <w:pPr>
                        <w:spacing w:line="240" w:lineRule="auto"/>
                        <w:ind w:left="0" w:firstLineChars="0" w:firstLine="0"/>
                        <w:jc w:val="both"/>
                        <w:rPr>
                          <w:b/>
                          <w:bCs/>
                          <w:color w:val="FF0000"/>
                          <w:highlight w:val="yellow"/>
                        </w:rPr>
                      </w:pPr>
                      <w:r>
                        <w:rPr>
                          <w:rFonts w:hint="eastAsia"/>
                          <w:b/>
                          <w:bCs/>
                          <w:color w:val="FF0000"/>
                          <w:lang w:val="en-US" w:eastAsia="zh-CN"/>
                          <w:highlight w:val="yellow"/>
                        </w:rPr>
                        <w:t>930</w:t>
                      </w:r>
                      <w:r>
                        <w:rPr>
                          <w:rFonts w:hint="eastAsia"/>
                          <w:b/>
                          <w:bCs/>
                          <w:color w:val="FF0000"/>
                          <w:highlight w:val="yellow"/>
                        </w:rPr>
                        <w:t>m</w:t>
                      </w:r>
                    </w:p>
                  </w:txbxContent>
                </v:textbox>
              </v:rect>
            </w:pict>
          </mc:Fallback>
        </mc:AlternateContent>
      </w:r>
      <w:r>
        <w:rPr>
          <w:rFonts w:eastAsia="宋体" w:hint="eastAsia"/>
          <w:color w:val="auto"/>
          <w:lang w:val="en-US" w:eastAsia="zh-CN"/>
        </w:rPr>
        <w:drawing>
          <wp:inline distT="0" distB="0" distL="114300" distR="114300">
            <wp:extent cx="8882380" cy="4413885"/>
            <wp:effectExtent l="0" t="0" r="1" b="1"/>
            <wp:docPr id="1094" name="图片 12"/>
            <wp:cNvGraphicFramePr>
              <a:graphicFrameLocks noChangeAspect="1"/>
            </wp:cNvGraphicFramePr>
            <a:graphic>
              <a:graphicData uri="http://schemas.openxmlformats.org/drawingml/2006/picture">
                <pic:pic>
                  <pic:nvPicPr>
                    <pic:cNvPr id="212" name="图片 12 212"/>
                    <pic:cNvPicPr/>
                  </pic:nvPicPr>
                  <pic:blipFill>
                    <a:blip r:embed="rId81"/>
                    <a:stretch>
                      <a:fillRect/>
                    </a:stretch>
                  </pic:blipFill>
                  <pic:spPr>
                    <a:xfrm rot="0">
                      <a:off x="0" y="0"/>
                      <a:ext cx="8882380" cy="441388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sectPr>
          <w:pgSz w:w="16838" w:h="11906" w:orient="landscape"/>
          <w:pgMar w:top="1417" w:right="1417" w:bottom="1417" w:left="1417" w:header="851" w:footer="850" w:gutter="0"/>
          <w:cols w:num="1" w:space="0"/>
          <w:rtlGutter/>
          <w:docGrid w:linePitch="312" w:charSpace="0"/>
        </w:sectPr>
      </w:pPr>
      <w:r>
        <w:rPr>
          <w:rFonts w:eastAsia="宋体" w:hint="eastAsia"/>
          <w:b/>
          <w:bCs/>
          <w:color w:val="auto"/>
          <w:lang w:val="en-US" w:eastAsia="zh-CN"/>
        </w:rPr>
        <w:t>附图8  引用数据监测点位图</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color w:val="auto"/>
          <w:lang w:val="en-US" w:eastAsia="zh-CN"/>
        </w:rPr>
      </w:pPr>
      <w:r>
        <w:rPr>
          <w:rFonts w:eastAsia="宋体" w:hint="eastAsia"/>
          <w:color w:val="auto"/>
          <w:lang w:eastAsia="zh-CN"/>
        </w:rPr>
        <mc:AlternateContent>
          <mc:Choice Requires="wps">
            <w:drawing>
              <wp:anchor distT="0" distB="0" distL="114300" distR="114300" simplePos="0" relativeHeight="534" behindDoc="0" locked="0" layoutInCell="1" hidden="0" allowOverlap="1">
                <wp:simplePos x="0" y="0"/>
                <wp:positionH relativeFrom="column">
                  <wp:posOffset>3575685</wp:posOffset>
                </wp:positionH>
                <wp:positionV relativeFrom="paragraph">
                  <wp:posOffset>1436369</wp:posOffset>
                </wp:positionV>
                <wp:extent cx="102235" cy="674369"/>
                <wp:effectExtent l="39369" t="0" r="10795" b="11430"/>
                <wp:wrapNone/>
                <wp:docPr id="37" name="直接箭头连接符 37"/>
                <wp:cNvGraphicFramePr>
                  <a:graphicFrameLocks noChangeAspect="0"/>
                </wp:cNvGraphicFramePr>
                <a:graphic>
                  <a:graphicData uri="http://schemas.microsoft.com/office/word/2010/wordprocessingShape">
                    <wps:wsp>
                      <wps:cNvSpPr/>
                      <wps:spPr>
                        <a:xfrm flipH="1" flipV="1" rot="0">
                          <a:off x="0" y="0"/>
                          <a:ext cx="102235" cy="674369"/>
                        </a:xfrm>
                        <a:prstGeom prst="straightConnector1"/>
                        <a:ln w="19050" cmpd="sng" cap="flat">
                          <a:solidFill>
                            <a:srgbClr val="FF0000"/>
                          </a:solidFill>
                          <a:prstDash val="solid"/>
                          <a:miter/>
                          <a:tailEnd type="arrow" w="med" len="med"/>
                        </a:ln>
                      </wps:spPr>
                      <wps:style>
                        <a:lnRef idx="3">
                          <a:schemeClr val="dk1"/>
                        </a:lnRef>
                        <a:fillRef idx="0">
                          <a:schemeClr val="dk1"/>
                        </a:fillRef>
                        <a:effectRef idx="2">
                          <a:schemeClr val="dk1"/>
                        </a:effectRef>
                        <a:fontRef idx="minor">
                          <a:schemeClr val="tx1"/>
                        </a:fontRef>
                      </wps:style>
                      <wps:bodyPr vert="horz" wrap="square" lIns="91440" tIns="45720" rIns="91440" bIns="45720" anchor="t" anchorCtr="0" upright="0">
                        <a:noAutofit/>
                      </wps:bodyPr>
                    </wps:wsp>
                  </a:graphicData>
                </a:graphic>
              </wp:anchor>
            </w:drawing>
          </mc:Choice>
          <mc:Fallback>
            <w:pict>
              <v:shape type="#_x0000_t32" id="直接箭头连接符 37" o:spid="_x0000_s213" filled="f" stroked="t" strokeweight="1.5pt" style="position:absolute;margin-left:281.55pt;margin-top:113.09999pt;width:8.049988pt;height:53.09999pt;flip:x y;z-index:534;mso-position-horizontal:absolute;mso-position-vertical:absolute;">
                <v:stroke color="#FF0000" endarrow="open"/>
              </v:shape>
            </w:pict>
          </mc:Fallback>
        </mc:AlternateContent>
      </w:r>
      <w:r>
        <w:rPr>
          <w:rFonts w:eastAsia="宋体" w:hint="eastAsia"/>
          <w:color w:val="auto"/>
          <w:lang w:eastAsia="zh-CN"/>
        </w:rPr>
        <mc:AlternateContent>
          <mc:Choice Requires="wps">
            <w:drawing>
              <wp:anchor distT="0" distB="0" distL="114300" distR="114300" simplePos="0" relativeHeight="536" behindDoc="0" locked="0" layoutInCell="1" hidden="0" allowOverlap="1">
                <wp:simplePos x="0" y="0"/>
                <wp:positionH relativeFrom="column">
                  <wp:posOffset>2955289</wp:posOffset>
                </wp:positionH>
                <wp:positionV relativeFrom="paragraph">
                  <wp:posOffset>1692275</wp:posOffset>
                </wp:positionV>
                <wp:extent cx="650875" cy="266700"/>
                <wp:wrapNone/>
                <wp:docPr id="36" name="矩形 36"/>
                <wp:cNvGraphicFramePr>
                  <a:graphicFrameLocks noChangeAspect="0"/>
                </wp:cNvGraphicFramePr>
                <a:graphic>
                  <a:graphicData uri="http://schemas.microsoft.com/office/word/2010/wordprocessingShape">
                    <wps:wsp>
                      <wps:cNvSpPr/>
                      <wps:spPr>
                        <a:xfrm rot="0">
                          <a:off x="0" y="0"/>
                          <a:ext cx="650875" cy="266700"/>
                        </a:xfrm>
                        <a:prstGeom prst="rect"/>
                        <a:noFill/>
                        <a:ln w="12700" cmpd="sng" cap="flat">
                          <a:noFill/>
                          <a:prstDash val="solid"/>
                          <a:miter/>
                        </a:ln>
                      </wps:spPr>
                      <wps:style>
                        <a:lnRef idx="2">
                          <a:schemeClr val="dk1"/>
                        </a:lnRef>
                        <a:fillRef idx="1">
                          <a:schemeClr val="lt1"/>
                        </a:fillRef>
                        <a:effectRef idx="0">
                          <a:schemeClr val="dk1"/>
                        </a:effectRef>
                        <a:fontRef idx="minor">
                          <a:schemeClr val="dk1"/>
                        </a:fontRef>
                      </wps:style>
                      <wps:txbx id="214">
                        <w:txbxContent>
                          <w:p>
                            <w:pPr>
                              <w:spacing w:line="240" w:lineRule="auto"/>
                              <w:ind w:left="0" w:firstLineChars="0" w:firstLine="0"/>
                              <w:jc w:val="both"/>
                              <w:rPr>
                                <w:b/>
                                <w:bCs/>
                                <w:color w:val="FF0000"/>
                                <w:highlight w:val="yellow"/>
                              </w:rPr>
                            </w:pPr>
                            <w:r>
                              <w:rPr>
                                <w:rFonts w:hint="eastAsia"/>
                                <w:b/>
                                <w:bCs/>
                                <w:color w:val="FF0000"/>
                                <w:lang w:val="en-US" w:eastAsia="zh-CN"/>
                                <w:highlight w:val="yellow"/>
                              </w:rPr>
                              <w:t>290</w:t>
                            </w:r>
                            <w:r>
                              <w:rPr>
                                <w:rFonts w:hint="eastAsia"/>
                                <w:b/>
                                <w:bCs/>
                                <w:color w:val="FF0000"/>
                                <w:highlight w:val="yellow"/>
                              </w:rPr>
                              <w:t>m</w:t>
                            </w:r>
                          </w:p>
                        </w:txbxContent>
                      </wps:txbx>
                      <wps:bodyPr vert="horz" wrap="square" lIns="91440" tIns="45720" rIns="91440" bIns="45720" anchor="ctr" anchorCtr="0" upright="0">
                        <a:noAutofit/>
                      </wps:bodyPr>
                    </wps:wsp>
                  </a:graphicData>
                </a:graphic>
              </wp:anchor>
            </w:drawing>
          </mc:Choice>
          <mc:Fallback>
            <w:pict>
              <v:rect type="#_x0000_t1" id="矩形 36" o:spid="_x0000_s215" filled="f" stroked="f" strokeweight="1.0pt" style="position:absolute;margin-left:232.7pt;margin-top:133.25pt;width:51.250008pt;height:21.0pt;z-index:536;mso-position-horizontal:absolute;mso-position-vertical:absolute;mso-wrap-style:square;">
                <v:stroke/>
                <v:textbox id="960" inset="2.54mm,1.27mm,2.54mm,1.27mm" o:insetmode="custom" style="layout-flow:horizontal;v-text-anchor:middle;">
                  <w:txbxContent>
                    <w:p>
                      <w:pPr>
                        <w:spacing w:line="240" w:lineRule="auto"/>
                        <w:ind w:left="0" w:firstLineChars="0" w:firstLine="0"/>
                        <w:jc w:val="both"/>
                        <w:rPr>
                          <w:b/>
                          <w:bCs/>
                          <w:color w:val="FF0000"/>
                          <w:highlight w:val="yellow"/>
                        </w:rPr>
                      </w:pPr>
                      <w:r>
                        <w:rPr>
                          <w:rFonts w:hint="eastAsia"/>
                          <w:b/>
                          <w:bCs/>
                          <w:color w:val="FF0000"/>
                          <w:lang w:val="en-US" w:eastAsia="zh-CN"/>
                          <w:highlight w:val="yellow"/>
                        </w:rPr>
                        <w:t>290</w:t>
                      </w:r>
                      <w:r>
                        <w:rPr>
                          <w:rFonts w:hint="eastAsia"/>
                          <w:b/>
                          <w:bCs/>
                          <w:color w:val="FF0000"/>
                          <w:highlight w:val="yellow"/>
                        </w:rPr>
                        <w:t>m</w:t>
                      </w:r>
                    </w:p>
                  </w:txbxContent>
                </v:textbox>
              </v:rect>
            </w:pict>
          </mc:Fallback>
        </mc:AlternateContent>
      </w:r>
      <w:r>
        <w:rPr>
          <w:rFonts w:eastAsia="宋体" w:hint="eastAsia"/>
          <w:color w:val="auto"/>
          <w:lang w:eastAsia="zh-CN"/>
        </w:rPr>
        <mc:AlternateContent>
          <mc:Choice Requires="wps">
            <w:drawing>
              <wp:anchor distT="0" distB="0" distL="114300" distR="114300" simplePos="0" relativeHeight="540" behindDoc="0" locked="0" layoutInCell="1" hidden="0" allowOverlap="1">
                <wp:simplePos x="0" y="0"/>
                <wp:positionH relativeFrom="column">
                  <wp:posOffset>3880485</wp:posOffset>
                </wp:positionH>
                <wp:positionV relativeFrom="paragraph">
                  <wp:posOffset>1183005</wp:posOffset>
                </wp:positionV>
                <wp:extent cx="778509" cy="1044575"/>
                <wp:effectExtent l="7620" t="0" r="13970" b="22225"/>
                <wp:wrapNone/>
                <wp:docPr id="39" name="直接箭头连接符 39"/>
                <wp:cNvGraphicFramePr>
                  <a:graphicFrameLocks noChangeAspect="0"/>
                </wp:cNvGraphicFramePr>
                <a:graphic>
                  <a:graphicData uri="http://schemas.microsoft.com/office/word/2010/wordprocessingShape">
                    <wps:wsp>
                      <wps:cNvSpPr/>
                      <wps:spPr>
                        <a:xfrm flipV="1" rot="21600000">
                          <a:off x="0" y="0"/>
                          <a:ext cx="778509" cy="1044575"/>
                        </a:xfrm>
                        <a:prstGeom prst="straightConnector1"/>
                        <a:ln w="19050" cmpd="sng" cap="flat">
                          <a:solidFill>
                            <a:srgbClr val="FF0000"/>
                          </a:solidFill>
                          <a:prstDash val="solid"/>
                          <a:miter/>
                          <a:tailEnd type="arrow" w="med" len="med"/>
                        </a:ln>
                      </wps:spPr>
                      <wps:style>
                        <a:lnRef idx="3">
                          <a:schemeClr val="dk1"/>
                        </a:lnRef>
                        <a:fillRef idx="0">
                          <a:schemeClr val="dk1"/>
                        </a:fillRef>
                        <a:effectRef idx="2">
                          <a:schemeClr val="dk1"/>
                        </a:effectRef>
                        <a:fontRef idx="minor">
                          <a:schemeClr val="tx1"/>
                        </a:fontRef>
                      </wps:style>
                      <wps:bodyPr vert="horz" wrap="square" lIns="91440" tIns="45720" rIns="91440" bIns="45720" anchor="t" anchorCtr="0" upright="0">
                        <a:noAutofit/>
                      </wps:bodyPr>
                    </wps:wsp>
                  </a:graphicData>
                </a:graphic>
              </wp:anchor>
            </w:drawing>
          </mc:Choice>
          <mc:Fallback>
            <w:pict>
              <v:shape type="#_x0000_t32" id="直接箭头连接符 39" o:spid="_x0000_s216" filled="f" stroked="t" strokeweight="1.5pt" style="position:absolute;margin-left:305.55pt;margin-top:93.15pt;width:61.299988pt;height:82.24999pt;flip:y;z-index:540;mso-position-horizontal:absolute;mso-position-vertical:absolute;">
                <v:stroke color="#FF0000" endarrow="open"/>
              </v:shape>
            </w:pict>
          </mc:Fallback>
        </mc:AlternateContent>
      </w:r>
      <w:r>
        <w:rPr>
          <w:rFonts w:eastAsia="宋体" w:hint="eastAsia"/>
          <w:color w:val="auto"/>
          <w:lang w:eastAsia="zh-CN"/>
        </w:rPr>
        <mc:AlternateContent>
          <mc:Choice Requires="wps">
            <w:drawing>
              <wp:anchor distT="0" distB="0" distL="114300" distR="114300" simplePos="0" relativeHeight="538" behindDoc="0" locked="0" layoutInCell="1" hidden="0" allowOverlap="1">
                <wp:simplePos x="0" y="0"/>
                <wp:positionH relativeFrom="column">
                  <wp:posOffset>4230370</wp:posOffset>
                </wp:positionH>
                <wp:positionV relativeFrom="paragraph">
                  <wp:posOffset>1715135</wp:posOffset>
                </wp:positionV>
                <wp:extent cx="650874" cy="266700"/>
                <wp:wrapNone/>
                <wp:docPr id="38" name="矩形 38"/>
                <wp:cNvGraphicFramePr>
                  <a:graphicFrameLocks noChangeAspect="0"/>
                </wp:cNvGraphicFramePr>
                <a:graphic>
                  <a:graphicData uri="http://schemas.microsoft.com/office/word/2010/wordprocessingShape">
                    <wps:wsp>
                      <wps:cNvSpPr/>
                      <wps:spPr>
                        <a:xfrm rot="0">
                          <a:off x="0" y="0"/>
                          <a:ext cx="650874" cy="266700"/>
                        </a:xfrm>
                        <a:prstGeom prst="rect"/>
                        <a:noFill/>
                        <a:ln w="12700" cmpd="sng" cap="flat">
                          <a:noFill/>
                          <a:prstDash val="solid"/>
                          <a:miter/>
                        </a:ln>
                      </wps:spPr>
                      <wps:style>
                        <a:lnRef idx="2">
                          <a:schemeClr val="dk1"/>
                        </a:lnRef>
                        <a:fillRef idx="1">
                          <a:schemeClr val="lt1"/>
                        </a:fillRef>
                        <a:effectRef idx="0">
                          <a:schemeClr val="dk1"/>
                        </a:effectRef>
                        <a:fontRef idx="minor">
                          <a:schemeClr val="dk1"/>
                        </a:fontRef>
                      </wps:style>
                      <wps:txbx id="217">
                        <w:txbxContent>
                          <w:p>
                            <w:pPr>
                              <w:spacing w:line="240" w:lineRule="auto"/>
                              <w:ind w:left="0" w:firstLineChars="0" w:firstLine="0"/>
                              <w:jc w:val="both"/>
                              <w:rPr>
                                <w:b/>
                                <w:bCs/>
                                <w:color w:val="FF0000"/>
                                <w:highlight w:val="yellow"/>
                              </w:rPr>
                            </w:pPr>
                            <w:r>
                              <w:rPr>
                                <w:rFonts w:hint="eastAsia"/>
                                <w:b/>
                                <w:bCs/>
                                <w:color w:val="FF0000"/>
                                <w:lang w:val="en-US" w:eastAsia="zh-CN"/>
                                <w:highlight w:val="yellow"/>
                              </w:rPr>
                              <w:t>500</w:t>
                            </w:r>
                            <w:r>
                              <w:rPr>
                                <w:rFonts w:hint="eastAsia"/>
                                <w:b/>
                                <w:bCs/>
                                <w:color w:val="FF0000"/>
                                <w:highlight w:val="yellow"/>
                              </w:rPr>
                              <w:t>m</w:t>
                            </w:r>
                          </w:p>
                        </w:txbxContent>
                      </wps:txbx>
                      <wps:bodyPr vert="horz" wrap="square" lIns="91440" tIns="45720" rIns="91440" bIns="45720" anchor="ctr" anchorCtr="0" upright="0">
                        <a:noAutofit/>
                      </wps:bodyPr>
                    </wps:wsp>
                  </a:graphicData>
                </a:graphic>
              </wp:anchor>
            </w:drawing>
          </mc:Choice>
          <mc:Fallback>
            <w:pict>
              <v:rect type="#_x0000_t1" id="矩形 38" o:spid="_x0000_s218" filled="f" stroked="f" strokeweight="1.0pt" style="position:absolute;margin-left:333.1pt;margin-top:135.05pt;width:51.249985pt;height:21.0pt;z-index:538;mso-position-horizontal:absolute;mso-position-vertical:absolute;mso-wrap-style:square;">
                <v:stroke/>
                <v:textbox id="961" inset="2.54mm,1.27mm,2.54mm,1.27mm" o:insetmode="custom" style="layout-flow:horizontal;v-text-anchor:middle;">
                  <w:txbxContent>
                    <w:p>
                      <w:pPr>
                        <w:spacing w:line="240" w:lineRule="auto"/>
                        <w:ind w:left="0" w:firstLineChars="0" w:firstLine="0"/>
                        <w:jc w:val="both"/>
                        <w:rPr>
                          <w:b/>
                          <w:bCs/>
                          <w:color w:val="FF0000"/>
                          <w:highlight w:val="yellow"/>
                        </w:rPr>
                      </w:pPr>
                      <w:r>
                        <w:rPr>
                          <w:rFonts w:hint="eastAsia"/>
                          <w:b/>
                          <w:bCs/>
                          <w:color w:val="FF0000"/>
                          <w:lang w:val="en-US" w:eastAsia="zh-CN"/>
                          <w:highlight w:val="yellow"/>
                        </w:rPr>
                        <w:t>500</w:t>
                      </w:r>
                      <w:r>
                        <w:rPr>
                          <w:rFonts w:hint="eastAsia"/>
                          <w:b/>
                          <w:bCs/>
                          <w:color w:val="FF0000"/>
                          <w:highlight w:val="yellow"/>
                        </w:rPr>
                        <w:t>m</w:t>
                      </w:r>
                    </w:p>
                  </w:txbxContent>
                </v:textbox>
              </v:rect>
            </w:pict>
          </mc:Fallback>
        </mc:AlternateContent>
      </w:r>
      <w:r>
        <w:rPr>
          <w:rFonts w:eastAsia="宋体" w:hint="eastAsia"/>
          <w:color w:val="auto"/>
          <w:lang w:val="en-US" w:eastAsia="zh-CN"/>
        </w:rPr>
        <w:drawing>
          <wp:anchor distT="0" distB="0" distL="114300" distR="114300" simplePos="0" relativeHeight="532" behindDoc="0" locked="0" layoutInCell="1" hidden="0" allowOverlap="1">
            <wp:simplePos x="0" y="0"/>
            <wp:positionH relativeFrom="column">
              <wp:posOffset>8131809</wp:posOffset>
            </wp:positionH>
            <wp:positionV relativeFrom="paragraph">
              <wp:posOffset>98425</wp:posOffset>
            </wp:positionV>
            <wp:extent cx="822960" cy="736600"/>
            <wp:effectExtent l="0" t="0" r="15240" b="6350"/>
            <wp:wrapNone/>
            <wp:docPr id="1095" name="图片 3" descr="8fbca685491a9b2463b855c1c0accb9"/>
            <wp:cNvGraphicFramePr>
              <a:graphicFrameLocks noChangeAspect="1"/>
            </wp:cNvGraphicFramePr>
            <a:graphic>
              <a:graphicData uri="http://schemas.openxmlformats.org/drawingml/2006/picture">
                <pic:pic>
                  <pic:nvPicPr>
                    <pic:cNvPr id="219" name="图片 3 219"/>
                    <pic:cNvPicPr/>
                  </pic:nvPicPr>
                  <pic:blipFill>
                    <a:blip r:embed="rId83"/>
                    <a:stretch>
                      <a:fillRect/>
                    </a:stretch>
                  </pic:blipFill>
                  <pic:spPr>
                    <a:xfrm rot="0">
                      <a:off x="0" y="0"/>
                      <a:ext cx="822960" cy="736600"/>
                    </a:xfrm>
                    <a:prstGeom prst="rect"/>
                    <a:noFill/>
                    <a:ln cmpd="sng" cap="flat">
                      <a:noFill/>
                      <a:prstDash val="solid"/>
                      <a:round/>
                    </a:ln>
                  </pic:spPr>
                </pic:pic>
              </a:graphicData>
            </a:graphic>
          </wp:anchor>
        </w:drawing>
      </w:r>
      <w:r>
        <w:rPr>
          <w:rFonts w:eastAsia="宋体" w:hint="eastAsia"/>
          <w:color w:val="auto"/>
          <w:lang w:val="en-US" w:eastAsia="zh-CN"/>
        </w:rPr>
        <w:drawing>
          <wp:inline distT="0" distB="0" distL="114300" distR="114300">
            <wp:extent cx="8886190" cy="4533900"/>
            <wp:effectExtent l="0" t="0" r="1" b="1"/>
            <wp:docPr id="1096" name="图片 11"/>
            <wp:cNvGraphicFramePr>
              <a:graphicFrameLocks noChangeAspect="1"/>
            </wp:cNvGraphicFramePr>
            <a:graphic>
              <a:graphicData uri="http://schemas.openxmlformats.org/drawingml/2006/picture">
                <pic:pic>
                  <pic:nvPicPr>
                    <pic:cNvPr id="221" name="图片 11 221"/>
                    <pic:cNvPicPr/>
                  </pic:nvPicPr>
                  <pic:blipFill>
                    <a:blip r:embed="rId84"/>
                    <a:stretch>
                      <a:fillRect/>
                    </a:stretch>
                  </pic:blipFill>
                  <pic:spPr>
                    <a:xfrm rot="0">
                      <a:off x="0" y="0"/>
                      <a:ext cx="8886190" cy="453390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val="en-US" w:eastAsia="zh-CN"/>
        </w:rPr>
      </w:pPr>
      <w:r>
        <w:rPr>
          <w:rFonts w:eastAsia="宋体" w:hint="eastAsia"/>
          <w:b/>
          <w:bCs/>
          <w:color w:val="auto"/>
          <w:lang w:val="en-US" w:eastAsia="zh-CN"/>
        </w:rPr>
        <w:t>附图9  环境保护目标分布图</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eastAsia="宋体" w:hint="eastAsia"/>
          <w:b/>
          <w:bCs/>
          <w:color w:val="auto"/>
          <w:lang w:eastAsia="zh-CN"/>
        </w:rPr>
        <w:sectPr>
          <w:footerReference w:type="default" r:id="rId82"/>
          <w:pgSz w:w="16838" w:h="11906" w:orient="landscape"/>
          <w:pgMar w:top="1417" w:right="1417" w:bottom="1417" w:left="1417" w:header="851" w:footer="992" w:gutter="0"/>
          <w:pgNumType/>
          <w:cols w:num="1" w:space="0"/>
          <w:rtlGutter/>
          <w:docGrid w:type="lines" w:linePitch="336" w:charSpace="0"/>
        </w:sectPr>
      </w:pP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314950" cy="7562850"/>
            <wp:effectExtent l="0" t="0" r="1" b="1"/>
            <wp:docPr id="1097" name="图片 5"/>
            <wp:cNvGraphicFramePr>
              <a:graphicFrameLocks noChangeAspect="1"/>
            </wp:cNvGraphicFramePr>
            <a:graphic>
              <a:graphicData uri="http://schemas.openxmlformats.org/drawingml/2006/picture">
                <pic:pic>
                  <pic:nvPicPr>
                    <pic:cNvPr id="223" name="图片 5 223"/>
                    <pic:cNvPicPr/>
                  </pic:nvPicPr>
                  <pic:blipFill>
                    <a:blip r:embed="rId85"/>
                    <a:stretch>
                      <a:fillRect/>
                    </a:stretch>
                  </pic:blipFill>
                  <pic:spPr>
                    <a:xfrm rot="0">
                      <a:off x="0" y="0"/>
                      <a:ext cx="5314950" cy="756285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324475" cy="7439025"/>
            <wp:effectExtent l="0" t="0" r="1" b="0"/>
            <wp:docPr id="1098" name="图片 6"/>
            <wp:cNvGraphicFramePr>
              <a:graphicFrameLocks noChangeAspect="1"/>
            </wp:cNvGraphicFramePr>
            <a:graphic>
              <a:graphicData uri="http://schemas.openxmlformats.org/drawingml/2006/picture">
                <pic:pic>
                  <pic:nvPicPr>
                    <pic:cNvPr id="225" name="图片 6 225"/>
                    <pic:cNvPicPr/>
                  </pic:nvPicPr>
                  <pic:blipFill>
                    <a:blip r:embed="rId86"/>
                    <a:stretch>
                      <a:fillRect/>
                    </a:stretch>
                  </pic:blipFill>
                  <pic:spPr>
                    <a:xfrm rot="0">
                      <a:off x="0" y="0"/>
                      <a:ext cx="5324475" cy="743902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314950" cy="7524750"/>
            <wp:effectExtent l="0" t="0" r="1" b="0"/>
            <wp:docPr id="1099" name="图片 7"/>
            <wp:cNvGraphicFramePr>
              <a:graphicFrameLocks noChangeAspect="1"/>
            </wp:cNvGraphicFramePr>
            <a:graphic>
              <a:graphicData uri="http://schemas.openxmlformats.org/drawingml/2006/picture">
                <pic:pic>
                  <pic:nvPicPr>
                    <pic:cNvPr id="227" name="图片 7 227"/>
                    <pic:cNvPicPr/>
                  </pic:nvPicPr>
                  <pic:blipFill>
                    <a:blip r:embed="rId87"/>
                    <a:stretch>
                      <a:fillRect/>
                    </a:stretch>
                  </pic:blipFill>
                  <pic:spPr>
                    <a:xfrm rot="0">
                      <a:off x="0" y="0"/>
                      <a:ext cx="5314950" cy="752475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8490585" cy="5983605"/>
            <wp:effectExtent l="1" t="0" r="1" b="0"/>
            <wp:docPr id="1100" name="图片 1100" descr="新营业执照"/>
            <wp:cNvGraphicFramePr>
              <a:graphicFrameLocks noChangeAspect="1"/>
            </wp:cNvGraphicFramePr>
            <a:graphic>
              <a:graphicData uri="http://schemas.openxmlformats.org/drawingml/2006/picture">
                <pic:pic>
                  <pic:nvPicPr>
                    <pic:cNvPr id="229" name="图片 229"/>
                    <pic:cNvPicPr/>
                  </pic:nvPicPr>
                  <pic:blipFill>
                    <a:blip r:embed="rId88"/>
                    <a:stretch>
                      <a:fillRect/>
                    </a:stretch>
                  </pic:blipFill>
                  <pic:spPr>
                    <a:xfrm rot="16200000">
                      <a:off x="0" y="0"/>
                      <a:ext cx="8490585" cy="5983605"/>
                    </a:xfrm>
                    <a:prstGeom prst="rect"/>
                    <a:noFill/>
                    <a:ln w="9525" cmpd="sng" cap="flat">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6838" w:h="11906" w:orient="landscape"/>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8248015" cy="5993130"/>
            <wp:effectExtent l="0" t="0" r="1" b="0"/>
            <wp:docPr id="1101" name="图片 1101" descr="土地证1"/>
            <wp:cNvGraphicFramePr>
              <a:graphicFrameLocks noChangeAspect="1"/>
            </wp:cNvGraphicFramePr>
            <a:graphic>
              <a:graphicData uri="http://schemas.openxmlformats.org/drawingml/2006/picture">
                <pic:pic>
                  <pic:nvPicPr>
                    <pic:cNvPr id="231" name="图片 231"/>
                    <pic:cNvPicPr/>
                  </pic:nvPicPr>
                  <pic:blipFill>
                    <a:blip r:embed="rId89"/>
                    <a:stretch>
                      <a:fillRect/>
                    </a:stretch>
                  </pic:blipFill>
                  <pic:spPr>
                    <a:xfrm rot="0">
                      <a:off x="0" y="0"/>
                      <a:ext cx="8248015" cy="5993130"/>
                    </a:xfrm>
                    <a:prstGeom prst="rect"/>
                    <a:noFill/>
                    <a:ln w="9525" cmpd="sng" cap="flat">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6838" w:h="11906" w:orient="landscape"/>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8107680" cy="5932805"/>
            <wp:effectExtent l="0" t="0" r="0" b="0"/>
            <wp:docPr id="1102" name="图片 1102" descr="土地证2"/>
            <wp:cNvGraphicFramePr>
              <a:graphicFrameLocks noChangeAspect="1"/>
            </wp:cNvGraphicFramePr>
            <a:graphic>
              <a:graphicData uri="http://schemas.openxmlformats.org/drawingml/2006/picture">
                <pic:pic>
                  <pic:nvPicPr>
                    <pic:cNvPr id="233" name="图片 233"/>
                    <pic:cNvPicPr/>
                  </pic:nvPicPr>
                  <pic:blipFill>
                    <a:blip r:embed="rId90"/>
                    <a:stretch>
                      <a:fillRect/>
                    </a:stretch>
                  </pic:blipFill>
                  <pic:spPr>
                    <a:xfrm rot="0">
                      <a:off x="0" y="0"/>
                      <a:ext cx="8107680" cy="5932805"/>
                    </a:xfrm>
                    <a:prstGeom prst="rect"/>
                    <a:noFill/>
                    <a:ln w="9525" cmpd="sng" cap="flat">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6052820" cy="8149590"/>
            <wp:effectExtent l="0" t="0" r="0" b="0"/>
            <wp:docPr id="1103" name="图片 1103" descr="土地证3"/>
            <wp:cNvGraphicFramePr>
              <a:graphicFrameLocks noChangeAspect="1"/>
            </wp:cNvGraphicFramePr>
            <a:graphic>
              <a:graphicData uri="http://schemas.openxmlformats.org/drawingml/2006/picture">
                <pic:pic>
                  <pic:nvPicPr>
                    <pic:cNvPr id="235" name="图片 235"/>
                    <pic:cNvPicPr/>
                  </pic:nvPicPr>
                  <pic:blipFill>
                    <a:blip r:embed="rId91"/>
                    <a:stretch>
                      <a:fillRect/>
                    </a:stretch>
                  </pic:blipFill>
                  <pic:spPr>
                    <a:xfrm rot="0">
                      <a:off x="0" y="0"/>
                      <a:ext cx="6052820" cy="8149590"/>
                    </a:xfrm>
                    <a:prstGeom prst="rect"/>
                    <a:noFill/>
                    <a:ln w="9525" cmpd="sng" cap="flat">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7785100" cy="5041265"/>
            <wp:effectExtent l="1" t="0" r="1" b="1"/>
            <wp:docPr id="1104" name="图片 1104" descr="123276e168b00709a17627ce7e6d8e3"/>
            <wp:cNvGraphicFramePr>
              <a:graphicFrameLocks noChangeAspect="1"/>
            </wp:cNvGraphicFramePr>
            <a:graphic>
              <a:graphicData uri="http://schemas.openxmlformats.org/drawingml/2006/picture">
                <pic:pic>
                  <pic:nvPicPr>
                    <pic:cNvPr id="237" name="图片 237"/>
                    <pic:cNvPicPr/>
                  </pic:nvPicPr>
                  <pic:blipFill>
                    <a:blip r:embed="rId92"/>
                    <a:stretch>
                      <a:fillRect/>
                    </a:stretch>
                  </pic:blipFill>
                  <pic:spPr>
                    <a:xfrm rot="16200000">
                      <a:off x="0" y="0"/>
                      <a:ext cx="7785100" cy="5041265"/>
                    </a:xfrm>
                    <a:prstGeom prst="rect"/>
                    <a:noFill/>
                    <a:ln w="9525" cmpd="sng" cap="flat">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610225" cy="7886700"/>
            <wp:effectExtent l="0" t="0" r="1" b="0"/>
            <wp:docPr id="1105" name="图片 7"/>
            <wp:cNvGraphicFramePr>
              <a:graphicFrameLocks noChangeAspect="1"/>
            </wp:cNvGraphicFramePr>
            <a:graphic>
              <a:graphicData uri="http://schemas.openxmlformats.org/drawingml/2006/picture">
                <pic:pic>
                  <pic:nvPicPr>
                    <pic:cNvPr id="239" name="图片 7 239"/>
                    <pic:cNvPicPr/>
                  </pic:nvPicPr>
                  <pic:blipFill>
                    <a:blip r:embed="rId93"/>
                    <a:stretch>
                      <a:fillRect/>
                    </a:stretch>
                  </pic:blipFill>
                  <pic:spPr>
                    <a:xfrm rot="0">
                      <a:off x="0" y="0"/>
                      <a:ext cx="5610225" cy="788670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81650" cy="7924800"/>
            <wp:effectExtent l="0" t="0" r="1" b="0"/>
            <wp:docPr id="1106" name="图片 8"/>
            <wp:cNvGraphicFramePr>
              <a:graphicFrameLocks noChangeAspect="1"/>
            </wp:cNvGraphicFramePr>
            <a:graphic>
              <a:graphicData uri="http://schemas.openxmlformats.org/drawingml/2006/picture">
                <pic:pic>
                  <pic:nvPicPr>
                    <pic:cNvPr id="241" name="图片 8 241"/>
                    <pic:cNvPicPr/>
                  </pic:nvPicPr>
                  <pic:blipFill>
                    <a:blip r:embed="rId94"/>
                    <a:stretch>
                      <a:fillRect/>
                    </a:stretch>
                  </pic:blipFill>
                  <pic:spPr>
                    <a:xfrm rot="0">
                      <a:off x="0" y="0"/>
                      <a:ext cx="5581650" cy="792480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896225"/>
            <wp:effectExtent l="0" t="0" r="1" b="0"/>
            <wp:docPr id="1107" name="图片 9"/>
            <wp:cNvGraphicFramePr>
              <a:graphicFrameLocks noChangeAspect="1"/>
            </wp:cNvGraphicFramePr>
            <a:graphic>
              <a:graphicData uri="http://schemas.openxmlformats.org/drawingml/2006/picture">
                <pic:pic>
                  <pic:nvPicPr>
                    <pic:cNvPr id="243" name="图片 9 243"/>
                    <pic:cNvPicPr/>
                  </pic:nvPicPr>
                  <pic:blipFill>
                    <a:blip r:embed="rId95"/>
                    <a:stretch>
                      <a:fillRect/>
                    </a:stretch>
                  </pic:blipFill>
                  <pic:spPr>
                    <a:xfrm rot="0">
                      <a:off x="0" y="0"/>
                      <a:ext cx="5591175" cy="789622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896225"/>
            <wp:effectExtent l="0" t="0" r="1" b="0"/>
            <wp:docPr id="1108" name="图片 10"/>
            <wp:cNvGraphicFramePr>
              <a:graphicFrameLocks noChangeAspect="1"/>
            </wp:cNvGraphicFramePr>
            <a:graphic>
              <a:graphicData uri="http://schemas.openxmlformats.org/drawingml/2006/picture">
                <pic:pic>
                  <pic:nvPicPr>
                    <pic:cNvPr id="245" name="图片 10 245"/>
                    <pic:cNvPicPr/>
                  </pic:nvPicPr>
                  <pic:blipFill>
                    <a:blip r:embed="rId96"/>
                    <a:stretch>
                      <a:fillRect/>
                    </a:stretch>
                  </pic:blipFill>
                  <pic:spPr>
                    <a:xfrm rot="0">
                      <a:off x="0" y="0"/>
                      <a:ext cx="5591175" cy="789622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915275"/>
            <wp:effectExtent l="0" t="0" r="1" b="1"/>
            <wp:docPr id="1109" name="图片 11"/>
            <wp:cNvGraphicFramePr>
              <a:graphicFrameLocks noChangeAspect="1"/>
            </wp:cNvGraphicFramePr>
            <a:graphic>
              <a:graphicData uri="http://schemas.openxmlformats.org/drawingml/2006/picture">
                <pic:pic>
                  <pic:nvPicPr>
                    <pic:cNvPr id="247" name="图片 11 247"/>
                    <pic:cNvPicPr/>
                  </pic:nvPicPr>
                  <pic:blipFill>
                    <a:blip r:embed="rId97"/>
                    <a:stretch>
                      <a:fillRect/>
                    </a:stretch>
                  </pic:blipFill>
                  <pic:spPr>
                    <a:xfrm rot="0">
                      <a:off x="0" y="0"/>
                      <a:ext cx="5591175" cy="79152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10225" cy="7896225"/>
            <wp:effectExtent l="0" t="0" r="1" b="0"/>
            <wp:docPr id="1110" name="图片 12"/>
            <wp:cNvGraphicFramePr>
              <a:graphicFrameLocks noChangeAspect="1"/>
            </wp:cNvGraphicFramePr>
            <a:graphic>
              <a:graphicData uri="http://schemas.openxmlformats.org/drawingml/2006/picture">
                <pic:pic>
                  <pic:nvPicPr>
                    <pic:cNvPr id="249" name="图片 12 249"/>
                    <pic:cNvPicPr/>
                  </pic:nvPicPr>
                  <pic:blipFill>
                    <a:blip r:embed="rId98"/>
                    <a:stretch>
                      <a:fillRect/>
                    </a:stretch>
                  </pic:blipFill>
                  <pic:spPr>
                    <a:xfrm rot="0">
                      <a:off x="0" y="0"/>
                      <a:ext cx="5610225" cy="789622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00700" cy="7934325"/>
            <wp:effectExtent l="0" t="0" r="1" b="0"/>
            <wp:docPr id="1111" name="图片 13"/>
            <wp:cNvGraphicFramePr>
              <a:graphicFrameLocks noChangeAspect="1"/>
            </wp:cNvGraphicFramePr>
            <a:graphic>
              <a:graphicData uri="http://schemas.openxmlformats.org/drawingml/2006/picture">
                <pic:pic>
                  <pic:nvPicPr>
                    <pic:cNvPr id="251" name="图片 13 251"/>
                    <pic:cNvPicPr/>
                  </pic:nvPicPr>
                  <pic:blipFill>
                    <a:blip r:embed="rId99"/>
                    <a:stretch>
                      <a:fillRect/>
                    </a:stretch>
                  </pic:blipFill>
                  <pic:spPr>
                    <a:xfrm rot="0">
                      <a:off x="0" y="0"/>
                      <a:ext cx="5600700" cy="793432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72125" cy="7877175"/>
            <wp:effectExtent l="0" t="0" r="1" b="0"/>
            <wp:docPr id="1112" name="图片 14"/>
            <wp:cNvGraphicFramePr>
              <a:graphicFrameLocks noChangeAspect="1"/>
            </wp:cNvGraphicFramePr>
            <a:graphic>
              <a:graphicData uri="http://schemas.openxmlformats.org/drawingml/2006/picture">
                <pic:pic>
                  <pic:nvPicPr>
                    <pic:cNvPr id="253" name="图片 14 253"/>
                    <pic:cNvPicPr/>
                  </pic:nvPicPr>
                  <pic:blipFill>
                    <a:blip r:embed="rId100"/>
                    <a:stretch>
                      <a:fillRect/>
                    </a:stretch>
                  </pic:blipFill>
                  <pic:spPr>
                    <a:xfrm rot="0">
                      <a:off x="0" y="0"/>
                      <a:ext cx="5572125" cy="78771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19750" cy="7924800"/>
            <wp:effectExtent l="0" t="0" r="1" b="0"/>
            <wp:docPr id="1113" name="图片 15"/>
            <wp:cNvGraphicFramePr>
              <a:graphicFrameLocks noChangeAspect="1"/>
            </wp:cNvGraphicFramePr>
            <a:graphic>
              <a:graphicData uri="http://schemas.openxmlformats.org/drawingml/2006/picture">
                <pic:pic>
                  <pic:nvPicPr>
                    <pic:cNvPr id="255" name="图片 15 255"/>
                    <pic:cNvPicPr/>
                  </pic:nvPicPr>
                  <pic:blipFill>
                    <a:blip r:embed="rId101"/>
                    <a:stretch>
                      <a:fillRect/>
                    </a:stretch>
                  </pic:blipFill>
                  <pic:spPr>
                    <a:xfrm rot="0">
                      <a:off x="0" y="0"/>
                      <a:ext cx="5619750" cy="792480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10225" cy="7924800"/>
            <wp:effectExtent l="0" t="0" r="1" b="0"/>
            <wp:docPr id="1114" name="图片 16"/>
            <wp:cNvGraphicFramePr>
              <a:graphicFrameLocks noChangeAspect="1"/>
            </wp:cNvGraphicFramePr>
            <a:graphic>
              <a:graphicData uri="http://schemas.openxmlformats.org/drawingml/2006/picture">
                <pic:pic>
                  <pic:nvPicPr>
                    <pic:cNvPr id="257" name="图片 16 257"/>
                    <pic:cNvPicPr/>
                  </pic:nvPicPr>
                  <pic:blipFill>
                    <a:blip r:embed="rId102"/>
                    <a:stretch>
                      <a:fillRect/>
                    </a:stretch>
                  </pic:blipFill>
                  <pic:spPr>
                    <a:xfrm rot="0">
                      <a:off x="0" y="0"/>
                      <a:ext cx="5610225" cy="792480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10225" cy="7943850"/>
            <wp:effectExtent l="0" t="0" r="1" b="0"/>
            <wp:docPr id="1115" name="图片 17"/>
            <wp:cNvGraphicFramePr>
              <a:graphicFrameLocks noChangeAspect="1"/>
            </wp:cNvGraphicFramePr>
            <a:graphic>
              <a:graphicData uri="http://schemas.openxmlformats.org/drawingml/2006/picture">
                <pic:pic>
                  <pic:nvPicPr>
                    <pic:cNvPr id="259" name="图片 17 259"/>
                    <pic:cNvPicPr/>
                  </pic:nvPicPr>
                  <pic:blipFill>
                    <a:blip r:embed="rId103"/>
                    <a:stretch>
                      <a:fillRect/>
                    </a:stretch>
                  </pic:blipFill>
                  <pic:spPr>
                    <a:xfrm rot="0">
                      <a:off x="0" y="0"/>
                      <a:ext cx="5610225" cy="794385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72125" cy="7943850"/>
            <wp:effectExtent l="0" t="0" r="1" b="0"/>
            <wp:docPr id="1116" name="图片 18"/>
            <wp:cNvGraphicFramePr>
              <a:graphicFrameLocks noChangeAspect="1"/>
            </wp:cNvGraphicFramePr>
            <a:graphic>
              <a:graphicData uri="http://schemas.openxmlformats.org/drawingml/2006/picture">
                <pic:pic>
                  <pic:nvPicPr>
                    <pic:cNvPr id="261" name="图片 18 261"/>
                    <pic:cNvPicPr/>
                  </pic:nvPicPr>
                  <pic:blipFill>
                    <a:blip r:embed="rId104"/>
                    <a:stretch>
                      <a:fillRect/>
                    </a:stretch>
                  </pic:blipFill>
                  <pic:spPr>
                    <a:xfrm rot="0">
                      <a:off x="0" y="0"/>
                      <a:ext cx="5572125" cy="794385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00700" cy="7915275"/>
            <wp:effectExtent l="0" t="0" r="1" b="1"/>
            <wp:docPr id="1117" name="图片 19"/>
            <wp:cNvGraphicFramePr>
              <a:graphicFrameLocks noChangeAspect="1"/>
            </wp:cNvGraphicFramePr>
            <a:graphic>
              <a:graphicData uri="http://schemas.openxmlformats.org/drawingml/2006/picture">
                <pic:pic>
                  <pic:nvPicPr>
                    <pic:cNvPr id="263" name="图片 19 263"/>
                    <pic:cNvPicPr/>
                  </pic:nvPicPr>
                  <pic:blipFill>
                    <a:blip r:embed="rId105"/>
                    <a:stretch>
                      <a:fillRect/>
                    </a:stretch>
                  </pic:blipFill>
                  <pic:spPr>
                    <a:xfrm rot="0">
                      <a:off x="0" y="0"/>
                      <a:ext cx="5600700" cy="79152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00700" cy="7905750"/>
            <wp:effectExtent l="0" t="0" r="1" b="0"/>
            <wp:docPr id="1118" name="图片 20"/>
            <wp:cNvGraphicFramePr>
              <a:graphicFrameLocks noChangeAspect="1"/>
            </wp:cNvGraphicFramePr>
            <a:graphic>
              <a:graphicData uri="http://schemas.openxmlformats.org/drawingml/2006/picture">
                <pic:pic>
                  <pic:nvPicPr>
                    <pic:cNvPr id="265" name="图片 20 265"/>
                    <pic:cNvPicPr/>
                  </pic:nvPicPr>
                  <pic:blipFill>
                    <a:blip r:embed="rId106"/>
                    <a:stretch>
                      <a:fillRect/>
                    </a:stretch>
                  </pic:blipFill>
                  <pic:spPr>
                    <a:xfrm rot="0">
                      <a:off x="0" y="0"/>
                      <a:ext cx="5600700" cy="790575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00700" cy="7915275"/>
            <wp:effectExtent l="0" t="0" r="1" b="1"/>
            <wp:docPr id="1119" name="图片 21"/>
            <wp:cNvGraphicFramePr>
              <a:graphicFrameLocks noChangeAspect="1"/>
            </wp:cNvGraphicFramePr>
            <a:graphic>
              <a:graphicData uri="http://schemas.openxmlformats.org/drawingml/2006/picture">
                <pic:pic>
                  <pic:nvPicPr>
                    <pic:cNvPr id="267" name="图片 21 267"/>
                    <pic:cNvPicPr/>
                  </pic:nvPicPr>
                  <pic:blipFill>
                    <a:blip r:embed="rId107"/>
                    <a:stretch>
                      <a:fillRect/>
                    </a:stretch>
                  </pic:blipFill>
                  <pic:spPr>
                    <a:xfrm rot="0">
                      <a:off x="0" y="0"/>
                      <a:ext cx="5600700" cy="79152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915275"/>
            <wp:effectExtent l="0" t="0" r="1" b="1"/>
            <wp:docPr id="1120" name="图片 22"/>
            <wp:cNvGraphicFramePr>
              <a:graphicFrameLocks noChangeAspect="1"/>
            </wp:cNvGraphicFramePr>
            <a:graphic>
              <a:graphicData uri="http://schemas.openxmlformats.org/drawingml/2006/picture">
                <pic:pic>
                  <pic:nvPicPr>
                    <pic:cNvPr id="269" name="图片 22 269"/>
                    <pic:cNvPicPr/>
                  </pic:nvPicPr>
                  <pic:blipFill>
                    <a:blip r:embed="rId108"/>
                    <a:stretch>
                      <a:fillRect/>
                    </a:stretch>
                  </pic:blipFill>
                  <pic:spPr>
                    <a:xfrm rot="0">
                      <a:off x="0" y="0"/>
                      <a:ext cx="5591175" cy="79152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62600" cy="7829550"/>
            <wp:effectExtent l="0" t="0" r="1" b="0"/>
            <wp:docPr id="1121" name="图片 23"/>
            <wp:cNvGraphicFramePr>
              <a:graphicFrameLocks noChangeAspect="1"/>
            </wp:cNvGraphicFramePr>
            <a:graphic>
              <a:graphicData uri="http://schemas.openxmlformats.org/drawingml/2006/picture">
                <pic:pic>
                  <pic:nvPicPr>
                    <pic:cNvPr id="271" name="图片 23 271"/>
                    <pic:cNvPicPr/>
                  </pic:nvPicPr>
                  <pic:blipFill>
                    <a:blip r:embed="rId109"/>
                    <a:stretch>
                      <a:fillRect/>
                    </a:stretch>
                  </pic:blipFill>
                  <pic:spPr>
                    <a:xfrm rot="0">
                      <a:off x="0" y="0"/>
                      <a:ext cx="5562600" cy="782955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00700" cy="7915275"/>
            <wp:effectExtent l="0" t="0" r="1" b="1"/>
            <wp:docPr id="1122" name="图片 24"/>
            <wp:cNvGraphicFramePr>
              <a:graphicFrameLocks noChangeAspect="1"/>
            </wp:cNvGraphicFramePr>
            <a:graphic>
              <a:graphicData uri="http://schemas.openxmlformats.org/drawingml/2006/picture">
                <pic:pic>
                  <pic:nvPicPr>
                    <pic:cNvPr id="273" name="图片 24 273"/>
                    <pic:cNvPicPr/>
                  </pic:nvPicPr>
                  <pic:blipFill>
                    <a:blip r:embed="rId110"/>
                    <a:stretch>
                      <a:fillRect/>
                    </a:stretch>
                  </pic:blipFill>
                  <pic:spPr>
                    <a:xfrm rot="0">
                      <a:off x="0" y="0"/>
                      <a:ext cx="5600700" cy="79152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934325"/>
            <wp:effectExtent l="0" t="0" r="1" b="0"/>
            <wp:docPr id="1123" name="图片 25"/>
            <wp:cNvGraphicFramePr>
              <a:graphicFrameLocks noChangeAspect="1"/>
            </wp:cNvGraphicFramePr>
            <a:graphic>
              <a:graphicData uri="http://schemas.openxmlformats.org/drawingml/2006/picture">
                <pic:pic>
                  <pic:nvPicPr>
                    <pic:cNvPr id="275" name="图片 25 275"/>
                    <pic:cNvPicPr/>
                  </pic:nvPicPr>
                  <pic:blipFill>
                    <a:blip r:embed="rId111"/>
                    <a:stretch>
                      <a:fillRect/>
                    </a:stretch>
                  </pic:blipFill>
                  <pic:spPr>
                    <a:xfrm rot="0">
                      <a:off x="0" y="0"/>
                      <a:ext cx="5591175" cy="793432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both"/>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755005" cy="7740015"/>
            <wp:effectExtent l="0" t="0" r="0" b="0"/>
            <wp:docPr id="1124" name="图片 6"/>
            <wp:cNvGraphicFramePr>
              <a:graphicFrameLocks noChangeAspect="1"/>
            </wp:cNvGraphicFramePr>
            <a:graphic>
              <a:graphicData uri="http://schemas.openxmlformats.org/drawingml/2006/picture">
                <pic:pic>
                  <pic:nvPicPr>
                    <pic:cNvPr id="277" name="图片 6 277"/>
                    <pic:cNvPicPr/>
                  </pic:nvPicPr>
                  <pic:blipFill>
                    <a:blip r:embed="rId112"/>
                    <a:stretch>
                      <a:fillRect/>
                    </a:stretch>
                  </pic:blipFill>
                  <pic:spPr>
                    <a:xfrm rot="0">
                      <a:off x="0" y="0"/>
                      <a:ext cx="5755005" cy="774001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both"/>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818505" cy="7740015"/>
            <wp:effectExtent l="0" t="0" r="0" b="0"/>
            <wp:docPr id="1125" name="图片 7"/>
            <wp:cNvGraphicFramePr>
              <a:graphicFrameLocks noChangeAspect="1"/>
            </wp:cNvGraphicFramePr>
            <a:graphic>
              <a:graphicData uri="http://schemas.openxmlformats.org/drawingml/2006/picture">
                <pic:pic>
                  <pic:nvPicPr>
                    <pic:cNvPr id="279" name="图片 7 279"/>
                    <pic:cNvPicPr/>
                  </pic:nvPicPr>
                  <pic:blipFill>
                    <a:blip r:embed="rId113"/>
                    <a:stretch>
                      <a:fillRect/>
                    </a:stretch>
                  </pic:blipFill>
                  <pic:spPr>
                    <a:xfrm rot="0">
                      <a:off x="0" y="0"/>
                      <a:ext cx="5818505" cy="774001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757545" cy="7659369"/>
            <wp:effectExtent l="0" t="0" r="0" b="0"/>
            <wp:docPr id="1126" name="图片 8"/>
            <wp:cNvGraphicFramePr>
              <a:graphicFrameLocks noChangeAspect="1"/>
            </wp:cNvGraphicFramePr>
            <a:graphic>
              <a:graphicData uri="http://schemas.openxmlformats.org/drawingml/2006/picture">
                <pic:pic>
                  <pic:nvPicPr>
                    <pic:cNvPr id="281" name="图片 8 281"/>
                    <pic:cNvPicPr/>
                  </pic:nvPicPr>
                  <pic:blipFill>
                    <a:blip r:embed="rId114"/>
                    <a:stretch>
                      <a:fillRect/>
                    </a:stretch>
                  </pic:blipFill>
                  <pic:spPr>
                    <a:xfrm rot="0">
                      <a:off x="0" y="0"/>
                      <a:ext cx="5757545" cy="7659369"/>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758179" cy="7707630"/>
            <wp:effectExtent l="0" t="0" r="1" b="0"/>
            <wp:docPr id="1127" name="图片 9"/>
            <wp:cNvGraphicFramePr>
              <a:graphicFrameLocks noChangeAspect="1"/>
            </wp:cNvGraphicFramePr>
            <a:graphic>
              <a:graphicData uri="http://schemas.openxmlformats.org/drawingml/2006/picture">
                <pic:pic>
                  <pic:nvPicPr>
                    <pic:cNvPr id="283" name="图片 9 283"/>
                    <pic:cNvPicPr/>
                  </pic:nvPicPr>
                  <pic:blipFill>
                    <a:blip r:embed="rId115"/>
                    <a:stretch>
                      <a:fillRect/>
                    </a:stretch>
                  </pic:blipFill>
                  <pic:spPr>
                    <a:xfrm rot="0">
                      <a:off x="0" y="0"/>
                      <a:ext cx="5758179" cy="770763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757545" cy="7634605"/>
            <wp:effectExtent l="0" t="0" r="0" b="0"/>
            <wp:docPr id="1128" name="图片 10"/>
            <wp:cNvGraphicFramePr>
              <a:graphicFrameLocks noChangeAspect="1"/>
            </wp:cNvGraphicFramePr>
            <a:graphic>
              <a:graphicData uri="http://schemas.openxmlformats.org/drawingml/2006/picture">
                <pic:pic>
                  <pic:nvPicPr>
                    <pic:cNvPr id="285" name="图片 10 285"/>
                    <pic:cNvPicPr/>
                  </pic:nvPicPr>
                  <pic:blipFill>
                    <a:blip r:embed="rId116"/>
                    <a:stretch>
                      <a:fillRect/>
                    </a:stretch>
                  </pic:blipFill>
                  <pic:spPr>
                    <a:xfrm rot="0">
                      <a:off x="0" y="0"/>
                      <a:ext cx="5757545" cy="763460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757545" cy="7659369"/>
            <wp:effectExtent l="0" t="0" r="0" b="0"/>
            <wp:docPr id="1129" name="图片 11"/>
            <wp:cNvGraphicFramePr>
              <a:graphicFrameLocks noChangeAspect="1"/>
            </wp:cNvGraphicFramePr>
            <a:graphic>
              <a:graphicData uri="http://schemas.openxmlformats.org/drawingml/2006/picture">
                <pic:pic>
                  <pic:nvPicPr>
                    <pic:cNvPr id="287" name="图片 11 287"/>
                    <pic:cNvPicPr/>
                  </pic:nvPicPr>
                  <pic:blipFill>
                    <a:blip r:embed="rId117"/>
                    <a:stretch>
                      <a:fillRect/>
                    </a:stretch>
                  </pic:blipFill>
                  <pic:spPr>
                    <a:xfrm rot="0">
                      <a:off x="0" y="0"/>
                      <a:ext cx="5757545" cy="7659369"/>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757545" cy="7659369"/>
            <wp:effectExtent l="0" t="0" r="0" b="0"/>
            <wp:docPr id="1130" name="图片 12"/>
            <wp:cNvGraphicFramePr>
              <a:graphicFrameLocks noChangeAspect="1"/>
            </wp:cNvGraphicFramePr>
            <a:graphic>
              <a:graphicData uri="http://schemas.openxmlformats.org/drawingml/2006/picture">
                <pic:pic>
                  <pic:nvPicPr>
                    <pic:cNvPr id="289" name="图片 12 289"/>
                    <pic:cNvPicPr/>
                  </pic:nvPicPr>
                  <pic:blipFill>
                    <a:blip r:embed="rId118"/>
                    <a:stretch>
                      <a:fillRect/>
                    </a:stretch>
                  </pic:blipFill>
                  <pic:spPr>
                    <a:xfrm rot="0">
                      <a:off x="0" y="0"/>
                      <a:ext cx="5757545" cy="7659369"/>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7560309" cy="5272404"/>
            <wp:effectExtent l="1" t="0" r="0" b="1"/>
            <wp:docPr id="1131" name="图片 13"/>
            <wp:cNvGraphicFramePr>
              <a:graphicFrameLocks noChangeAspect="1"/>
            </wp:cNvGraphicFramePr>
            <a:graphic>
              <a:graphicData uri="http://schemas.openxmlformats.org/drawingml/2006/picture">
                <pic:pic>
                  <pic:nvPicPr>
                    <pic:cNvPr id="291" name="图片 13 291"/>
                    <pic:cNvPicPr/>
                  </pic:nvPicPr>
                  <pic:blipFill>
                    <a:blip r:embed="rId119"/>
                    <a:stretch>
                      <a:fillRect/>
                    </a:stretch>
                  </pic:blipFill>
                  <pic:spPr>
                    <a:xfrm rot="16200000">
                      <a:off x="0" y="0"/>
                      <a:ext cx="7560309" cy="5272404"/>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755005" cy="7691755"/>
            <wp:effectExtent l="0" t="0" r="0" b="2"/>
            <wp:docPr id="1132" name="图片 14"/>
            <wp:cNvGraphicFramePr>
              <a:graphicFrameLocks noChangeAspect="1"/>
            </wp:cNvGraphicFramePr>
            <a:graphic>
              <a:graphicData uri="http://schemas.openxmlformats.org/drawingml/2006/picture">
                <pic:pic>
                  <pic:nvPicPr>
                    <pic:cNvPr id="293" name="图片 14 293"/>
                    <pic:cNvPicPr/>
                  </pic:nvPicPr>
                  <pic:blipFill>
                    <a:blip r:embed="rId120"/>
                    <a:stretch>
                      <a:fillRect/>
                    </a:stretch>
                  </pic:blipFill>
                  <pic:spPr>
                    <a:xfrm rot="0">
                      <a:off x="0" y="0"/>
                      <a:ext cx="5755005" cy="769175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755005" cy="7715884"/>
            <wp:effectExtent l="0" t="0" r="0" b="1"/>
            <wp:docPr id="1133" name="图片 15"/>
            <wp:cNvGraphicFramePr>
              <a:graphicFrameLocks noChangeAspect="1"/>
            </wp:cNvGraphicFramePr>
            <a:graphic>
              <a:graphicData uri="http://schemas.openxmlformats.org/drawingml/2006/picture">
                <pic:pic>
                  <pic:nvPicPr>
                    <pic:cNvPr id="295" name="图片 15 295"/>
                    <pic:cNvPicPr/>
                  </pic:nvPicPr>
                  <pic:blipFill>
                    <a:blip r:embed="rId121"/>
                    <a:stretch>
                      <a:fillRect/>
                    </a:stretch>
                  </pic:blipFill>
                  <pic:spPr>
                    <a:xfrm rot="0">
                      <a:off x="0" y="0"/>
                      <a:ext cx="5755005" cy="7715884"/>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562600" cy="7886700"/>
            <wp:effectExtent l="0" t="0" r="1" b="0"/>
            <wp:docPr id="1134" name="图片 1134"/>
            <wp:cNvGraphicFramePr>
              <a:graphicFrameLocks noChangeAspect="1"/>
            </wp:cNvGraphicFramePr>
            <a:graphic>
              <a:graphicData uri="http://schemas.openxmlformats.org/drawingml/2006/picture">
                <pic:pic>
                  <pic:nvPicPr>
                    <pic:cNvPr id="297" name="图片 297"/>
                    <pic:cNvPicPr/>
                  </pic:nvPicPr>
                  <pic:blipFill>
                    <a:blip r:embed="rId122"/>
                    <a:stretch>
                      <a:fillRect/>
                    </a:stretch>
                  </pic:blipFill>
                  <pic:spPr>
                    <a:xfrm rot="0">
                      <a:off x="0" y="0"/>
                      <a:ext cx="5562600" cy="788670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72125" cy="7924800"/>
            <wp:effectExtent l="0" t="0" r="1" b="0"/>
            <wp:docPr id="1135" name="图片 1135"/>
            <wp:cNvGraphicFramePr>
              <a:graphicFrameLocks noChangeAspect="1"/>
            </wp:cNvGraphicFramePr>
            <a:graphic>
              <a:graphicData uri="http://schemas.openxmlformats.org/drawingml/2006/picture">
                <pic:pic>
                  <pic:nvPicPr>
                    <pic:cNvPr id="299" name="图片 299"/>
                    <pic:cNvPicPr/>
                  </pic:nvPicPr>
                  <pic:blipFill>
                    <a:blip r:embed="rId123"/>
                    <a:stretch>
                      <a:fillRect/>
                    </a:stretch>
                  </pic:blipFill>
                  <pic:spPr>
                    <a:xfrm rot="0">
                      <a:off x="0" y="0"/>
                      <a:ext cx="5572125" cy="792480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81650" cy="7924800"/>
            <wp:effectExtent l="0" t="0" r="1" b="0"/>
            <wp:docPr id="1136" name="图片 1136"/>
            <wp:cNvGraphicFramePr>
              <a:graphicFrameLocks noChangeAspect="1"/>
            </wp:cNvGraphicFramePr>
            <a:graphic>
              <a:graphicData uri="http://schemas.openxmlformats.org/drawingml/2006/picture">
                <pic:pic>
                  <pic:nvPicPr>
                    <pic:cNvPr id="301" name="图片 301"/>
                    <pic:cNvPicPr/>
                  </pic:nvPicPr>
                  <pic:blipFill>
                    <a:blip r:embed="rId124"/>
                    <a:stretch>
                      <a:fillRect/>
                    </a:stretch>
                  </pic:blipFill>
                  <pic:spPr>
                    <a:xfrm rot="0">
                      <a:off x="0" y="0"/>
                      <a:ext cx="5581650" cy="792480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756910" cy="7216775"/>
            <wp:effectExtent l="0" t="0" r="0" b="0"/>
            <wp:docPr id="1137" name="图片 5"/>
            <wp:cNvGraphicFramePr>
              <a:graphicFrameLocks noChangeAspect="1"/>
            </wp:cNvGraphicFramePr>
            <a:graphic>
              <a:graphicData uri="http://schemas.openxmlformats.org/drawingml/2006/picture">
                <pic:pic>
                  <pic:nvPicPr>
                    <pic:cNvPr id="303" name="图片 5 303"/>
                    <pic:cNvPicPr/>
                  </pic:nvPicPr>
                  <pic:blipFill>
                    <a:blip r:embed="rId125"/>
                    <a:stretch>
                      <a:fillRect/>
                    </a:stretch>
                  </pic:blipFill>
                  <pic:spPr>
                    <a:xfrm rot="0">
                      <a:off x="0" y="0"/>
                      <a:ext cx="5756910" cy="72167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00700" cy="7905750"/>
            <wp:effectExtent l="0" t="0" r="1" b="0"/>
            <wp:docPr id="1138" name="图片 34"/>
            <wp:cNvGraphicFramePr>
              <a:graphicFrameLocks noChangeAspect="1"/>
            </wp:cNvGraphicFramePr>
            <a:graphic>
              <a:graphicData uri="http://schemas.openxmlformats.org/drawingml/2006/picture">
                <pic:pic>
                  <pic:nvPicPr>
                    <pic:cNvPr id="305" name="图片 34 305"/>
                    <pic:cNvPicPr/>
                  </pic:nvPicPr>
                  <pic:blipFill>
                    <a:blip r:embed="rId126"/>
                    <a:stretch>
                      <a:fillRect/>
                    </a:stretch>
                  </pic:blipFill>
                  <pic:spPr>
                    <a:xfrm rot="0">
                      <a:off x="0" y="0"/>
                      <a:ext cx="5600700" cy="790575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896225"/>
            <wp:effectExtent l="0" t="0" r="1" b="0"/>
            <wp:docPr id="1139" name="图片 35"/>
            <wp:cNvGraphicFramePr>
              <a:graphicFrameLocks noChangeAspect="1"/>
            </wp:cNvGraphicFramePr>
            <a:graphic>
              <a:graphicData uri="http://schemas.openxmlformats.org/drawingml/2006/picture">
                <pic:pic>
                  <pic:nvPicPr>
                    <pic:cNvPr id="307" name="图片 35 307"/>
                    <pic:cNvPicPr/>
                  </pic:nvPicPr>
                  <pic:blipFill>
                    <a:blip r:embed="rId127"/>
                    <a:stretch>
                      <a:fillRect/>
                    </a:stretch>
                  </pic:blipFill>
                  <pic:spPr>
                    <a:xfrm rot="0">
                      <a:off x="0" y="0"/>
                      <a:ext cx="5591175" cy="789622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905750"/>
            <wp:effectExtent l="0" t="0" r="1" b="0"/>
            <wp:docPr id="1140" name="图片 36"/>
            <wp:cNvGraphicFramePr>
              <a:graphicFrameLocks noChangeAspect="1"/>
            </wp:cNvGraphicFramePr>
            <a:graphic>
              <a:graphicData uri="http://schemas.openxmlformats.org/drawingml/2006/picture">
                <pic:pic>
                  <pic:nvPicPr>
                    <pic:cNvPr id="309" name="图片 36 309"/>
                    <pic:cNvPicPr/>
                  </pic:nvPicPr>
                  <pic:blipFill>
                    <a:blip r:embed="rId128"/>
                    <a:stretch>
                      <a:fillRect/>
                    </a:stretch>
                  </pic:blipFill>
                  <pic:spPr>
                    <a:xfrm rot="0">
                      <a:off x="0" y="0"/>
                      <a:ext cx="5591175" cy="790575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29275" cy="7915275"/>
            <wp:effectExtent l="0" t="0" r="1" b="1"/>
            <wp:docPr id="1141" name="图片 37"/>
            <wp:cNvGraphicFramePr>
              <a:graphicFrameLocks noChangeAspect="1"/>
            </wp:cNvGraphicFramePr>
            <a:graphic>
              <a:graphicData uri="http://schemas.openxmlformats.org/drawingml/2006/picture">
                <pic:pic>
                  <pic:nvPicPr>
                    <pic:cNvPr id="311" name="图片 37 311"/>
                    <pic:cNvPicPr/>
                  </pic:nvPicPr>
                  <pic:blipFill>
                    <a:blip r:embed="rId129"/>
                    <a:stretch>
                      <a:fillRect/>
                    </a:stretch>
                  </pic:blipFill>
                  <pic:spPr>
                    <a:xfrm rot="0">
                      <a:off x="0" y="0"/>
                      <a:ext cx="5629275" cy="791527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495925" cy="7677150"/>
            <wp:effectExtent l="0" t="0" r="1" b="0"/>
            <wp:docPr id="1142" name="图片 10"/>
            <wp:cNvGraphicFramePr>
              <a:graphicFrameLocks noChangeAspect="1"/>
            </wp:cNvGraphicFramePr>
            <a:graphic>
              <a:graphicData uri="http://schemas.openxmlformats.org/drawingml/2006/picture">
                <pic:pic>
                  <pic:nvPicPr>
                    <pic:cNvPr id="313" name="图片 10 313"/>
                    <pic:cNvPicPr/>
                  </pic:nvPicPr>
                  <pic:blipFill>
                    <a:blip r:embed="rId130"/>
                    <a:stretch>
                      <a:fillRect/>
                    </a:stretch>
                  </pic:blipFill>
                  <pic:spPr>
                    <a:xfrm rot="0">
                      <a:off x="0" y="0"/>
                      <a:ext cx="5495925" cy="767715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486400" cy="7762875"/>
            <wp:effectExtent l="0" t="0" r="1" b="0"/>
            <wp:docPr id="1143" name="图片 16"/>
            <wp:cNvGraphicFramePr>
              <a:graphicFrameLocks noChangeAspect="1"/>
            </wp:cNvGraphicFramePr>
            <a:graphic>
              <a:graphicData uri="http://schemas.openxmlformats.org/drawingml/2006/picture">
                <pic:pic>
                  <pic:nvPicPr>
                    <pic:cNvPr id="315" name="图片 16 315"/>
                    <pic:cNvPicPr/>
                  </pic:nvPicPr>
                  <pic:blipFill>
                    <a:blip r:embed="rId131"/>
                    <a:stretch>
                      <a:fillRect/>
                    </a:stretch>
                  </pic:blipFill>
                  <pic:spPr>
                    <a:xfrm rot="0">
                      <a:off x="0" y="0"/>
                      <a:ext cx="5486400" cy="776287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sectPr>
          <w:pgSz w:w="11906" w:h="16838"/>
          <w:pgMar w:top="1417" w:right="1417" w:bottom="1417" w:left="1417" w:header="851" w:footer="850" w:gutter="0"/>
          <w:cols w:num="1" w:space="0"/>
          <w:rtlGutter/>
          <w:docGrid w:linePitch="312" w:charSpace="0"/>
        </w:sectPr>
      </w:pPr>
      <w:r>
        <w:rPr>
          <w:rFonts w:eastAsia="宋体" w:hint="eastAsia"/>
          <w:color w:val="auto"/>
          <w:lang w:eastAsia="zh-CN"/>
        </w:rPr>
        <w:drawing>
          <wp:inline distT="0" distB="0" distL="114300" distR="114300">
            <wp:extent cx="5305425" cy="7705725"/>
            <wp:effectExtent l="0" t="0" r="1" b="0"/>
            <wp:docPr id="1144" name="图片 11"/>
            <wp:cNvGraphicFramePr>
              <a:graphicFrameLocks noChangeAspect="1"/>
            </wp:cNvGraphicFramePr>
            <a:graphic>
              <a:graphicData uri="http://schemas.openxmlformats.org/drawingml/2006/picture">
                <pic:pic>
                  <pic:nvPicPr>
                    <pic:cNvPr id="317" name="图片 11 317"/>
                    <pic:cNvPicPr/>
                  </pic:nvPicPr>
                  <pic:blipFill>
                    <a:blip r:embed="rId132"/>
                    <a:stretch>
                      <a:fillRect/>
                    </a:stretch>
                  </pic:blipFill>
                  <pic:spPr>
                    <a:xfrm rot="0">
                      <a:off x="0" y="0"/>
                      <a:ext cx="5305425" cy="770572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right="0" w:firstLineChars="0" w:firstLine="0"/>
        <w:jc w:val="center"/>
        <w:textAlignment w:val="auto"/>
        <w:rPr>
          <w:rFonts w:eastAsia="宋体" w:hint="eastAsia"/>
          <w:color w:val="auto"/>
          <w:lang w:eastAsia="zh-CN"/>
        </w:rPr>
      </w:pPr>
      <w:r>
        <w:rPr>
          <w:rFonts w:eastAsia="宋体" w:hint="eastAsia"/>
          <w:color w:val="auto"/>
          <w:lang w:eastAsia="zh-CN"/>
        </w:rPr>
        <w:drawing>
          <wp:inline distT="0" distB="0" distL="114300" distR="114300">
            <wp:extent cx="5372100" cy="7686675"/>
            <wp:effectExtent l="0" t="0" r="1" b="0"/>
            <wp:docPr id="1145" name="图片 17"/>
            <wp:cNvGraphicFramePr>
              <a:graphicFrameLocks noChangeAspect="1"/>
            </wp:cNvGraphicFramePr>
            <a:graphic>
              <a:graphicData uri="http://schemas.openxmlformats.org/drawingml/2006/picture">
                <pic:pic>
                  <pic:nvPicPr>
                    <pic:cNvPr id="319" name="图片 17 319"/>
                    <pic:cNvPicPr/>
                  </pic:nvPicPr>
                  <pic:blipFill>
                    <a:blip r:embed="rId133"/>
                    <a:stretch>
                      <a:fillRect/>
                    </a:stretch>
                  </pic:blipFill>
                  <pic:spPr>
                    <a:xfrm rot="0">
                      <a:off x="0" y="0"/>
                      <a:ext cx="5372100" cy="76866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915275"/>
            <wp:effectExtent l="0" t="0" r="1" b="1"/>
            <wp:docPr id="1146" name="图片 28"/>
            <wp:cNvGraphicFramePr>
              <a:graphicFrameLocks noChangeAspect="1"/>
            </wp:cNvGraphicFramePr>
            <a:graphic>
              <a:graphicData uri="http://schemas.openxmlformats.org/drawingml/2006/picture">
                <pic:pic>
                  <pic:nvPicPr>
                    <pic:cNvPr id="321" name="图片 28 321"/>
                    <pic:cNvPicPr/>
                  </pic:nvPicPr>
                  <pic:blipFill>
                    <a:blip r:embed="rId134"/>
                    <a:stretch>
                      <a:fillRect/>
                    </a:stretch>
                  </pic:blipFill>
                  <pic:spPr>
                    <a:xfrm rot="0">
                      <a:off x="0" y="0"/>
                      <a:ext cx="5591175" cy="79152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38800" cy="7962900"/>
            <wp:effectExtent l="0" t="0" r="1" b="0"/>
            <wp:docPr id="1147" name="图片 29"/>
            <wp:cNvGraphicFramePr>
              <a:graphicFrameLocks noChangeAspect="1"/>
            </wp:cNvGraphicFramePr>
            <a:graphic>
              <a:graphicData uri="http://schemas.openxmlformats.org/drawingml/2006/picture">
                <pic:pic>
                  <pic:nvPicPr>
                    <pic:cNvPr id="323" name="图片 29 323"/>
                    <pic:cNvPicPr/>
                  </pic:nvPicPr>
                  <pic:blipFill>
                    <a:blip r:embed="rId135"/>
                    <a:stretch>
                      <a:fillRect/>
                    </a:stretch>
                  </pic:blipFill>
                  <pic:spPr>
                    <a:xfrm rot="0">
                      <a:off x="0" y="0"/>
                      <a:ext cx="5638800" cy="7962900"/>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591175" cy="7915275"/>
            <wp:effectExtent l="0" t="0" r="1" b="1"/>
            <wp:docPr id="1148" name="图片 30"/>
            <wp:cNvGraphicFramePr>
              <a:graphicFrameLocks noChangeAspect="1"/>
            </wp:cNvGraphicFramePr>
            <a:graphic>
              <a:graphicData uri="http://schemas.openxmlformats.org/drawingml/2006/picture">
                <pic:pic>
                  <pic:nvPicPr>
                    <pic:cNvPr id="325" name="图片 30 325"/>
                    <pic:cNvPicPr/>
                  </pic:nvPicPr>
                  <pic:blipFill>
                    <a:blip r:embed="rId136"/>
                    <a:stretch>
                      <a:fillRect/>
                    </a:stretch>
                  </pic:blipFill>
                  <pic:spPr>
                    <a:xfrm rot="0">
                      <a:off x="0" y="0"/>
                      <a:ext cx="5591175" cy="791527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00700" cy="7896225"/>
            <wp:effectExtent l="0" t="0" r="1" b="0"/>
            <wp:docPr id="1149" name="图片 31"/>
            <wp:cNvGraphicFramePr>
              <a:graphicFrameLocks noChangeAspect="1"/>
            </wp:cNvGraphicFramePr>
            <a:graphic>
              <a:graphicData uri="http://schemas.openxmlformats.org/drawingml/2006/picture">
                <pic:pic>
                  <pic:nvPicPr>
                    <pic:cNvPr id="327" name="图片 31 327"/>
                    <pic:cNvPicPr/>
                  </pic:nvPicPr>
                  <pic:blipFill>
                    <a:blip r:embed="rId137"/>
                    <a:stretch>
                      <a:fillRect/>
                    </a:stretch>
                  </pic:blipFill>
                  <pic:spPr>
                    <a:xfrm rot="0">
                      <a:off x="0" y="0"/>
                      <a:ext cx="5600700" cy="7896225"/>
                    </a:xfrm>
                    <a:prstGeom prst="rect"/>
                    <a:noFill/>
                    <a:ln cmpd="sng" cap="flat">
                      <a:noFill/>
                      <a:prstDash val="solid"/>
                      <a:round/>
                    </a:ln>
                  </pic:spPr>
                </pic:pic>
              </a:graphicData>
            </a:graphic>
          </wp:inline>
        </w:drawing>
      </w:r>
      <w:r>
        <w:rPr>
          <w:rFonts w:eastAsia="宋体" w:hint="eastAsia"/>
          <w:color w:val="auto"/>
          <w:lang w:eastAsia="zh-CN"/>
        </w:rPr>
        <w:drawing>
          <wp:inline distT="0" distB="0" distL="114300" distR="114300">
            <wp:extent cx="5610225" cy="7886700"/>
            <wp:effectExtent l="0" t="0" r="1" b="0"/>
            <wp:docPr id="1150" name="图片 32"/>
            <wp:cNvGraphicFramePr>
              <a:graphicFrameLocks noChangeAspect="1"/>
            </wp:cNvGraphicFramePr>
            <a:graphic>
              <a:graphicData uri="http://schemas.openxmlformats.org/drawingml/2006/picture">
                <pic:pic>
                  <pic:nvPicPr>
                    <pic:cNvPr id="329" name="图片 32 329"/>
                    <pic:cNvPicPr/>
                  </pic:nvPicPr>
                  <pic:blipFill>
                    <a:blip r:embed="rId138"/>
                    <a:stretch>
                      <a:fillRect/>
                    </a:stretch>
                  </pic:blipFill>
                  <pic:spPr>
                    <a:xfrm rot="0">
                      <a:off x="0" y="0"/>
                      <a:ext cx="5610225" cy="788670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346065" cy="7560309"/>
            <wp:effectExtent l="0" t="0" r="0" b="1"/>
            <wp:docPr id="1151" name="图片 1151" descr="环保证明-水性MSDS-2023_00"/>
            <wp:cNvGraphicFramePr>
              <a:graphicFrameLocks noChangeAspect="1"/>
            </wp:cNvGraphicFramePr>
            <a:graphic>
              <a:graphicData uri="http://schemas.openxmlformats.org/drawingml/2006/picture">
                <pic:pic>
                  <pic:nvPicPr>
                    <pic:cNvPr id="331" name="图片 331"/>
                    <pic:cNvPicPr/>
                  </pic:nvPicPr>
                  <pic:blipFill>
                    <a:blip r:embed="rId139"/>
                    <a:stretch>
                      <a:fillRect/>
                    </a:stretch>
                  </pic:blipFill>
                  <pic:spPr>
                    <a:xfrm rot="0">
                      <a:off x="0" y="0"/>
                      <a:ext cx="5346065" cy="7560309"/>
                    </a:xfrm>
                    <a:prstGeom prst="rect"/>
                    <a:noFill/>
                    <a:ln w="9525" cmpd="sng" cap="flat">
                      <a:noFill/>
                      <a:prstDash val="solid"/>
                      <a:miter/>
                    </a:ln>
                  </pic:spPr>
                </pic:pic>
              </a:graphicData>
            </a:graphic>
          </wp:inline>
        </w:drawing>
      </w:r>
      <w:r>
        <w:rPr>
          <w:rFonts w:eastAsia="宋体" w:hint="eastAsia"/>
          <w:color w:val="auto"/>
          <w:lang w:val="en-US" w:eastAsia="zh-CN"/>
        </w:rPr>
        <w:drawing>
          <wp:inline distT="0" distB="0" distL="114300" distR="114300">
            <wp:extent cx="5638800" cy="7934325"/>
            <wp:effectExtent l="0" t="0" r="1" b="0"/>
            <wp:docPr id="1152" name="图片 13"/>
            <wp:cNvGraphicFramePr>
              <a:graphicFrameLocks noChangeAspect="1"/>
            </wp:cNvGraphicFramePr>
            <a:graphic>
              <a:graphicData uri="http://schemas.openxmlformats.org/drawingml/2006/picture">
                <pic:pic>
                  <pic:nvPicPr>
                    <pic:cNvPr id="333" name="图片 13 333"/>
                    <pic:cNvPicPr/>
                  </pic:nvPicPr>
                  <pic:blipFill>
                    <a:blip r:embed="rId140"/>
                    <a:stretch>
                      <a:fillRect/>
                    </a:stretch>
                  </pic:blipFill>
                  <pic:spPr>
                    <a:xfrm rot="0">
                      <a:off x="0" y="0"/>
                      <a:ext cx="5638800" cy="7934325"/>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00700" cy="7867650"/>
            <wp:effectExtent l="0" t="0" r="1" b="0"/>
            <wp:docPr id="1153" name="图片 14"/>
            <wp:cNvGraphicFramePr>
              <a:graphicFrameLocks noChangeAspect="1"/>
            </wp:cNvGraphicFramePr>
            <a:graphic>
              <a:graphicData uri="http://schemas.openxmlformats.org/drawingml/2006/picture">
                <pic:pic>
                  <pic:nvPicPr>
                    <pic:cNvPr id="335" name="图片 14 335"/>
                    <pic:cNvPicPr/>
                  </pic:nvPicPr>
                  <pic:blipFill>
                    <a:blip r:embed="rId141"/>
                    <a:stretch>
                      <a:fillRect/>
                    </a:stretch>
                  </pic:blipFill>
                  <pic:spPr>
                    <a:xfrm rot="0">
                      <a:off x="0" y="0"/>
                      <a:ext cx="5600700" cy="786765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581650" cy="7905750"/>
            <wp:effectExtent l="0" t="0" r="1" b="0"/>
            <wp:docPr id="1154" name="图片 15"/>
            <wp:cNvGraphicFramePr>
              <a:graphicFrameLocks noChangeAspect="1"/>
            </wp:cNvGraphicFramePr>
            <a:graphic>
              <a:graphicData uri="http://schemas.openxmlformats.org/drawingml/2006/picture">
                <pic:pic>
                  <pic:nvPicPr>
                    <pic:cNvPr id="337" name="图片 15 337"/>
                    <pic:cNvPicPr/>
                  </pic:nvPicPr>
                  <pic:blipFill>
                    <a:blip r:embed="rId142"/>
                    <a:stretch>
                      <a:fillRect/>
                    </a:stretch>
                  </pic:blipFill>
                  <pic:spPr>
                    <a:xfrm rot="0">
                      <a:off x="0" y="0"/>
                      <a:ext cx="5581650" cy="790575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19750" cy="7934325"/>
            <wp:effectExtent l="0" t="0" r="1" b="0"/>
            <wp:docPr id="1155" name="图片 16"/>
            <wp:cNvGraphicFramePr>
              <a:graphicFrameLocks noChangeAspect="1"/>
            </wp:cNvGraphicFramePr>
            <a:graphic>
              <a:graphicData uri="http://schemas.openxmlformats.org/drawingml/2006/picture">
                <pic:pic>
                  <pic:nvPicPr>
                    <pic:cNvPr id="339" name="图片 16 339"/>
                    <pic:cNvPicPr/>
                  </pic:nvPicPr>
                  <pic:blipFill>
                    <a:blip r:embed="rId143"/>
                    <a:stretch>
                      <a:fillRect/>
                    </a:stretch>
                  </pic:blipFill>
                  <pic:spPr>
                    <a:xfrm rot="0">
                      <a:off x="0" y="0"/>
                      <a:ext cx="5619750" cy="7934325"/>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19750" cy="7934325"/>
            <wp:effectExtent l="0" t="0" r="1" b="0"/>
            <wp:docPr id="1156" name="图片 17"/>
            <wp:cNvGraphicFramePr>
              <a:graphicFrameLocks noChangeAspect="1"/>
            </wp:cNvGraphicFramePr>
            <a:graphic>
              <a:graphicData uri="http://schemas.openxmlformats.org/drawingml/2006/picture">
                <pic:pic>
                  <pic:nvPicPr>
                    <pic:cNvPr id="341" name="图片 17 341"/>
                    <pic:cNvPicPr/>
                  </pic:nvPicPr>
                  <pic:blipFill>
                    <a:blip r:embed="rId144"/>
                    <a:stretch>
                      <a:fillRect/>
                    </a:stretch>
                  </pic:blipFill>
                  <pic:spPr>
                    <a:xfrm rot="0">
                      <a:off x="0" y="0"/>
                      <a:ext cx="5619750" cy="7934325"/>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29275" cy="7924800"/>
            <wp:effectExtent l="0" t="0" r="1" b="0"/>
            <wp:docPr id="1157" name="图片 5"/>
            <wp:cNvGraphicFramePr>
              <a:graphicFrameLocks noChangeAspect="1"/>
            </wp:cNvGraphicFramePr>
            <a:graphic>
              <a:graphicData uri="http://schemas.openxmlformats.org/drawingml/2006/picture">
                <pic:pic>
                  <pic:nvPicPr>
                    <pic:cNvPr id="343" name="图片 5 343"/>
                    <pic:cNvPicPr/>
                  </pic:nvPicPr>
                  <pic:blipFill>
                    <a:blip r:embed="rId145"/>
                    <a:stretch>
                      <a:fillRect/>
                    </a:stretch>
                  </pic:blipFill>
                  <pic:spPr>
                    <a:xfrm rot="0">
                      <a:off x="0" y="0"/>
                      <a:ext cx="5629275" cy="792480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19750" cy="7924800"/>
            <wp:effectExtent l="0" t="0" r="1" b="0"/>
            <wp:docPr id="1158" name="图片 6"/>
            <wp:cNvGraphicFramePr>
              <a:graphicFrameLocks noChangeAspect="1"/>
            </wp:cNvGraphicFramePr>
            <a:graphic>
              <a:graphicData uri="http://schemas.openxmlformats.org/drawingml/2006/picture">
                <pic:pic>
                  <pic:nvPicPr>
                    <pic:cNvPr id="345" name="图片 6 345"/>
                    <pic:cNvPicPr/>
                  </pic:nvPicPr>
                  <pic:blipFill>
                    <a:blip r:embed="rId146"/>
                    <a:stretch>
                      <a:fillRect/>
                    </a:stretch>
                  </pic:blipFill>
                  <pic:spPr>
                    <a:xfrm rot="0">
                      <a:off x="0" y="0"/>
                      <a:ext cx="5619750" cy="792480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00700" cy="7924800"/>
            <wp:effectExtent l="0" t="0" r="1" b="0"/>
            <wp:docPr id="1159" name="图片 7"/>
            <wp:cNvGraphicFramePr>
              <a:graphicFrameLocks noChangeAspect="1"/>
            </wp:cNvGraphicFramePr>
            <a:graphic>
              <a:graphicData uri="http://schemas.openxmlformats.org/drawingml/2006/picture">
                <pic:pic>
                  <pic:nvPicPr>
                    <pic:cNvPr id="347" name="图片 7 347"/>
                    <pic:cNvPicPr/>
                  </pic:nvPicPr>
                  <pic:blipFill>
                    <a:blip r:embed="rId147"/>
                    <a:stretch>
                      <a:fillRect/>
                    </a:stretch>
                  </pic:blipFill>
                  <pic:spPr>
                    <a:xfrm rot="0">
                      <a:off x="0" y="0"/>
                      <a:ext cx="5600700" cy="792480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591175" cy="7924800"/>
            <wp:effectExtent l="0" t="0" r="1" b="0"/>
            <wp:docPr id="1160" name="图片 8"/>
            <wp:cNvGraphicFramePr>
              <a:graphicFrameLocks noChangeAspect="1"/>
            </wp:cNvGraphicFramePr>
            <a:graphic>
              <a:graphicData uri="http://schemas.openxmlformats.org/drawingml/2006/picture">
                <pic:pic>
                  <pic:nvPicPr>
                    <pic:cNvPr id="349" name="图片 8 349"/>
                    <pic:cNvPicPr/>
                  </pic:nvPicPr>
                  <pic:blipFill>
                    <a:blip r:embed="rId148"/>
                    <a:stretch>
                      <a:fillRect/>
                    </a:stretch>
                  </pic:blipFill>
                  <pic:spPr>
                    <a:xfrm rot="0">
                      <a:off x="0" y="0"/>
                      <a:ext cx="5591175" cy="792480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10225" cy="7924800"/>
            <wp:effectExtent l="0" t="0" r="1" b="0"/>
            <wp:docPr id="1161" name="图片 9"/>
            <wp:cNvGraphicFramePr>
              <a:graphicFrameLocks noChangeAspect="1"/>
            </wp:cNvGraphicFramePr>
            <a:graphic>
              <a:graphicData uri="http://schemas.openxmlformats.org/drawingml/2006/picture">
                <pic:pic>
                  <pic:nvPicPr>
                    <pic:cNvPr id="351" name="图片 9 351"/>
                    <pic:cNvPicPr/>
                  </pic:nvPicPr>
                  <pic:blipFill>
                    <a:blip r:embed="rId149"/>
                    <a:stretch>
                      <a:fillRect/>
                    </a:stretch>
                  </pic:blipFill>
                  <pic:spPr>
                    <a:xfrm rot="0">
                      <a:off x="0" y="0"/>
                      <a:ext cx="5610225" cy="792480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00700" cy="7934325"/>
            <wp:effectExtent l="0" t="0" r="1" b="0"/>
            <wp:docPr id="1162" name="图片 10"/>
            <wp:cNvGraphicFramePr>
              <a:graphicFrameLocks noChangeAspect="1"/>
            </wp:cNvGraphicFramePr>
            <a:graphic>
              <a:graphicData uri="http://schemas.openxmlformats.org/drawingml/2006/picture">
                <pic:pic>
                  <pic:nvPicPr>
                    <pic:cNvPr id="353" name="图片 10 353"/>
                    <pic:cNvPicPr/>
                  </pic:nvPicPr>
                  <pic:blipFill>
                    <a:blip r:embed="rId150"/>
                    <a:stretch>
                      <a:fillRect/>
                    </a:stretch>
                  </pic:blipFill>
                  <pic:spPr>
                    <a:xfrm rot="0">
                      <a:off x="0" y="0"/>
                      <a:ext cx="5600700" cy="7934325"/>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19750" cy="7915275"/>
            <wp:effectExtent l="0" t="0" r="1" b="1"/>
            <wp:docPr id="1163" name="图片 11"/>
            <wp:cNvGraphicFramePr>
              <a:graphicFrameLocks noChangeAspect="1"/>
            </wp:cNvGraphicFramePr>
            <a:graphic>
              <a:graphicData uri="http://schemas.openxmlformats.org/drawingml/2006/picture">
                <pic:pic>
                  <pic:nvPicPr>
                    <pic:cNvPr id="355" name="图片 11 355"/>
                    <pic:cNvPicPr/>
                  </pic:nvPicPr>
                  <pic:blipFill>
                    <a:blip r:embed="rId151"/>
                    <a:stretch>
                      <a:fillRect/>
                    </a:stretch>
                  </pic:blipFill>
                  <pic:spPr>
                    <a:xfrm rot="0">
                      <a:off x="0" y="0"/>
                      <a:ext cx="5619750" cy="7915275"/>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10225" cy="7943850"/>
            <wp:effectExtent l="0" t="0" r="1" b="0"/>
            <wp:docPr id="1164" name="图片 12"/>
            <wp:cNvGraphicFramePr>
              <a:graphicFrameLocks noChangeAspect="1"/>
            </wp:cNvGraphicFramePr>
            <a:graphic>
              <a:graphicData uri="http://schemas.openxmlformats.org/drawingml/2006/picture">
                <pic:pic>
                  <pic:nvPicPr>
                    <pic:cNvPr id="357" name="图片 12 357"/>
                    <pic:cNvPicPr/>
                  </pic:nvPicPr>
                  <pic:blipFill>
                    <a:blip r:embed="rId152"/>
                    <a:stretch>
                      <a:fillRect/>
                    </a:stretch>
                  </pic:blipFill>
                  <pic:spPr>
                    <a:xfrm rot="0">
                      <a:off x="0" y="0"/>
                      <a:ext cx="5610225" cy="794385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38800" cy="7934325"/>
            <wp:effectExtent l="0" t="0" r="1" b="0"/>
            <wp:docPr id="1165" name="图片 13"/>
            <wp:cNvGraphicFramePr>
              <a:graphicFrameLocks noChangeAspect="1"/>
            </wp:cNvGraphicFramePr>
            <a:graphic>
              <a:graphicData uri="http://schemas.openxmlformats.org/drawingml/2006/picture">
                <pic:pic>
                  <pic:nvPicPr>
                    <pic:cNvPr id="359" name="图片 13 359"/>
                    <pic:cNvPicPr/>
                  </pic:nvPicPr>
                  <pic:blipFill>
                    <a:blip r:embed="rId153"/>
                    <a:stretch>
                      <a:fillRect/>
                    </a:stretch>
                  </pic:blipFill>
                  <pic:spPr>
                    <a:xfrm rot="0">
                      <a:off x="0" y="0"/>
                      <a:ext cx="5638800" cy="7934325"/>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29275" cy="7924800"/>
            <wp:effectExtent l="0" t="0" r="1" b="0"/>
            <wp:docPr id="1166" name="图片 14"/>
            <wp:cNvGraphicFramePr>
              <a:graphicFrameLocks noChangeAspect="1"/>
            </wp:cNvGraphicFramePr>
            <a:graphic>
              <a:graphicData uri="http://schemas.openxmlformats.org/drawingml/2006/picture">
                <pic:pic>
                  <pic:nvPicPr>
                    <pic:cNvPr id="361" name="图片 14 361"/>
                    <pic:cNvPicPr/>
                  </pic:nvPicPr>
                  <pic:blipFill>
                    <a:blip r:embed="rId154"/>
                    <a:stretch>
                      <a:fillRect/>
                    </a:stretch>
                  </pic:blipFill>
                  <pic:spPr>
                    <a:xfrm rot="0">
                      <a:off x="0" y="0"/>
                      <a:ext cx="5629275" cy="792480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10225" cy="7943850"/>
            <wp:effectExtent l="0" t="0" r="1" b="0"/>
            <wp:docPr id="1167" name="图片 15"/>
            <wp:cNvGraphicFramePr>
              <a:graphicFrameLocks noChangeAspect="1"/>
            </wp:cNvGraphicFramePr>
            <a:graphic>
              <a:graphicData uri="http://schemas.openxmlformats.org/drawingml/2006/picture">
                <pic:pic>
                  <pic:nvPicPr>
                    <pic:cNvPr id="363" name="图片 15 363"/>
                    <pic:cNvPicPr/>
                  </pic:nvPicPr>
                  <pic:blipFill>
                    <a:blip r:embed="rId155"/>
                    <a:stretch>
                      <a:fillRect/>
                    </a:stretch>
                  </pic:blipFill>
                  <pic:spPr>
                    <a:xfrm rot="0">
                      <a:off x="0" y="0"/>
                      <a:ext cx="5610225" cy="794385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00700" cy="7934325"/>
            <wp:effectExtent l="0" t="0" r="1" b="0"/>
            <wp:docPr id="1168" name="图片 16"/>
            <wp:cNvGraphicFramePr>
              <a:graphicFrameLocks noChangeAspect="1"/>
            </wp:cNvGraphicFramePr>
            <a:graphic>
              <a:graphicData uri="http://schemas.openxmlformats.org/drawingml/2006/picture">
                <pic:pic>
                  <pic:nvPicPr>
                    <pic:cNvPr id="365" name="图片 16 365"/>
                    <pic:cNvPicPr/>
                  </pic:nvPicPr>
                  <pic:blipFill>
                    <a:blip r:embed="rId156"/>
                    <a:stretch>
                      <a:fillRect/>
                    </a:stretch>
                  </pic:blipFill>
                  <pic:spPr>
                    <a:xfrm rot="0">
                      <a:off x="0" y="0"/>
                      <a:ext cx="5600700" cy="7934325"/>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600700" cy="7924800"/>
            <wp:effectExtent l="0" t="0" r="1" b="0"/>
            <wp:docPr id="1169" name="图片 17"/>
            <wp:cNvGraphicFramePr>
              <a:graphicFrameLocks noChangeAspect="1"/>
            </wp:cNvGraphicFramePr>
            <a:graphic>
              <a:graphicData uri="http://schemas.openxmlformats.org/drawingml/2006/picture">
                <pic:pic>
                  <pic:nvPicPr>
                    <pic:cNvPr id="367" name="图片 17 367"/>
                    <pic:cNvPicPr/>
                  </pic:nvPicPr>
                  <pic:blipFill>
                    <a:blip r:embed="rId157"/>
                    <a:stretch>
                      <a:fillRect/>
                    </a:stretch>
                  </pic:blipFill>
                  <pic:spPr>
                    <a:xfrm rot="0">
                      <a:off x="0" y="0"/>
                      <a:ext cx="5600700" cy="7924800"/>
                    </a:xfrm>
                    <a:prstGeom prst="rect"/>
                    <a:noFill/>
                    <a:ln cmpd="sng" cap="flat">
                      <a:noFill/>
                      <a:prstDash val="solid"/>
                      <a:round/>
                    </a:ln>
                  </pic:spPr>
                </pic:pic>
              </a:graphicData>
            </a:graphic>
          </wp:inline>
        </w:drawing>
      </w:r>
      <w:r>
        <w:rPr>
          <w:rFonts w:eastAsia="宋体" w:hint="eastAsia"/>
          <w:color w:val="auto"/>
          <w:lang w:val="en-US" w:eastAsia="zh-CN"/>
        </w:rPr>
        <w:drawing>
          <wp:inline distT="0" distB="0" distL="114300" distR="114300">
            <wp:extent cx="5591175" cy="7886700"/>
            <wp:effectExtent l="0" t="0" r="1" b="0"/>
            <wp:docPr id="1170" name="图片 18"/>
            <wp:cNvGraphicFramePr>
              <a:graphicFrameLocks noChangeAspect="1"/>
            </wp:cNvGraphicFramePr>
            <a:graphic>
              <a:graphicData uri="http://schemas.openxmlformats.org/drawingml/2006/picture">
                <pic:pic>
                  <pic:nvPicPr>
                    <pic:cNvPr id="369" name="图片 18 369"/>
                    <pic:cNvPicPr/>
                  </pic:nvPicPr>
                  <pic:blipFill>
                    <a:blip r:embed="rId158"/>
                    <a:stretch>
                      <a:fillRect/>
                    </a:stretch>
                  </pic:blipFill>
                  <pic:spPr>
                    <a:xfrm rot="0">
                      <a:off x="0" y="0"/>
                      <a:ext cx="5591175" cy="7886700"/>
                    </a:xfrm>
                    <a:prstGeom prst="rect"/>
                    <a:noFill/>
                    <a:ln cmpd="sng" cap="flat">
                      <a:noFill/>
                      <a:prstDash val="solid"/>
                      <a:round/>
                    </a:ln>
                  </pic:spPr>
                </pic:pic>
              </a:graphicData>
            </a:graphic>
          </wp:inline>
        </w:drawing>
      </w:r>
    </w:p>
    <w:sectPr>
      <w:pgSz w:w="11906" w:h="16838"/>
      <w:pgMar w:top="1417" w:right="1417" w:bottom="1417" w:left="1417" w:header="851" w:footer="850" w:gutter="0"/>
      <w:cols w:num="1" w:space="0"/>
      <w:rtlGutter/>
      <w:docGrid w:linePitch="312" w:charSpace="0"/>
    </w:sectPr>
  </w:body>
</w:document>
</file>

<file path=word/fontTable.xml><?xml version="1.0" encoding="utf-8"?>
<w:fonts xmlns:w="http://schemas.openxmlformats.org/wordprocessingml/2006/main" xmlns:r="http://schemas.openxmlformats.org/officeDocument/2006/relationships">
  <w:font w:name="华文仿宋">
    <w:panose1 w:val="02010600040101010101"/>
    <w:charset w:val="86"/>
    <w:family w:val="auto"/>
    <w:pitch w:val="variable"/>
    <w:sig w:usb0="00000287" w:usb1="080F0000" w:usb2="00000000" w:usb3="00000000" w:csb0="0004009F" w:csb1="DFD70000"/>
  </w:font>
  <w:font w:name="宋体">
    <w:panose1 w:val="02010600030101010101"/>
    <w:charset w:val="52"/>
    <w:family w:val="auto"/>
    <w:pitch w:val="variable"/>
    <w:sig w:usb0="00000203" w:usb1="288F0000" w:usb2="00000006" w:usb3="00000000" w:csb0="00040001" w:csb1="00000000"/>
  </w:font>
  <w:font w:name="楷体_GB2312">
    <w:altName w:val="楷体"/>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仿宋_GB2312">
    <w:altName w:val="仿宋"/>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Wingdings 2">
    <w:panose1 w:val="05020102010507070707"/>
    <w:charset w:val="02"/>
    <w:family w:val="roman"/>
    <w:pitch w:val="variable"/>
    <w:sig w:usb0="00000000" w:usb1="00000000" w:usb2="00000000" w:usb3="00000000" w:csb0="80000000" w:csb1="00000000"/>
  </w:font>
  <w:font w:name="方正小标宋_GBK">
    <w:panose1 w:val="02000000000000000000"/>
    <w:charset w:val="86"/>
    <w:family w:val="script"/>
    <w:pitch w:val="variable"/>
    <w:sig w:usb0="A00002BF" w:usb1="38CF7CFA" w:usb2="00082016" w:usb3="00000000" w:csb0="00040001" w:csb1="00000000"/>
  </w:font>
  <w:font w:name="Arial">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framePr w:w="0" w:hRule="auto" w:wrap="around" w:vAnchor="text" w:hAnchor="margin" w:xAlign="center" w:y="1" w:anchorLock="0"/>
      <w:tabs>
        <w:tab w:val="center" w:pos="4153"/>
        <w:tab w:val="right" w:pos="8306"/>
      </w:tabs>
    </w:pPr>
    <w:r>
      <w:fldChar w:fldCharType="begin"/>
    </w:r>
    <w:r>
      <w:instrText xml:space="preserve">PAGE  </w:instrText>
    </w:r>
    <w:r>
      <w:fldChar w:fldCharType="separate"/>
    </w:r>
    <w:r>
      <w:t xml:space="preserve"> </w:t>
    </w:r>
    <w:r>
      <w:fldChar w:fldCharType="end"/>
    </w:r>
  </w:p>
  <w:p>
    <w:pPr>
      <w:tabs>
        <w:tab w:val="center" w:pos="4153"/>
        <w:tab w:val="right" w:pos="8306"/>
      </w:tabs>
      <w:ind w:right="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jc w:val="center"/>
    </w:pPr>
    <w:r>
      <w:rPr>
        <w:sz w:val="24"/>
      </w:rPr>
      <mc:AlternateContent>
        <mc:Choice Requires="wps">
          <w:drawing>
            <wp:anchor distT="0" distB="0" distL="114300" distR="114300" simplePos="0" relativeHeight="480" behindDoc="0" locked="0" layoutInCell="1" hidden="0" allowOverlap="1">
              <wp:simplePos x="0" y="0"/>
              <wp:positionH relativeFrom="margin">
                <wp:align>center</wp:align>
              </wp:positionH>
              <wp:positionV relativeFrom="paragraph">
                <wp:posOffset>0</wp:posOffset>
              </wp:positionV>
              <wp:extent cx="76200" cy="131433"/>
              <wp:wrapNone/>
              <wp:docPr id="104" name="文本框 104"/>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1">
                      <w:txbxContent>
                        <w:p>
                          <w:pPr>
                            <w:pStyle w:val="18"/>
                            <w:keepNext w:val="0"/>
                            <w:keepLines w:val="0"/>
                            <w:pageBreakBefore w:val="0"/>
                            <w:widowControl w:val="0"/>
                            <w:tabs>
                              <w:tab w:val="center" w:pos="4153"/>
                              <w:tab w:val="right" w:pos="8306"/>
                            </w:tabs>
                            <w:kinsoku/>
                            <w:wordWrap/>
                            <w:overflowPunct/>
                            <w:topLinePunct w:val="0"/>
                            <w:bidi w:val="0"/>
                            <w:adjustRightInd/>
                            <w:snapToGrid w:val="0"/>
                            <w:spacing w:line="240" w:lineRule="auto"/>
                            <w:ind w:firstLineChars="0" w:firstLine="0"/>
                            <w:textAlignment w:val="auto"/>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type="#_x0000_t1" id="文本框 104" o:spid="_x0000_s2" filled="f" stroked="f" strokeweight="0.5pt" style="position:absolute;margin-left:0.0pt;margin-top:0.0pt;width:6.0pt;height:10.349121pt;z-index:480;mso-position-horizontal:center;mso-position-horizontal-relative:margin;mso-position-vertical:absolute;mso-wrap-style:none;">
              <v:stroke/>
              <v:textbox id="1038" inset="0mm,0mm,0mm,0mm" o:insetmode="custom" style="layout-flow:horizontal;v-text-anchor:top;mso-fit-shape-to-text:t;">
                <w:txbxContent>
                  <w:p>
                    <w:pPr>
                      <w:pStyle w:val="18"/>
                      <w:keepNext w:val="0"/>
                      <w:keepLines w:val="0"/>
                      <w:pageBreakBefore w:val="0"/>
                      <w:widowControl w:val="0"/>
                      <w:tabs>
                        <w:tab w:val="center" w:pos="4153"/>
                        <w:tab w:val="right" w:pos="8306"/>
                      </w:tabs>
                      <w:kinsoku/>
                      <w:wordWrap/>
                      <w:overflowPunct/>
                      <w:topLinePunct w:val="0"/>
                      <w:bidi w:val="0"/>
                      <w:adjustRightInd/>
                      <w:snapToGrid w:val="0"/>
                      <w:spacing w:line="240" w:lineRule="auto"/>
                      <w:ind w:firstLineChars="0" w:firstLine="0"/>
                      <w:textAlignment w:val="auto"/>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jc w:val="center"/>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jc w:val="center"/>
    </w:pP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jc w:val="center"/>
    </w:pP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jc w:val="center"/>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A33BE04"/>
    <w:multiLevelType w:val="singleLevel"/>
    <w:tmpl w:val="0A33BE04"/>
    <w:lvl w:ilvl="0">
      <w:start w:val="1"/>
      <w:numFmt w:val="chineseCounting"/>
      <w:lvlRestart w:val="0"/>
      <w:suff w:val="nothing"/>
      <w:lvlText w:val="%1、"/>
      <w:lvlJc w:val="left"/>
      <w:pPr/>
      <w:rPr>
        <w:rFonts w:hint="eastAsia"/>
      </w:rPr>
    </w:lvl>
  </w:abstractNum>
  <w:abstractNum w:abstractNumId="1">
    <w:nsid w:val="02B7E448"/>
    <w:multiLevelType w:val="singleLevel"/>
    <w:tmpl w:val="02B7E448"/>
    <w:lvl w:ilvl="0">
      <w:start w:val="1"/>
      <w:numFmt w:val="decimal"/>
      <w:lvlRestart w:val="0"/>
      <w:suff w:val="nothing"/>
      <w:lvlText w:val="%1"/>
      <w:lvlJc w:val="center"/>
      <w:pPr>
        <w:ind w:left="0" w:hanging="0"/>
      </w:pPr>
      <w:rPr>
        <w:rFonts w:hint="default"/>
      </w:rPr>
    </w:lvl>
  </w:abstractNum>
  <w:abstractNum w:abstractNumId="2">
    <w:nsid w:val="A28351A8"/>
    <w:multiLevelType w:val="singleLevel"/>
    <w:tmpl w:val="A28351A8"/>
    <w:lvl w:ilvl="0">
      <w:start w:val="1"/>
      <w:numFmt w:val="decimal"/>
      <w:lvlRestart w:val="0"/>
      <w:suff w:val="nothing"/>
      <w:lvlText w:val="%1"/>
      <w:lvlJc w:val="center"/>
      <w:pPr>
        <w:ind w:left="0" w:hanging="0"/>
      </w:pPr>
      <w:rPr>
        <w:rFonts w:hint="default"/>
      </w:rPr>
    </w:lvl>
  </w:abstractNum>
  <w:abstractNum w:abstractNumId="3">
    <w:nsid w:val="1D6BE448"/>
    <w:multiLevelType w:val="singleLevel"/>
    <w:tmpl w:val="1D6BE448"/>
    <w:lvl w:ilvl="0">
      <w:start w:val="1"/>
      <w:numFmt w:val="decimal"/>
      <w:lvlRestart w:val="0"/>
      <w:suff w:val="nothing"/>
      <w:lvlText w:val="%1"/>
      <w:lvlJc w:val="center"/>
      <w:pPr>
        <w:ind w:left="0" w:hanging="0"/>
      </w:pPr>
      <w:rPr>
        <w:rFonts w:hint="default"/>
      </w:rPr>
    </w:lvl>
  </w:abstractNum>
  <w:abstractNum w:abstractNumId="4">
    <w:nsid w:val="3E1A761B"/>
    <w:multiLevelType w:val="singleLevel"/>
    <w:tmpl w:val="3E1A761B"/>
    <w:lvl w:ilvl="0">
      <w:start w:val="4"/>
      <w:numFmt w:val="decimal"/>
      <w:lvlRestart w:val="0"/>
      <w:suff w:val="nothing"/>
      <w:lvlText w:val="%1、"/>
      <w:lvlJc w:val="left"/>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2"/>
  <w:bordersDoNotSurroundHeader w:val="0"/>
  <w:bordersDoNotSurroundFooter w:val="0"/>
  <w:defaultTabStop w:val="420"/>
  <w:drawingGridHorizontalSpacing w:val="120"/>
  <w:drawingGridVerticalSpacing w:val="168"/>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WMzYWY3YmFhNDU5NGI3YTQ5NTAwN2RkYjkyNzBhYWUifQ=="/>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autoRedefine/>
    <w:pPr>
      <w:widowControl w:val="0"/>
      <w:spacing w:line="360" w:lineRule="auto"/>
      <w:ind w:firstLineChars="200" w:firstLine="200"/>
      <w:jc w:val="both"/>
    </w:pPr>
    <w:rPr>
      <w:rFonts w:ascii="Times New Roman" w:eastAsia="宋体" w:cs="Times New Roman" w:hAnsi="Times New Roman"/>
      <w:kern w:val="2"/>
      <w:sz w:val="24"/>
      <w:szCs w:val="24"/>
      <w:lang w:val="en-US" w:eastAsia="zh-CN" w:bidi="ar-SA"/>
    </w:rPr>
  </w:style>
  <w:style w:type="paragraph" w:styleId="1">
    <w:name w:val="heading 1"/>
    <w:qFormat/>
    <w:basedOn w:val="0"/>
    <w:autoRedefine/>
    <w:next w:val="0"/>
    <w:link w:val="1Char"/>
    <w:pPr>
      <w:keepNext/>
      <w:keepLines/>
      <w:adjustRightInd w:val="0"/>
      <w:spacing w:line="360" w:lineRule="auto"/>
      <w:jc w:val="left"/>
      <w:textAlignment w:val="baseline"/>
      <w:outlineLvl w:val="0"/>
    </w:pPr>
    <w:rPr>
      <w:b/>
      <w:kern w:val="0"/>
      <w:sz w:val="32"/>
    </w:rPr>
  </w:style>
  <w:style w:type="character" w:customStyle="1" w:styleId="1Char">
    <w:name w:val="heading 1 Char"/>
    <w:basedOn w:val="10"/>
    <w:link w:val="1"/>
    <w:autoRedefine/>
    <w:rPr>
      <w:rFonts w:ascii="Times New Roman" w:eastAsia="宋体" w:cs="Times New Roman" w:hAnsi="Times New Roman"/>
      <w:b/>
      <w:kern w:val="0"/>
      <w:sz w:val="32"/>
      <w:szCs w:val="24"/>
      <w:lang w:val="en-US" w:eastAsia="zh-CN" w:bidi="ar-SA"/>
    </w:rPr>
  </w:style>
  <w:style w:type="paragraph" w:styleId="2">
    <w:name w:val="heading 2"/>
    <w:qFormat/>
    <w:basedOn w:val="0"/>
    <w:autoRedefine/>
    <w:next w:val="0"/>
    <w:link w:val="2Char"/>
    <w:pPr>
      <w:spacing w:beforeAutospacing="1" w:afterAutospacing="1"/>
      <w:jc w:val="left"/>
      <w:outlineLvl w:val="1"/>
    </w:pPr>
    <w:rPr>
      <w:rFonts w:ascii="宋体" w:hAnsi="宋体"/>
      <w:b/>
      <w:bCs/>
      <w:kern w:val="0"/>
      <w:sz w:val="36"/>
      <w:szCs w:val="36"/>
    </w:rPr>
  </w:style>
  <w:style w:type="character" w:customStyle="1" w:styleId="2Char">
    <w:name w:val="heading 2 Char"/>
    <w:basedOn w:val="10"/>
    <w:link w:val="2"/>
    <w:autoRedefine/>
    <w:rPr>
      <w:rFonts w:ascii="宋体" w:eastAsia="宋体" w:cs="Times New Roman" w:hAnsi="宋体"/>
      <w:b/>
      <w:bCs/>
      <w:kern w:val="0"/>
      <w:sz w:val="36"/>
      <w:szCs w:val="36"/>
      <w:lang w:val="en-US" w:eastAsia="zh-CN" w:bidi="ar-SA"/>
    </w:rPr>
  </w:style>
  <w:style w:type="paragraph" w:styleId="3">
    <w:name w:val="heading 3"/>
    <w:qFormat/>
    <w:basedOn w:val="0"/>
    <w:autoRedefine/>
    <w:next w:val="0"/>
    <w:link w:val="3Char"/>
    <w:pPr>
      <w:keepNext/>
      <w:keepLines/>
      <w:snapToGrid w:val="0"/>
      <w:spacing w:line="480" w:lineRule="exact"/>
      <w:outlineLvl w:val="2"/>
    </w:pPr>
    <w:rPr>
      <w:bCs/>
      <w:kern w:val="0"/>
    </w:rPr>
  </w:style>
  <w:style w:type="character" w:customStyle="1" w:styleId="3Char">
    <w:name w:val="heading 3 Char"/>
    <w:basedOn w:val="10"/>
    <w:link w:val="3"/>
    <w:autoRedefine/>
    <w:rPr>
      <w:rFonts w:ascii="Times New Roman" w:eastAsia="宋体" w:cs="Times New Roman" w:hAnsi="Times New Roman"/>
      <w:bCs/>
      <w:kern w:val="0"/>
      <w:sz w:val="24"/>
      <w:szCs w:val="24"/>
      <w:lang w:val="en-US" w:eastAsia="zh-CN" w:bidi="ar-SA"/>
    </w:rPr>
  </w:style>
  <w:style w:type="paragraph" w:styleId="4">
    <w:name w:val="heading 4"/>
    <w:qFormat/>
    <w:basedOn w:val="0"/>
    <w:autoRedefine/>
    <w:next w:val="0"/>
    <w:link w:val="4Char"/>
    <w:pPr>
      <w:spacing w:line="480" w:lineRule="exact"/>
      <w:outlineLvl w:val="3"/>
    </w:pPr>
    <w:rPr>
      <w:b/>
      <w:bCs/>
    </w:rPr>
  </w:style>
  <w:style w:type="character" w:customStyle="1" w:styleId="4Char">
    <w:name w:val="heading 4 Char"/>
    <w:basedOn w:val="10"/>
    <w:link w:val="4"/>
    <w:autoRedefine/>
    <w:rPr>
      <w:rFonts w:ascii="Times New Roman" w:eastAsia="宋体" w:cs="Times New Roman" w:hAnsi="Times New Roman"/>
      <w:b/>
      <w:bCs/>
      <w:kern w:val="2"/>
      <w:sz w:val="24"/>
      <w:szCs w:val="24"/>
      <w:lang w:val="en-US" w:eastAsia="zh-CN" w:bidi="ar-SA"/>
    </w:rPr>
  </w:style>
  <w:style w:type="character" w:default="1" w:styleId="10">
    <w:name w:val="Default Paragraph Font"/>
    <w:qFormat/>
    <w:autoRedefine/>
  </w:style>
  <w:style w:type="paragraph" w:styleId="15">
    <w:name w:val="Normal Indent"/>
    <w:qFormat/>
    <w:basedOn w:val="0"/>
    <w:next w:val="4"/>
    <w:rPr>
      <w:szCs w:val="20"/>
    </w:rPr>
  </w:style>
  <w:style w:type="paragraph" w:styleId="16">
    <w:name w:val="annotation text"/>
    <w:qFormat/>
    <w:basedOn w:val="0"/>
    <w:pPr>
      <w:jc w:val="left"/>
    </w:pPr>
  </w:style>
  <w:style w:type="paragraph" w:styleId="17">
    <w:name w:val="toc 8"/>
    <w:qFormat/>
    <w:basedOn w:val="0"/>
    <w:next w:val="0"/>
    <w:pPr>
      <w:ind w:leftChars="1400" w:left="1400"/>
    </w:pPr>
    <w:rPr>
      <w:szCs w:val="20"/>
    </w:rPr>
  </w:style>
  <w:style w:type="paragraph" w:styleId="18">
    <w:name w:val="footer"/>
    <w:qFormat/>
    <w:basedOn w:val="0"/>
    <w:autoRedefine/>
    <w:pPr>
      <w:tabs>
        <w:tab w:val="center" w:pos="4153"/>
        <w:tab w:val="right" w:pos="8306"/>
      </w:tabs>
      <w:snapToGrid w:val="0"/>
      <w:jc w:val="left"/>
    </w:pPr>
    <w:rPr>
      <w:sz w:val="18"/>
    </w:rPr>
  </w:style>
  <w:style w:type="paragraph" w:styleId="19">
    <w:name w:val="header"/>
    <w:qFormat/>
    <w:basedOn w:val="0"/>
    <w:autoRedefin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20">
    <w:name w:val="Normal (Web)"/>
    <w:qFormat/>
    <w:basedOn w:val="0"/>
    <w:next w:val="17"/>
    <w:pPr>
      <w:widowControl/>
      <w:spacing w:before="100" w:beforeAutospacing="1" w:after="100" w:afterAutospacing="1"/>
      <w:jc w:val="left"/>
    </w:pPr>
    <w:rPr>
      <w:rFonts w:ascii="宋体" w:hAnsi="宋体"/>
      <w:kern w:val="0"/>
      <w:sz w:val="24"/>
      <w:szCs w:val="20"/>
    </w:rPr>
  </w:style>
  <w:style w:type="character" w:styleId="21">
    <w:name w:val="Strong"/>
    <w:qFormat/>
    <w:basedOn w:val="10"/>
    <w:rPr>
      <w:b/>
    </w:rPr>
  </w:style>
  <w:style w:type="character" w:styleId="22">
    <w:name w:val="Hyperlink"/>
    <w:qFormat/>
    <w:basedOn w:val="10"/>
    <w:rPr>
      <w:color w:val="0000FF"/>
      <w:u w:val="single"/>
    </w:rPr>
  </w:style>
  <w:style w:type="paragraph" w:customStyle="1" w:yozoId="4094" w:styleId="23">
    <w:name w:val="表格内容"/>
    <w:qFormat/>
    <w:basedOn w:val="0"/>
    <w:autoRedefine/>
    <w:pPr>
      <w:overflowPunct w:val="0"/>
      <w:adjustRightInd w:val="0"/>
      <w:snapToGrid w:val="0"/>
      <w:spacing w:line="240" w:lineRule="auto"/>
      <w:ind w:firstLineChars="0" w:firstLine="0"/>
      <w:jc w:val="center"/>
      <w:textAlignment w:val="baseline"/>
    </w:pPr>
    <w:rPr>
      <w:kern w:val="0"/>
      <w:sz w:val="21"/>
    </w:rPr>
  </w:style>
  <w:style w:type="paragraph" w:customStyle="1" w:yozoId="4094" w:styleId="24">
    <w:name w:val="表格名称"/>
    <w:qFormat/>
    <w:basedOn w:val="0"/>
    <w:autoRedefine/>
    <w:pPr>
      <w:spacing w:line="240" w:lineRule="auto"/>
      <w:ind w:firstLineChars="0" w:firstLine="0"/>
      <w:jc w:val="center"/>
    </w:pPr>
    <w:rPr>
      <w:b/>
      <w:szCs w:val="21"/>
    </w:rPr>
  </w:style>
  <w:style w:type="paragraph" w:customStyle="1" w:yozoId="4094" w:styleId="25">
    <w:name w:val="表格文字"/>
    <w:qFormat/>
    <w:basedOn w:val="0"/>
    <w:autoRedefine/>
    <w:pPr>
      <w:tabs>
        <w:tab w:val="left" w:pos="1680"/>
        <w:tab w:val="left" w:pos="3465"/>
      </w:tabs>
      <w:autoSpaceDE w:val="0"/>
      <w:autoSpaceDN w:val="0"/>
      <w:adjustRightInd w:val="0"/>
      <w:snapToGrid w:val="0"/>
      <w:spacing w:line="240" w:lineRule="auto"/>
      <w:ind w:firstLineChars="0" w:firstLine="0"/>
      <w:jc w:val="center"/>
      <w:textAlignment w:val="baseline"/>
    </w:pPr>
    <w:rPr>
      <w:rFonts w:ascii="Times New Roman" w:cs="宋体" w:hAnsi="Times New Roman"/>
      <w:snapToGrid w:val="0"/>
      <w:spacing w:val="4"/>
      <w:sz w:val="21"/>
      <w:szCs w:val="18"/>
      <w:shd w:val="clear" w:color="auto" w:fill="FFFFFF"/>
      <w:lang w:val="zh-TW" w:eastAsia="zh-TW"/>
    </w:rPr>
  </w:style>
  <w:style w:type="paragraph" w:customStyle="1" w:yozoId="4094" w:styleId="26">
    <w:name w:val="图、表标题"/>
    <w:qFormat/>
    <w:basedOn w:val="0"/>
    <w:autoRedefine/>
    <w:next w:val="23"/>
    <w:pPr>
      <w:spacing w:line="240" w:lineRule="auto"/>
      <w:ind w:firstLineChars="0" w:firstLine="0"/>
      <w:jc w:val="center"/>
    </w:pPr>
    <w:rPr>
      <w:b/>
      <w:bCs/>
      <w:color w:val="000000"/>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image" Target="media/3.png"/><Relationship Id="rId6" Type="http://schemas.openxmlformats.org/officeDocument/2006/relationships/image" Target="media/5.png"/><Relationship Id="rId7" Type="http://schemas.openxmlformats.org/officeDocument/2006/relationships/image" Target="media/7.png"/><Relationship Id="rId8" Type="http://schemas.openxmlformats.org/officeDocument/2006/relationships/image" Target="media/11.png"/><Relationship Id="rId9" Type="http://schemas.openxmlformats.org/officeDocument/2006/relationships/image" Target="media/17.png"/><Relationship Id="rId10" Type="http://schemas.openxmlformats.org/officeDocument/2006/relationships/image" Target="media/33.png"/><Relationship Id="rId11" Type="http://schemas.openxmlformats.org/officeDocument/2006/relationships/image" Target="media/37.png"/><Relationship Id="rId12" Type="http://schemas.openxmlformats.org/officeDocument/2006/relationships/image" Target="media/41.png"/><Relationship Id="rId13" Type="http://schemas.openxmlformats.org/officeDocument/2006/relationships/image" Target="media/45.png"/><Relationship Id="rId14" Type="http://schemas.openxmlformats.org/officeDocument/2006/relationships/image" Target="media/49.png"/><Relationship Id="rId15" Type="http://schemas.openxmlformats.org/officeDocument/2006/relationships/image" Target="media/53.png"/><Relationship Id="rId16" Type="http://schemas.openxmlformats.org/officeDocument/2006/relationships/image" Target="media/56.wmf"/><Relationship Id="rId17" Type="http://schemas.openxmlformats.org/officeDocument/2006/relationships/oleObject" Target="embeddings/oleObject1.bin"/><Relationship Id="rId18" Type="http://schemas.openxmlformats.org/officeDocument/2006/relationships/image" Target="media/57.png"/><Relationship Id="rId19" Type="http://schemas.openxmlformats.org/officeDocument/2006/relationships/image" Target="media/59.png"/><Relationship Id="rId20" Type="http://schemas.openxmlformats.org/officeDocument/2006/relationships/image" Target="media/61.png"/><Relationship Id="rId21" Type="http://schemas.openxmlformats.org/officeDocument/2006/relationships/image" Target="media/63.png"/><Relationship Id="rId22" Type="http://schemas.openxmlformats.org/officeDocument/2006/relationships/image" Target="media/65.png"/><Relationship Id="rId23" Type="http://schemas.openxmlformats.org/officeDocument/2006/relationships/image" Target="media/67.png"/><Relationship Id="rId24" Type="http://schemas.openxmlformats.org/officeDocument/2006/relationships/image" Target="media/69.png"/><Relationship Id="rId25" Type="http://schemas.openxmlformats.org/officeDocument/2006/relationships/image" Target="media/71.png"/><Relationship Id="rId26" Type="http://schemas.openxmlformats.org/officeDocument/2006/relationships/image" Target="media/73.png"/><Relationship Id="rId27" Type="http://schemas.openxmlformats.org/officeDocument/2006/relationships/image" Target="media/75.png"/><Relationship Id="rId28" Type="http://schemas.openxmlformats.org/officeDocument/2006/relationships/image" Target="media/77.png"/><Relationship Id="rId29" Type="http://schemas.openxmlformats.org/officeDocument/2006/relationships/image" Target="media/80.wmf"/><Relationship Id="rId30" Type="http://schemas.openxmlformats.org/officeDocument/2006/relationships/oleObject" Target="embeddings/oleObject2.bin"/><Relationship Id="rId31" Type="http://schemas.openxmlformats.org/officeDocument/2006/relationships/image" Target="media/81.png"/><Relationship Id="rId32" Type="http://schemas.openxmlformats.org/officeDocument/2006/relationships/image" Target="media/77.png"/><Relationship Id="rId33" Type="http://schemas.openxmlformats.org/officeDocument/2006/relationships/image" Target="media/84.png"/><Relationship Id="rId34" Type="http://schemas.openxmlformats.org/officeDocument/2006/relationships/image" Target="media/86.png"/><Relationship Id="rId35" Type="http://schemas.openxmlformats.org/officeDocument/2006/relationships/image" Target="media/77.png"/><Relationship Id="rId36" Type="http://schemas.openxmlformats.org/officeDocument/2006/relationships/image" Target="media/89.png"/><Relationship Id="rId37" Type="http://schemas.openxmlformats.org/officeDocument/2006/relationships/image" Target="media/91.png"/><Relationship Id="rId38" Type="http://schemas.openxmlformats.org/officeDocument/2006/relationships/image" Target="media/93.png"/><Relationship Id="rId39" Type="http://schemas.openxmlformats.org/officeDocument/2006/relationships/image" Target="media/77.png"/><Relationship Id="rId40" Type="http://schemas.openxmlformats.org/officeDocument/2006/relationships/image" Target="media/96.png"/><Relationship Id="rId41" Type="http://schemas.openxmlformats.org/officeDocument/2006/relationships/image" Target="media/77.png"/><Relationship Id="rId42" Type="http://schemas.openxmlformats.org/officeDocument/2006/relationships/image" Target="media/99.png"/><Relationship Id="rId43" Type="http://schemas.openxmlformats.org/officeDocument/2006/relationships/image" Target="media/101.png"/><Relationship Id="rId44" Type="http://schemas.openxmlformats.org/officeDocument/2006/relationships/image" Target="media/103.png"/><Relationship Id="rId45" Type="http://schemas.openxmlformats.org/officeDocument/2006/relationships/image" Target="media/106.wmf"/><Relationship Id="rId46" Type="http://schemas.openxmlformats.org/officeDocument/2006/relationships/oleObject" Target="embeddings/oleObject3.bin"/><Relationship Id="rId47" Type="http://schemas.openxmlformats.org/officeDocument/2006/relationships/image" Target="media/108.wmf"/><Relationship Id="rId48" Type="http://schemas.openxmlformats.org/officeDocument/2006/relationships/oleObject" Target="embeddings/oleObject4.bin"/><Relationship Id="rId49" Type="http://schemas.openxmlformats.org/officeDocument/2006/relationships/image" Target="media/109.png"/><Relationship Id="rId50" Type="http://schemas.openxmlformats.org/officeDocument/2006/relationships/image" Target="media/111.png"/><Relationship Id="rId51" Type="http://schemas.openxmlformats.org/officeDocument/2006/relationships/image" Target="media/113.png"/><Relationship Id="rId52" Type="http://schemas.openxmlformats.org/officeDocument/2006/relationships/image" Target="media/115.png"/><Relationship Id="rId53" Type="http://schemas.openxmlformats.org/officeDocument/2006/relationships/image" Target="media/117.png"/><Relationship Id="rId54" Type="http://schemas.openxmlformats.org/officeDocument/2006/relationships/image" Target="media/119.png"/><Relationship Id="rId55" Type="http://schemas.openxmlformats.org/officeDocument/2006/relationships/image" Target="media/121.jpeg"/><Relationship Id="rId56" Type="http://schemas.openxmlformats.org/officeDocument/2006/relationships/image" Target="media/123.jpeg"/><Relationship Id="rId57" Type="http://schemas.openxmlformats.org/officeDocument/2006/relationships/image" Target="media/125.jpeg"/><Relationship Id="rId58" Type="http://schemas.openxmlformats.org/officeDocument/2006/relationships/footer" Target="footer4.xml"/><Relationship Id="rId59" Type="http://schemas.openxmlformats.org/officeDocument/2006/relationships/footer" Target="footer5.xml"/><Relationship Id="rId60" Type="http://schemas.openxmlformats.org/officeDocument/2006/relationships/footer" Target="footer6.xml"/><Relationship Id="rId61" Type="http://schemas.openxmlformats.org/officeDocument/2006/relationships/image" Target="media/130.png"/><Relationship Id="rId62" Type="http://schemas.openxmlformats.org/officeDocument/2006/relationships/image" Target="media/132.jpeg"/><Relationship Id="rId63" Type="http://schemas.openxmlformats.org/officeDocument/2006/relationships/image" Target="media/142.png"/><Relationship Id="rId64" Type="http://schemas.openxmlformats.org/officeDocument/2006/relationships/image" Target="media/144.png"/><Relationship Id="rId65" Type="http://schemas.openxmlformats.org/officeDocument/2006/relationships/image" Target="media/130.png"/><Relationship Id="rId66" Type="http://schemas.openxmlformats.org/officeDocument/2006/relationships/image" Target="media/152.png"/><Relationship Id="rId67" Type="http://schemas.openxmlformats.org/officeDocument/2006/relationships/image" Target="media/160.png"/><Relationship Id="rId68" Type="http://schemas.openxmlformats.org/officeDocument/2006/relationships/image" Target="media/130.png"/><Relationship Id="rId69" Type="http://schemas.openxmlformats.org/officeDocument/2006/relationships/image" Target="media/163.png"/><Relationship Id="rId70" Type="http://schemas.openxmlformats.org/officeDocument/2006/relationships/image" Target="media/165.png"/><Relationship Id="rId71" Type="http://schemas.openxmlformats.org/officeDocument/2006/relationships/image" Target="media/130.png"/><Relationship Id="rId72" Type="http://schemas.openxmlformats.org/officeDocument/2006/relationships/image" Target="media/172.png"/><Relationship Id="rId73" Type="http://schemas.openxmlformats.org/officeDocument/2006/relationships/image" Target="media/130.png"/><Relationship Id="rId74" Type="http://schemas.openxmlformats.org/officeDocument/2006/relationships/image" Target="media/177.png"/><Relationship Id="rId75" Type="http://schemas.openxmlformats.org/officeDocument/2006/relationships/image" Target="media/130.png"/><Relationship Id="rId76" Type="http://schemas.openxmlformats.org/officeDocument/2006/relationships/image" Target="media/182.png"/><Relationship Id="rId77" Type="http://schemas.openxmlformats.org/officeDocument/2006/relationships/image" Target="media/191.png"/><Relationship Id="rId78" Type="http://schemas.openxmlformats.org/officeDocument/2006/relationships/image" Target="media/197.jpeg"/><Relationship Id="rId79" Type="http://schemas.openxmlformats.org/officeDocument/2006/relationships/image" Target="media/203.png"/><Relationship Id="rId80" Type="http://schemas.openxmlformats.org/officeDocument/2006/relationships/image" Target="media/130.png"/><Relationship Id="rId81" Type="http://schemas.openxmlformats.org/officeDocument/2006/relationships/image" Target="media/211.png"/><Relationship Id="rId82" Type="http://schemas.openxmlformats.org/officeDocument/2006/relationships/footer" Target="footer7.xml"/><Relationship Id="rId83" Type="http://schemas.openxmlformats.org/officeDocument/2006/relationships/image" Target="media/130.png"/><Relationship Id="rId84" Type="http://schemas.openxmlformats.org/officeDocument/2006/relationships/image" Target="media/220.png"/><Relationship Id="rId85" Type="http://schemas.openxmlformats.org/officeDocument/2006/relationships/image" Target="media/222.png"/><Relationship Id="rId86" Type="http://schemas.openxmlformats.org/officeDocument/2006/relationships/image" Target="media/224.png"/><Relationship Id="rId87" Type="http://schemas.openxmlformats.org/officeDocument/2006/relationships/image" Target="media/226.png"/><Relationship Id="rId88" Type="http://schemas.openxmlformats.org/officeDocument/2006/relationships/image" Target="media/228.jpeg"/><Relationship Id="rId89" Type="http://schemas.openxmlformats.org/officeDocument/2006/relationships/image" Target="media/230.jpeg"/><Relationship Id="rId90" Type="http://schemas.openxmlformats.org/officeDocument/2006/relationships/image" Target="media/232.jpeg"/><Relationship Id="rId91" Type="http://schemas.openxmlformats.org/officeDocument/2006/relationships/image" Target="media/234.jpeg"/><Relationship Id="rId92" Type="http://schemas.openxmlformats.org/officeDocument/2006/relationships/image" Target="media/236.jpeg"/><Relationship Id="rId93" Type="http://schemas.openxmlformats.org/officeDocument/2006/relationships/image" Target="media/238.png"/><Relationship Id="rId94" Type="http://schemas.openxmlformats.org/officeDocument/2006/relationships/image" Target="media/240.png"/><Relationship Id="rId95" Type="http://schemas.openxmlformats.org/officeDocument/2006/relationships/image" Target="media/242.png"/><Relationship Id="rId96" Type="http://schemas.openxmlformats.org/officeDocument/2006/relationships/image" Target="media/244.png"/><Relationship Id="rId97" Type="http://schemas.openxmlformats.org/officeDocument/2006/relationships/image" Target="media/246.png"/><Relationship Id="rId98" Type="http://schemas.openxmlformats.org/officeDocument/2006/relationships/image" Target="media/248.png"/><Relationship Id="rId99" Type="http://schemas.openxmlformats.org/officeDocument/2006/relationships/image" Target="media/250.png"/><Relationship Id="rId100" Type="http://schemas.openxmlformats.org/officeDocument/2006/relationships/image" Target="media/252.png"/><Relationship Id="rId101" Type="http://schemas.openxmlformats.org/officeDocument/2006/relationships/image" Target="media/254.png"/><Relationship Id="rId102" Type="http://schemas.openxmlformats.org/officeDocument/2006/relationships/image" Target="media/256.png"/><Relationship Id="rId103" Type="http://schemas.openxmlformats.org/officeDocument/2006/relationships/image" Target="media/258.png"/><Relationship Id="rId104" Type="http://schemas.openxmlformats.org/officeDocument/2006/relationships/image" Target="media/260.png"/><Relationship Id="rId105" Type="http://schemas.openxmlformats.org/officeDocument/2006/relationships/image" Target="media/262.png"/><Relationship Id="rId106" Type="http://schemas.openxmlformats.org/officeDocument/2006/relationships/image" Target="media/264.png"/><Relationship Id="rId107" Type="http://schemas.openxmlformats.org/officeDocument/2006/relationships/image" Target="media/266.png"/><Relationship Id="rId108" Type="http://schemas.openxmlformats.org/officeDocument/2006/relationships/image" Target="media/268.png"/><Relationship Id="rId109" Type="http://schemas.openxmlformats.org/officeDocument/2006/relationships/image" Target="media/270.png"/><Relationship Id="rId110" Type="http://schemas.openxmlformats.org/officeDocument/2006/relationships/image" Target="media/272.png"/><Relationship Id="rId111" Type="http://schemas.openxmlformats.org/officeDocument/2006/relationships/image" Target="media/274.png"/><Relationship Id="rId112" Type="http://schemas.openxmlformats.org/officeDocument/2006/relationships/image" Target="media/276.png"/><Relationship Id="rId113" Type="http://schemas.openxmlformats.org/officeDocument/2006/relationships/image" Target="media/278.png"/><Relationship Id="rId114" Type="http://schemas.openxmlformats.org/officeDocument/2006/relationships/image" Target="media/280.png"/><Relationship Id="rId115" Type="http://schemas.openxmlformats.org/officeDocument/2006/relationships/image" Target="media/282.png"/><Relationship Id="rId116" Type="http://schemas.openxmlformats.org/officeDocument/2006/relationships/image" Target="media/284.png"/><Relationship Id="rId117" Type="http://schemas.openxmlformats.org/officeDocument/2006/relationships/image" Target="media/286.png"/><Relationship Id="rId118" Type="http://schemas.openxmlformats.org/officeDocument/2006/relationships/image" Target="media/288.png"/><Relationship Id="rId119" Type="http://schemas.openxmlformats.org/officeDocument/2006/relationships/image" Target="media/290.png"/><Relationship Id="rId120" Type="http://schemas.openxmlformats.org/officeDocument/2006/relationships/image" Target="media/292.png"/><Relationship Id="rId121" Type="http://schemas.openxmlformats.org/officeDocument/2006/relationships/image" Target="media/294.png"/><Relationship Id="rId122" Type="http://schemas.openxmlformats.org/officeDocument/2006/relationships/image" Target="media/296.png"/><Relationship Id="rId123" Type="http://schemas.openxmlformats.org/officeDocument/2006/relationships/image" Target="media/298.png"/><Relationship Id="rId124" Type="http://schemas.openxmlformats.org/officeDocument/2006/relationships/image" Target="media/300.png"/><Relationship Id="rId125" Type="http://schemas.openxmlformats.org/officeDocument/2006/relationships/image" Target="media/302.png"/><Relationship Id="rId126" Type="http://schemas.openxmlformats.org/officeDocument/2006/relationships/image" Target="media/304.png"/><Relationship Id="rId127" Type="http://schemas.openxmlformats.org/officeDocument/2006/relationships/image" Target="media/306.png"/><Relationship Id="rId128" Type="http://schemas.openxmlformats.org/officeDocument/2006/relationships/image" Target="media/308.png"/><Relationship Id="rId129" Type="http://schemas.openxmlformats.org/officeDocument/2006/relationships/image" Target="media/310.png"/><Relationship Id="rId130" Type="http://schemas.openxmlformats.org/officeDocument/2006/relationships/image" Target="media/312.png"/><Relationship Id="rId131" Type="http://schemas.openxmlformats.org/officeDocument/2006/relationships/image" Target="media/314.png"/><Relationship Id="rId132" Type="http://schemas.openxmlformats.org/officeDocument/2006/relationships/image" Target="media/316.png"/><Relationship Id="rId133" Type="http://schemas.openxmlformats.org/officeDocument/2006/relationships/image" Target="media/318.png"/><Relationship Id="rId134" Type="http://schemas.openxmlformats.org/officeDocument/2006/relationships/image" Target="media/320.png"/><Relationship Id="rId135" Type="http://schemas.openxmlformats.org/officeDocument/2006/relationships/image" Target="media/322.png"/><Relationship Id="rId136" Type="http://schemas.openxmlformats.org/officeDocument/2006/relationships/image" Target="media/324.png"/><Relationship Id="rId137" Type="http://schemas.openxmlformats.org/officeDocument/2006/relationships/image" Target="media/326.png"/><Relationship Id="rId138" Type="http://schemas.openxmlformats.org/officeDocument/2006/relationships/image" Target="media/328.png"/><Relationship Id="rId139" Type="http://schemas.openxmlformats.org/officeDocument/2006/relationships/image" Target="media/330.jpeg"/><Relationship Id="rId140" Type="http://schemas.openxmlformats.org/officeDocument/2006/relationships/image" Target="media/332.png"/><Relationship Id="rId141" Type="http://schemas.openxmlformats.org/officeDocument/2006/relationships/image" Target="media/334.png"/><Relationship Id="rId142" Type="http://schemas.openxmlformats.org/officeDocument/2006/relationships/image" Target="media/336.png"/><Relationship Id="rId143" Type="http://schemas.openxmlformats.org/officeDocument/2006/relationships/image" Target="media/338.png"/><Relationship Id="rId144" Type="http://schemas.openxmlformats.org/officeDocument/2006/relationships/image" Target="media/340.png"/><Relationship Id="rId145" Type="http://schemas.openxmlformats.org/officeDocument/2006/relationships/image" Target="media/342.png"/><Relationship Id="rId146" Type="http://schemas.openxmlformats.org/officeDocument/2006/relationships/image" Target="media/344.png"/><Relationship Id="rId147" Type="http://schemas.openxmlformats.org/officeDocument/2006/relationships/image" Target="media/346.png"/><Relationship Id="rId148" Type="http://schemas.openxmlformats.org/officeDocument/2006/relationships/image" Target="media/348.png"/><Relationship Id="rId149" Type="http://schemas.openxmlformats.org/officeDocument/2006/relationships/image" Target="media/350.png"/><Relationship Id="rId150" Type="http://schemas.openxmlformats.org/officeDocument/2006/relationships/image" Target="media/352.png"/><Relationship Id="rId151" Type="http://schemas.openxmlformats.org/officeDocument/2006/relationships/image" Target="media/354.png"/><Relationship Id="rId152" Type="http://schemas.openxmlformats.org/officeDocument/2006/relationships/image" Target="media/356.png"/><Relationship Id="rId153" Type="http://schemas.openxmlformats.org/officeDocument/2006/relationships/image" Target="media/358.png"/><Relationship Id="rId154" Type="http://schemas.openxmlformats.org/officeDocument/2006/relationships/image" Target="media/360.png"/><Relationship Id="rId155" Type="http://schemas.openxmlformats.org/officeDocument/2006/relationships/image" Target="media/362.png"/><Relationship Id="rId156" Type="http://schemas.openxmlformats.org/officeDocument/2006/relationships/image" Target="media/364.png"/><Relationship Id="rId157" Type="http://schemas.openxmlformats.org/officeDocument/2006/relationships/image" Target="media/366.png"/><Relationship Id="rId158" Type="http://schemas.openxmlformats.org/officeDocument/2006/relationships/image" Target="media/368.png"/><Relationship Id="rId159" Type="http://schemas.openxmlformats.org/officeDocument/2006/relationships/styles" Target="styles.xml"/><Relationship Id="rId160" Type="http://schemas.openxmlformats.org/officeDocument/2006/relationships/numbering" Target="numbering.xml"/><Relationship Id="rId161" Type="http://schemas.openxmlformats.org/officeDocument/2006/relationships/fontTable" Target="fontTable.xml"/><Relationship Id="rId162" Type="http://schemas.openxmlformats.org/officeDocument/2006/relationships/customXml" Target="../customXml/item1.xml"/><Relationship Id="rId163"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678 0 1 1 1 1"/>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6CFC3583-BA0A-4BE9-9A4B-D5DD2D9872F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TotalTime>
  <Application>WPS_Yozo_Office9.0.5847.101ZH.S1</Application>
  <Pages>221</Pages>
  <Words>0</Words>
  <Characters>71289</Characters>
  <Lines>0</Lines>
  <Paragraphs>102</Paragraphs>
  <CharactersWithSpaces>95052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zghb0</dc:creator>
  <cp:lastModifiedBy>Administrator</cp:lastModifiedBy>
  <cp:revision>5</cp:revision>
  <cp:lastPrinted>2024-01-31T05:23:00Z</cp:lastPrinted>
  <dcterms:created xsi:type="dcterms:W3CDTF">2021-04-14T03:09:00Z</dcterms:created>
  <dcterms:modified xsi:type="dcterms:W3CDTF">2026-08-06T05:57:18Z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40BF82C8E5BF44579B5D297B9F01C591_13</vt:lpwstr>
  </property>
  <property fmtid="{D5CDD505-2E9C-101B-9397-08002B2CF9AE}" pid="4" name="KSOTemplateDocerSaveRecord">
    <vt:lpwstr>eyJoZGlkIjoiMWMzYWY3YmFhNDU5NGI3YTQ5NTAwN2RkYjkyNzBhYWUiLCJ1c2VySWQiOiI0Nzc3NTI4NTYifQ==</vt:lpwstr>
  </property>
</Properties>
</file>