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wmf" ContentType="image/wmf"/>
  <Default Extension="bin" ContentType="application/vnd.openxmlformats-officedocument.oleObject"/>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288" w:lineRule="auto"/>
        <w:ind w:firstLineChars="0" w:firstLine="0"/>
        <w:jc w:val="center"/>
        <w:rPr>
          <w:rFonts w:ascii="方正仿宋_GB2312" w:eastAsia="方正仿宋_GB2312" w:cs="方正仿宋_GB2312" w:hAnsi="方正仿宋_GB2312" w:hint="eastAsia"/>
          <w:color w:val="auto"/>
          <w:kern w:val="44"/>
          <w:sz w:val="44"/>
          <w:szCs w:val="44"/>
        </w:rPr>
      </w:pPr>
      <w:r>
        <w:rPr>
          <w:rFonts w:ascii="方正仿宋_GB2312" w:eastAsia="方正仿宋_GB2312" w:cs="方正仿宋_GB2312" w:hAnsi="方正仿宋_GB2312" w:hint="eastAsia"/>
          <w:color w:val="auto"/>
          <w:kern w:val="44"/>
          <w:sz w:val="44"/>
          <w:szCs w:val="44"/>
        </w:rPr>
        <w:drawing>
          <wp:anchor distT="0" distB="0" distL="114300" distR="114300" simplePos="0" relativeHeight="794" behindDoc="0" locked="0" layoutInCell="1" hidden="0" allowOverlap="1">
            <wp:simplePos x="0" y="0"/>
            <wp:positionH relativeFrom="column">
              <wp:posOffset>-734694</wp:posOffset>
            </wp:positionH>
            <wp:positionV relativeFrom="paragraph">
              <wp:posOffset>-861694</wp:posOffset>
            </wp:positionV>
            <wp:extent cx="7376160" cy="10480040"/>
            <wp:effectExtent l="0" t="0" r="15240" b="16510"/>
            <wp:wrapNone/>
            <wp:docPr id="1028" name="图片 4"/>
            <wp:cNvGraphicFramePr>
              <a:graphicFrameLocks noChangeAspect="1"/>
            </wp:cNvGraphicFramePr>
            <a:graphic>
              <a:graphicData uri="http://schemas.openxmlformats.org/drawingml/2006/picture">
                <pic:pic>
                  <pic:nvPicPr>
                    <pic:cNvPr id="2" name="图片 4 2"/>
                    <pic:cNvPicPr/>
                  </pic:nvPicPr>
                  <pic:blipFill>
                    <a:blip r:embed="rId4"/>
                    <a:stretch>
                      <a:fillRect/>
                    </a:stretch>
                  </pic:blipFill>
                  <pic:spPr>
                    <a:xfrm rot="0">
                      <a:off x="0" y="0"/>
                      <a:ext cx="7376160" cy="10480040"/>
                    </a:xfrm>
                    <a:prstGeom prst="rect"/>
                    <a:noFill/>
                    <a:ln cmpd="sng" cap="flat">
                      <a:noFill/>
                      <a:prstDash val="solid"/>
                      <a:round/>
                    </a:ln>
                  </pic:spPr>
                </pic:pic>
              </a:graphicData>
            </a:graphic>
          </wp:anchor>
        </w:drawing>
      </w:r>
    </w:p>
    <w:p>
      <w:pPr>
        <w:adjustRightInd w:val="0"/>
        <w:snapToGrid w:val="0"/>
        <w:spacing w:line="288" w:lineRule="auto"/>
        <w:ind w:firstLineChars="0" w:firstLine="0"/>
        <w:jc w:val="center"/>
        <w:rPr>
          <w:rFonts w:ascii="宋体" w:cs="宋体" w:hAnsi="宋体" w:hint="eastAsia"/>
          <w:color w:val="auto"/>
          <w:kern w:val="44"/>
          <w:sz w:val="44"/>
          <w:szCs w:val="44"/>
        </w:rPr>
      </w:pPr>
    </w:p>
    <w:p>
      <w:pPr>
        <w:adjustRightInd w:val="0"/>
        <w:snapToGrid w:val="0"/>
        <w:ind w:firstLineChars="0" w:firstLine="0"/>
        <w:jc w:val="center"/>
        <w:outlineLvl w:val="0"/>
        <w:rPr>
          <w:rFonts w:ascii="宋体" w:cs="宋体" w:hAnsi="宋体" w:hint="eastAsia"/>
          <w:bCs/>
          <w:color w:val="auto"/>
          <w:sz w:val="72"/>
          <w:szCs w:val="72"/>
        </w:rPr>
      </w:pPr>
      <w:r>
        <w:rPr>
          <w:rFonts w:ascii="宋体" w:cs="宋体" w:hAnsi="宋体" w:hint="eastAsia"/>
          <w:bCs/>
          <w:color w:val="auto"/>
          <w:sz w:val="72"/>
          <w:szCs w:val="72"/>
        </w:rPr>
        <w:t>建设项目环境影响报告表</w:t>
      </w:r>
    </w:p>
    <w:p>
      <w:pPr>
        <w:ind w:left="0" w:right="0" w:firstLineChars="0" w:firstLine="0"/>
        <w:jc w:val="center"/>
        <w:rPr>
          <w:rFonts w:ascii="宋体" w:cs="宋体" w:hAnsi="宋体" w:hint="eastAsia"/>
          <w:bCs/>
          <w:color w:val="auto"/>
          <w:sz w:val="48"/>
          <w:szCs w:val="48"/>
        </w:rPr>
      </w:pPr>
      <w:r>
        <w:rPr>
          <w:rFonts w:ascii="宋体" w:cs="宋体" w:hAnsi="宋体" w:hint="eastAsia"/>
          <w:bCs/>
          <w:color w:val="auto"/>
          <w:sz w:val="48"/>
          <w:szCs w:val="48"/>
        </w:rPr>
        <w:t>（污染影响类）</w:t>
      </w:r>
    </w:p>
    <w:p>
      <w:pPr>
        <w:ind w:firstLineChars="0" w:firstLine="0"/>
        <w:rPr>
          <w:rFonts w:ascii="宋体" w:eastAsia="宋体" w:cs="宋体" w:hAnsi="宋体"/>
          <w:color w:val="auto"/>
          <w:sz w:val="44"/>
          <w:szCs w:val="44"/>
          <w:lang w:val="en-US" w:eastAsia="zh-CN"/>
        </w:rPr>
      </w:pPr>
    </w:p>
    <w:p>
      <w:pPr>
        <w:ind w:firstLineChars="0" w:firstLine="0"/>
        <w:rPr>
          <w:rFonts w:ascii="宋体" w:cs="宋体" w:hAnsi="宋体" w:hint="eastAsia"/>
          <w:color w:val="auto"/>
        </w:rPr>
      </w:pPr>
    </w:p>
    <w:p>
      <w:pPr>
        <w:ind w:firstLineChars="0" w:firstLine="0"/>
        <w:rPr>
          <w:rFonts w:ascii="宋体" w:cs="宋体" w:hAnsi="宋体" w:hint="eastAsia"/>
          <w:color w:val="auto"/>
          <w:sz w:val="44"/>
          <w:szCs w:val="44"/>
        </w:rPr>
      </w:pPr>
    </w:p>
    <w:p>
      <w:pPr>
        <w:ind w:firstLineChars="0" w:firstLine="0"/>
        <w:rPr>
          <w:rFonts w:ascii="宋体" w:cs="宋体" w:hAnsi="宋体" w:hint="eastAsia"/>
          <w:color w:val="auto"/>
        </w:rPr>
      </w:pPr>
    </w:p>
    <w:p>
      <w:pPr>
        <w:ind w:firstLineChars="0" w:firstLine="0"/>
        <w:rPr>
          <w:rFonts w:ascii="宋体" w:cs="宋体" w:hAnsi="宋体" w:hint="eastAsia"/>
          <w:color w:val="auto"/>
          <w:sz w:val="44"/>
          <w:szCs w:val="44"/>
        </w:rPr>
      </w:pPr>
    </w:p>
    <w:p>
      <w:pPr>
        <w:adjustRightInd w:val="0"/>
        <w:snapToGrid w:val="0"/>
        <w:ind w:left="1800" w:hangingChars="500" w:hanging="1800"/>
        <w:rPr>
          <w:rFonts w:ascii="宋体" w:cs="宋体" w:hAnsi="宋体"/>
          <w:color w:val="auto"/>
          <w:sz w:val="36"/>
          <w:szCs w:val="36"/>
          <w:u w:val="single"/>
          <w:lang w:val="en-US" w:eastAsia="zh-CN"/>
        </w:rPr>
      </w:pPr>
      <w:bookmarkStart w:id="0" w:name="_Hlk57884087"/>
      <w:r>
        <w:rPr>
          <w:rFonts w:ascii="宋体" w:cs="宋体" w:hAnsi="宋体" w:hint="eastAsia"/>
          <w:color w:val="auto"/>
          <w:sz w:val="36"/>
          <w:szCs w:val="36"/>
        </w:rPr>
        <w:t>项目名称：</w:t>
      </w:r>
      <w:r>
        <w:rPr>
          <w:rFonts w:ascii="宋体" w:cs="宋体" w:hAnsi="宋体" w:hint="eastAsia"/>
          <w:color w:val="auto"/>
          <w:sz w:val="36"/>
          <w:szCs w:val="36"/>
          <w:u w:val="single"/>
        </w:rPr>
        <w:t xml:space="preserve"> </w:t>
      </w:r>
      <w:r>
        <w:rPr>
          <w:rFonts w:ascii="宋体" w:cs="宋体" w:hAnsi="宋体" w:hint="eastAsia"/>
          <w:color w:val="auto"/>
          <w:sz w:val="36"/>
          <w:szCs w:val="36"/>
          <w:u w:val="single"/>
          <w:lang w:val="en-US" w:eastAsia="zh-CN"/>
        </w:rPr>
        <w:t xml:space="preserve">  河北卓峰化肥有限公司产品品质升级      </w:t>
      </w:r>
    </w:p>
    <w:p>
      <w:pPr>
        <w:adjustRightInd w:val="0"/>
        <w:snapToGrid w:val="0"/>
        <w:ind w:firstLineChars="500" w:firstLine="1800"/>
        <w:rPr>
          <w:rFonts w:ascii="宋体" w:cs="宋体" w:hAnsi="宋体" w:hint="eastAsia"/>
          <w:color w:val="auto"/>
          <w:sz w:val="36"/>
          <w:szCs w:val="36"/>
          <w:u w:val="single"/>
        </w:rPr>
      </w:pPr>
      <w:r>
        <w:rPr>
          <w:rFonts w:ascii="宋体" w:cs="宋体" w:hAnsi="宋体" w:hint="eastAsia"/>
          <w:color w:val="auto"/>
          <w:sz w:val="36"/>
          <w:szCs w:val="36"/>
          <w:u w:val="single"/>
        </w:rPr>
        <w:t xml:space="preserve">   </w:t>
      </w:r>
      <w:r>
        <w:rPr>
          <w:rFonts w:ascii="宋体" w:cs="宋体" w:hAnsi="宋体" w:hint="eastAsia"/>
          <w:color w:val="auto"/>
          <w:sz w:val="36"/>
          <w:szCs w:val="36"/>
          <w:u w:val="single"/>
          <w:lang w:val="en-US" w:eastAsia="zh-CN"/>
        </w:rPr>
        <w:t xml:space="preserve">            技术改造项目             </w:t>
      </w:r>
      <w:r>
        <w:rPr>
          <w:rFonts w:ascii="宋体" w:cs="宋体" w:hAnsi="宋体" w:hint="eastAsia"/>
          <w:color w:val="auto"/>
          <w:sz w:val="36"/>
          <w:szCs w:val="36"/>
          <w:u w:val="single"/>
        </w:rPr>
        <w:t xml:space="preserve"> </w:t>
      </w:r>
    </w:p>
    <w:p>
      <w:pPr>
        <w:adjustRightInd w:val="0"/>
        <w:snapToGrid w:val="0"/>
        <w:ind w:firstLineChars="0" w:firstLine="0"/>
        <w:rPr>
          <w:rFonts w:ascii="宋体" w:cs="宋体" w:hAnsi="宋体" w:hint="eastAsia"/>
          <w:color w:val="auto"/>
          <w:sz w:val="36"/>
          <w:szCs w:val="36"/>
        </w:rPr>
      </w:pPr>
      <w:r>
        <w:rPr>
          <w:rFonts w:ascii="宋体" w:cs="宋体" w:hAnsi="宋体" w:hint="eastAsia"/>
          <w:color w:val="auto"/>
          <w:sz w:val="36"/>
          <w:szCs w:val="36"/>
        </w:rPr>
        <w:t>建设单位（盖章）：</w:t>
      </w:r>
      <w:r>
        <w:rPr>
          <w:rFonts w:ascii="宋体" w:cs="宋体" w:hAnsi="宋体" w:hint="eastAsia"/>
          <w:color w:val="auto"/>
          <w:sz w:val="36"/>
          <w:szCs w:val="36"/>
          <w:u w:val="single"/>
        </w:rPr>
        <w:t xml:space="preserve"> </w:t>
      </w:r>
      <w:r>
        <w:rPr>
          <w:rFonts w:ascii="宋体" w:cs="宋体" w:hAnsi="宋体" w:hint="eastAsia"/>
          <w:color w:val="auto"/>
          <w:sz w:val="36"/>
          <w:szCs w:val="36"/>
          <w:u w:val="single"/>
          <w:lang w:val="en-US" w:eastAsia="zh-CN"/>
        </w:rPr>
        <w:t xml:space="preserve">   河北卓峰化肥有限公司</w:t>
      </w:r>
      <w:r>
        <w:rPr>
          <w:rFonts w:ascii="宋体" w:cs="宋体" w:hAnsi="宋体" w:hint="eastAsia"/>
          <w:color w:val="auto"/>
          <w:sz w:val="36"/>
          <w:szCs w:val="36"/>
          <w:u w:val="single"/>
        </w:rPr>
        <w:t xml:space="preserve">  </w:t>
      </w:r>
      <w:r>
        <w:rPr>
          <w:rFonts w:ascii="宋体" w:cs="宋体" w:hAnsi="宋体" w:hint="eastAsia"/>
          <w:color w:val="auto"/>
          <w:sz w:val="36"/>
          <w:szCs w:val="36"/>
          <w:u w:val="single"/>
          <w:lang w:val="en-US" w:eastAsia="zh-CN"/>
        </w:rPr>
        <w:t xml:space="preserve">      </w:t>
      </w:r>
    </w:p>
    <w:p>
      <w:pPr>
        <w:adjustRightInd w:val="0"/>
        <w:snapToGrid w:val="0"/>
        <w:ind w:firstLineChars="0" w:firstLine="0"/>
        <w:rPr>
          <w:rFonts w:ascii="宋体" w:cs="宋体" w:hAnsi="宋体" w:hint="eastAsia"/>
          <w:color w:val="auto"/>
          <w:sz w:val="36"/>
          <w:szCs w:val="36"/>
          <w:u w:val="single"/>
        </w:rPr>
      </w:pPr>
      <w:r>
        <w:rPr>
          <w:rFonts w:ascii="宋体" w:cs="宋体" w:hAnsi="宋体" w:hint="eastAsia"/>
          <w:color w:val="auto"/>
          <w:sz w:val="36"/>
          <w:szCs w:val="36"/>
        </w:rPr>
        <w:t>编制日期：</w:t>
      </w:r>
      <w:r>
        <w:rPr>
          <w:rFonts w:ascii="宋体" w:cs="宋体" w:hAnsi="宋体" w:hint="eastAsia"/>
          <w:color w:val="auto"/>
          <w:sz w:val="36"/>
          <w:szCs w:val="36"/>
          <w:u w:val="single"/>
        </w:rPr>
        <w:t xml:space="preserve">               202</w:t>
      </w:r>
      <w:r>
        <w:rPr>
          <w:rFonts w:ascii="宋体" w:cs="宋体" w:hAnsi="宋体" w:hint="eastAsia"/>
          <w:color w:val="auto"/>
          <w:sz w:val="36"/>
          <w:szCs w:val="36"/>
          <w:u w:val="single"/>
          <w:lang w:val="en-US" w:eastAsia="zh-CN"/>
        </w:rPr>
        <w:t>6</w:t>
      </w:r>
      <w:r>
        <w:rPr>
          <w:rFonts w:ascii="宋体" w:cs="宋体" w:hAnsi="宋体" w:hint="eastAsia"/>
          <w:color w:val="auto"/>
          <w:sz w:val="36"/>
          <w:szCs w:val="36"/>
          <w:u w:val="single"/>
        </w:rPr>
        <w:t>年</w:t>
      </w:r>
      <w:r>
        <w:rPr>
          <w:rFonts w:ascii="宋体" w:cs="宋体" w:hAnsi="宋体" w:hint="eastAsia"/>
          <w:color w:val="auto"/>
          <w:sz w:val="36"/>
          <w:szCs w:val="36"/>
          <w:u w:val="single"/>
          <w:lang w:val="en-US" w:eastAsia="zh-CN"/>
        </w:rPr>
        <w:t>8</w:t>
      </w:r>
      <w:r>
        <w:rPr>
          <w:rFonts w:ascii="宋体" w:cs="宋体" w:hAnsi="宋体" w:hint="eastAsia"/>
          <w:color w:val="auto"/>
          <w:sz w:val="36"/>
          <w:szCs w:val="36"/>
          <w:u w:val="single"/>
        </w:rPr>
        <w:t xml:space="preserve">月              </w:t>
      </w:r>
    </w:p>
    <w:p>
      <w:pPr>
        <w:adjustRightInd w:val="0"/>
        <w:snapToGrid w:val="0"/>
        <w:spacing w:line="288" w:lineRule="auto"/>
        <w:ind w:firstLineChars="0" w:firstLine="0"/>
        <w:rPr>
          <w:rFonts w:ascii="宋体" w:cs="宋体" w:hAnsi="宋体" w:hint="eastAsia"/>
          <w:color w:val="auto"/>
          <w:sz w:val="36"/>
          <w:szCs w:val="36"/>
        </w:rPr>
      </w:pPr>
    </w:p>
    <w:p>
      <w:pPr>
        <w:ind w:firstLineChars="0" w:firstLine="0"/>
        <w:rPr>
          <w:rFonts w:eastAsia="方正仿宋_GB2312"/>
          <w:color w:val="auto"/>
          <w:sz w:val="36"/>
          <w:szCs w:val="36"/>
        </w:rPr>
      </w:pPr>
    </w:p>
    <w:p>
      <w:pPr>
        <w:ind w:firstLineChars="0" w:firstLine="0"/>
        <w:rPr>
          <w:rFonts w:eastAsia="方正仿宋_GB2312"/>
          <w:color w:val="auto"/>
          <w:sz w:val="36"/>
          <w:szCs w:val="36"/>
        </w:rPr>
      </w:pPr>
    </w:p>
    <w:p>
      <w:pPr>
        <w:ind w:firstLineChars="0" w:firstLine="0"/>
        <w:rPr>
          <w:color w:val="auto"/>
        </w:rPr>
      </w:pPr>
    </w:p>
    <w:p>
      <w:pPr>
        <w:ind w:firstLineChars="0" w:firstLine="0"/>
        <w:rPr>
          <w:rFonts w:eastAsia="方正仿宋_GB2312"/>
          <w:color w:val="auto"/>
          <w:sz w:val="36"/>
          <w:szCs w:val="36"/>
        </w:rPr>
      </w:pPr>
    </w:p>
    <w:p>
      <w:pPr>
        <w:adjustRightInd w:val="0"/>
        <w:snapToGrid w:val="0"/>
        <w:spacing w:line="288" w:lineRule="auto"/>
        <w:ind w:firstLineChars="0" w:firstLine="0"/>
        <w:jc w:val="center"/>
        <w:rPr>
          <w:rFonts w:ascii="宋体" w:cs="宋体" w:hAnsi="宋体" w:hint="eastAsia"/>
          <w:color w:val="auto"/>
          <w:sz w:val="36"/>
          <w:szCs w:val="36"/>
        </w:rPr>
      </w:pPr>
      <w:bookmarkEnd w:id="0"/>
      <w:r>
        <w:rPr>
          <w:rFonts w:ascii="宋体" w:cs="宋体" w:hAnsi="宋体" w:hint="eastAsia"/>
          <w:color w:val="auto"/>
          <w:sz w:val="36"/>
          <w:szCs w:val="36"/>
        </w:rPr>
        <w:t>中华人民共和国生态环境部制</w:t>
      </w:r>
    </w:p>
    <w:p>
      <w:pPr>
        <w:adjustRightInd w:val="0"/>
        <w:snapToGrid w:val="0"/>
        <w:spacing w:line="288" w:lineRule="auto"/>
        <w:ind w:firstLineChars="0" w:firstLine="0"/>
        <w:rPr>
          <w:rFonts w:ascii="宋体" w:cs="宋体" w:hAnsi="宋体" w:hint="eastAsia"/>
          <w:color w:val="auto"/>
          <w:sz w:val="36"/>
          <w:szCs w:val="36"/>
        </w:rPr>
        <w:sectPr>
          <w:footerReference w:type="default" r:id="rId2"/>
          <w:footerReference w:type="even" r:id="rId3"/>
          <w:pgSz w:w="11906" w:h="16838"/>
          <w:pgMar w:top="1417" w:right="1417" w:bottom="1417" w:left="1417" w:header="851" w:footer="1077" w:gutter="0"/>
          <w:pgNumType w:start="3"/>
          <w:cols w:num="1" w:space="720"/>
          <w:docGrid w:linePitch="312" w:charSpace="0"/>
        </w:sectPr>
      </w:pPr>
    </w:p>
    <w:p>
      <w:pPr>
        <w:rPr>
          <w:color w:val="auto"/>
        </w:rPr>
      </w:pPr>
      <w:r>
        <w:rPr>
          <w:color w:val="auto"/>
        </w:rPr>
        <w:drawing>
          <wp:anchor distT="0" distB="0" distL="114300" distR="114300" simplePos="0" relativeHeight="796" behindDoc="0" locked="0" layoutInCell="1" hidden="0" allowOverlap="1">
            <wp:simplePos x="0" y="0"/>
            <wp:positionH relativeFrom="column">
              <wp:posOffset>-729615</wp:posOffset>
            </wp:positionH>
            <wp:positionV relativeFrom="paragraph">
              <wp:posOffset>-708660</wp:posOffset>
            </wp:positionV>
            <wp:extent cx="7383780" cy="10437495"/>
            <wp:effectExtent l="0" t="0" r="7620" b="1905"/>
            <wp:wrapNone/>
            <wp:docPr id="1029" name="图片 5"/>
            <wp:cNvGraphicFramePr>
              <a:graphicFrameLocks noChangeAspect="1"/>
            </wp:cNvGraphicFramePr>
            <a:graphic>
              <a:graphicData uri="http://schemas.openxmlformats.org/drawingml/2006/picture">
                <pic:pic>
                  <pic:nvPicPr>
                    <pic:cNvPr id="4" name="图片 5 4"/>
                    <pic:cNvPicPr/>
                  </pic:nvPicPr>
                  <pic:blipFill>
                    <a:blip r:embed="rId5"/>
                    <a:stretch>
                      <a:fillRect/>
                    </a:stretch>
                  </pic:blipFill>
                  <pic:spPr>
                    <a:xfrm rot="0">
                      <a:off x="0" y="0"/>
                      <a:ext cx="7383780" cy="10437495"/>
                    </a:xfrm>
                    <a:prstGeom prst="rect"/>
                    <a:noFill/>
                    <a:ln cmpd="sng" cap="flat">
                      <a:noFill/>
                      <a:prstDash val="solid"/>
                      <a:round/>
                    </a:ln>
                  </pic:spPr>
                </pic:pic>
              </a:graphicData>
            </a:graphic>
          </wp:anchor>
        </w:drawing>
      </w: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r>
        <w:rPr>
          <w:color w:val="auto"/>
        </w:rPr>
        <w:drawing>
          <wp:anchor distT="0" distB="0" distL="114300" distR="114300" simplePos="0" relativeHeight="798" behindDoc="0" locked="0" layoutInCell="1" hidden="0" allowOverlap="1">
            <wp:simplePos x="0" y="0"/>
            <wp:positionH relativeFrom="column">
              <wp:posOffset>-824230</wp:posOffset>
            </wp:positionH>
            <wp:positionV relativeFrom="paragraph">
              <wp:posOffset>-829944</wp:posOffset>
            </wp:positionV>
            <wp:extent cx="7435850" cy="10493376"/>
            <wp:effectExtent l="0" t="0" r="12700" b="3175"/>
            <wp:wrapNone/>
            <wp:docPr id="1030" name="图片 6"/>
            <wp:cNvGraphicFramePr>
              <a:graphicFrameLocks noChangeAspect="1"/>
            </wp:cNvGraphicFramePr>
            <a:graphic>
              <a:graphicData uri="http://schemas.openxmlformats.org/drawingml/2006/picture">
                <pic:pic>
                  <pic:nvPicPr>
                    <pic:cNvPr id="6" name="图片 6 6"/>
                    <pic:cNvPicPr/>
                  </pic:nvPicPr>
                  <pic:blipFill>
                    <a:blip r:embed="rId6"/>
                    <a:stretch>
                      <a:fillRect/>
                    </a:stretch>
                  </pic:blipFill>
                  <pic:spPr>
                    <a:xfrm rot="0">
                      <a:off x="0" y="0"/>
                      <a:ext cx="7435850" cy="10493376"/>
                    </a:xfrm>
                    <a:prstGeom prst="rect"/>
                    <a:noFill/>
                    <a:ln cmpd="sng" cap="flat">
                      <a:noFill/>
                      <a:prstDash val="solid"/>
                      <a:round/>
                    </a:ln>
                  </pic:spPr>
                </pic:pic>
              </a:graphicData>
            </a:graphic>
          </wp:anchor>
        </w:drawing>
      </w: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r>
        <w:rPr>
          <w:color w:val="auto"/>
        </w:rPr>
        <w:drawing>
          <wp:anchor distT="0" distB="0" distL="114300" distR="114300" simplePos="0" relativeHeight="800" behindDoc="0" locked="0" layoutInCell="1" hidden="0" allowOverlap="1">
            <wp:simplePos x="0" y="0"/>
            <wp:positionH relativeFrom="column">
              <wp:posOffset>-770255</wp:posOffset>
            </wp:positionH>
            <wp:positionV relativeFrom="paragraph">
              <wp:posOffset>-837565</wp:posOffset>
            </wp:positionV>
            <wp:extent cx="7409180" cy="10541635"/>
            <wp:effectExtent l="0" t="0" r="1270" b="12064"/>
            <wp:wrapNone/>
            <wp:docPr id="1031" name="图片 7"/>
            <wp:cNvGraphicFramePr>
              <a:graphicFrameLocks noChangeAspect="1"/>
            </wp:cNvGraphicFramePr>
            <a:graphic>
              <a:graphicData uri="http://schemas.openxmlformats.org/drawingml/2006/picture">
                <pic:pic>
                  <pic:nvPicPr>
                    <pic:cNvPr id="8" name="图片 7 8"/>
                    <pic:cNvPicPr/>
                  </pic:nvPicPr>
                  <pic:blipFill>
                    <a:blip r:embed="rId7"/>
                    <a:stretch>
                      <a:fillRect/>
                    </a:stretch>
                  </pic:blipFill>
                  <pic:spPr>
                    <a:xfrm rot="0">
                      <a:off x="0" y="0"/>
                      <a:ext cx="7409180" cy="10541635"/>
                    </a:xfrm>
                    <a:prstGeom prst="rect"/>
                    <a:noFill/>
                    <a:ln cmpd="sng" cap="flat">
                      <a:noFill/>
                      <a:prstDash val="solid"/>
                      <a:round/>
                    </a:ln>
                  </pic:spPr>
                </pic:pic>
              </a:graphicData>
            </a:graphic>
          </wp:anchor>
        </w:drawing>
      </w: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r>
        <w:rPr>
          <w:color w:val="auto"/>
        </w:rPr>
        <w:drawing>
          <wp:anchor distT="0" distB="0" distL="114300" distR="114300" simplePos="0" relativeHeight="802" behindDoc="0" locked="0" layoutInCell="1" hidden="0" allowOverlap="1">
            <wp:simplePos x="0" y="0"/>
            <wp:positionH relativeFrom="column">
              <wp:posOffset>-837565</wp:posOffset>
            </wp:positionH>
            <wp:positionV relativeFrom="paragraph">
              <wp:posOffset>-857885</wp:posOffset>
            </wp:positionV>
            <wp:extent cx="7479665" cy="10578465"/>
            <wp:effectExtent l="0" t="0" r="6985" b="13335"/>
            <wp:wrapNone/>
            <wp:docPr id="1032" name="图片 8"/>
            <wp:cNvGraphicFramePr>
              <a:graphicFrameLocks noChangeAspect="1"/>
            </wp:cNvGraphicFramePr>
            <a:graphic>
              <a:graphicData uri="http://schemas.openxmlformats.org/drawingml/2006/picture">
                <pic:pic>
                  <pic:nvPicPr>
                    <pic:cNvPr id="10" name="图片 8 10"/>
                    <pic:cNvPicPr/>
                  </pic:nvPicPr>
                  <pic:blipFill>
                    <a:blip r:embed="rId8"/>
                    <a:stretch>
                      <a:fillRect/>
                    </a:stretch>
                  </pic:blipFill>
                  <pic:spPr>
                    <a:xfrm rot="0">
                      <a:off x="0" y="0"/>
                      <a:ext cx="7479665" cy="10578465"/>
                    </a:xfrm>
                    <a:prstGeom prst="rect"/>
                    <a:noFill/>
                    <a:ln cmpd="sng" cap="flat">
                      <a:noFill/>
                      <a:prstDash val="solid"/>
                      <a:round/>
                    </a:ln>
                  </pic:spPr>
                </pic:pic>
              </a:graphicData>
            </a:graphic>
          </wp:anchor>
        </w:drawing>
      </w: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r>
        <w:rPr>
          <w:color w:val="auto"/>
        </w:rPr>
        <w:drawing>
          <wp:anchor distT="0" distB="0" distL="114300" distR="114300" simplePos="0" relativeHeight="804" behindDoc="0" locked="0" layoutInCell="1" hidden="0" allowOverlap="1">
            <wp:simplePos x="0" y="0"/>
            <wp:positionH relativeFrom="column">
              <wp:posOffset>-838835</wp:posOffset>
            </wp:positionH>
            <wp:positionV relativeFrom="paragraph">
              <wp:posOffset>-826135</wp:posOffset>
            </wp:positionV>
            <wp:extent cx="7427595" cy="10471150"/>
            <wp:effectExtent l="0" t="0" r="1905" b="6350"/>
            <wp:wrapNone/>
            <wp:docPr id="1033" name="图片 9"/>
            <wp:cNvGraphicFramePr>
              <a:graphicFrameLocks noChangeAspect="1"/>
            </wp:cNvGraphicFramePr>
            <a:graphic>
              <a:graphicData uri="http://schemas.openxmlformats.org/drawingml/2006/picture">
                <pic:pic>
                  <pic:nvPicPr>
                    <pic:cNvPr id="12" name="图片 9 12"/>
                    <pic:cNvPicPr/>
                  </pic:nvPicPr>
                  <pic:blipFill>
                    <a:blip r:embed="rId9"/>
                    <a:stretch>
                      <a:fillRect/>
                    </a:stretch>
                  </pic:blipFill>
                  <pic:spPr>
                    <a:xfrm rot="0">
                      <a:off x="0" y="0"/>
                      <a:ext cx="7427595" cy="10471150"/>
                    </a:xfrm>
                    <a:prstGeom prst="rect"/>
                    <a:noFill/>
                    <a:ln cmpd="sng" cap="flat">
                      <a:noFill/>
                      <a:prstDash val="solid"/>
                      <a:round/>
                    </a:ln>
                  </pic:spPr>
                </pic:pic>
              </a:graphicData>
            </a:graphic>
          </wp:anchor>
        </w:drawing>
      </w: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r>
        <w:rPr>
          <w:color w:val="auto"/>
        </w:rPr>
        <w:drawing>
          <wp:anchor distT="0" distB="0" distL="114300" distR="114300" simplePos="0" relativeHeight="806" behindDoc="0" locked="0" layoutInCell="1" hidden="0" allowOverlap="1">
            <wp:simplePos x="0" y="0"/>
            <wp:positionH relativeFrom="column">
              <wp:posOffset>-769620</wp:posOffset>
            </wp:positionH>
            <wp:positionV relativeFrom="paragraph">
              <wp:posOffset>-857250</wp:posOffset>
            </wp:positionV>
            <wp:extent cx="7473950" cy="10575925"/>
            <wp:effectExtent l="0" t="0" r="12700" b="15875"/>
            <wp:wrapNone/>
            <wp:docPr id="1034" name="图片 10"/>
            <wp:cNvGraphicFramePr>
              <a:graphicFrameLocks noChangeAspect="1"/>
            </wp:cNvGraphicFramePr>
            <a:graphic>
              <a:graphicData uri="http://schemas.openxmlformats.org/drawingml/2006/picture">
                <pic:pic>
                  <pic:nvPicPr>
                    <pic:cNvPr id="14" name="图片 10 14"/>
                    <pic:cNvPicPr/>
                  </pic:nvPicPr>
                  <pic:blipFill>
                    <a:blip r:embed="rId10"/>
                    <a:stretch>
                      <a:fillRect/>
                    </a:stretch>
                  </pic:blipFill>
                  <pic:spPr>
                    <a:xfrm rot="0">
                      <a:off x="0" y="0"/>
                      <a:ext cx="7473950" cy="10575925"/>
                    </a:xfrm>
                    <a:prstGeom prst="rect"/>
                    <a:noFill/>
                    <a:ln cmpd="sng" cap="flat">
                      <a:noFill/>
                      <a:prstDash val="solid"/>
                      <a:round/>
                    </a:ln>
                  </pic:spPr>
                </pic:pic>
              </a:graphicData>
            </a:graphic>
          </wp:anchor>
        </w:drawing>
      </w: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r>
        <w:rPr>
          <w:color w:val="auto"/>
        </w:rPr>
        <w:drawing>
          <wp:anchor distT="0" distB="0" distL="114300" distR="114300" simplePos="0" relativeHeight="808" behindDoc="0" locked="0" layoutInCell="1" hidden="0" allowOverlap="1">
            <wp:simplePos x="0" y="0"/>
            <wp:positionH relativeFrom="column">
              <wp:posOffset>-756285</wp:posOffset>
            </wp:positionH>
            <wp:positionV relativeFrom="paragraph">
              <wp:posOffset>-788035</wp:posOffset>
            </wp:positionV>
            <wp:extent cx="7370445" cy="10424160"/>
            <wp:effectExtent l="0" t="0" r="1905" b="15240"/>
            <wp:wrapNone/>
            <wp:docPr id="1035" name="图片 11"/>
            <wp:cNvGraphicFramePr>
              <a:graphicFrameLocks noChangeAspect="1"/>
            </wp:cNvGraphicFramePr>
            <a:graphic>
              <a:graphicData uri="http://schemas.openxmlformats.org/drawingml/2006/picture">
                <pic:pic>
                  <pic:nvPicPr>
                    <pic:cNvPr id="16" name="图片 11 16"/>
                    <pic:cNvPicPr/>
                  </pic:nvPicPr>
                  <pic:blipFill>
                    <a:blip r:embed="rId11"/>
                    <a:stretch>
                      <a:fillRect/>
                    </a:stretch>
                  </pic:blipFill>
                  <pic:spPr>
                    <a:xfrm rot="0">
                      <a:off x="0" y="0"/>
                      <a:ext cx="7370445" cy="10424160"/>
                    </a:xfrm>
                    <a:prstGeom prst="rect"/>
                    <a:noFill/>
                    <a:ln cmpd="sng" cap="flat">
                      <a:noFill/>
                      <a:prstDash val="solid"/>
                      <a:round/>
                    </a:ln>
                  </pic:spPr>
                </pic:pic>
              </a:graphicData>
            </a:graphic>
          </wp:anchor>
        </w:drawing>
      </w: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r>
        <w:rPr>
          <w:color w:val="auto"/>
        </w:rPr>
        <w:drawing>
          <wp:anchor distT="0" distB="0" distL="114300" distR="114300" simplePos="0" relativeHeight="810" behindDoc="0" locked="0" layoutInCell="1" hidden="0" allowOverlap="1">
            <wp:simplePos x="0" y="0"/>
            <wp:positionH relativeFrom="column">
              <wp:posOffset>-824230</wp:posOffset>
            </wp:positionH>
            <wp:positionV relativeFrom="paragraph">
              <wp:posOffset>-857250</wp:posOffset>
            </wp:positionV>
            <wp:extent cx="7458075" cy="10569576"/>
            <wp:effectExtent l="0" t="0" r="9525" b="3175"/>
            <wp:wrapNone/>
            <wp:docPr id="1036" name="图片 12"/>
            <wp:cNvGraphicFramePr>
              <a:graphicFrameLocks noChangeAspect="1"/>
            </wp:cNvGraphicFramePr>
            <a:graphic>
              <a:graphicData uri="http://schemas.openxmlformats.org/drawingml/2006/picture">
                <pic:pic>
                  <pic:nvPicPr>
                    <pic:cNvPr id="18" name="图片 12 18"/>
                    <pic:cNvPicPr/>
                  </pic:nvPicPr>
                  <pic:blipFill>
                    <a:blip r:embed="rId12"/>
                    <a:stretch>
                      <a:fillRect/>
                    </a:stretch>
                  </pic:blipFill>
                  <pic:spPr>
                    <a:xfrm rot="0">
                      <a:off x="0" y="0"/>
                      <a:ext cx="7458075" cy="10569576"/>
                    </a:xfrm>
                    <a:prstGeom prst="rect"/>
                    <a:noFill/>
                    <a:ln cmpd="sng" cap="flat">
                      <a:noFill/>
                      <a:prstDash val="solid"/>
                      <a:round/>
                    </a:ln>
                  </pic:spPr>
                </pic:pic>
              </a:graphicData>
            </a:graphic>
          </wp:anchor>
        </w:drawing>
      </w: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r>
        <w:rPr>
          <w:color w:val="auto"/>
        </w:rPr>
        <w:drawing>
          <wp:anchor distT="0" distB="0" distL="114300" distR="114300" simplePos="0" relativeHeight="812" behindDoc="0" locked="0" layoutInCell="1" hidden="0" allowOverlap="1">
            <wp:simplePos x="0" y="0"/>
            <wp:positionH relativeFrom="column">
              <wp:posOffset>-852169</wp:posOffset>
            </wp:positionH>
            <wp:positionV relativeFrom="paragraph">
              <wp:posOffset>-919480</wp:posOffset>
            </wp:positionV>
            <wp:extent cx="7529830" cy="10690225"/>
            <wp:effectExtent l="0" t="0" r="13970" b="15875"/>
            <wp:wrapNone/>
            <wp:docPr id="1037" name="图片 13"/>
            <wp:cNvGraphicFramePr>
              <a:graphicFrameLocks noChangeAspect="1"/>
            </wp:cNvGraphicFramePr>
            <a:graphic>
              <a:graphicData uri="http://schemas.openxmlformats.org/drawingml/2006/picture">
                <pic:pic>
                  <pic:nvPicPr>
                    <pic:cNvPr id="20" name="图片 13 20"/>
                    <pic:cNvPicPr/>
                  </pic:nvPicPr>
                  <pic:blipFill>
                    <a:blip r:embed="rId13"/>
                    <a:stretch>
                      <a:fillRect/>
                    </a:stretch>
                  </pic:blipFill>
                  <pic:spPr>
                    <a:xfrm rot="0">
                      <a:off x="0" y="0"/>
                      <a:ext cx="7529830" cy="10690225"/>
                    </a:xfrm>
                    <a:prstGeom prst="rect"/>
                    <a:noFill/>
                    <a:ln cmpd="sng" cap="flat">
                      <a:noFill/>
                      <a:prstDash val="solid"/>
                      <a:round/>
                    </a:ln>
                  </pic:spPr>
                </pic:pic>
              </a:graphicData>
            </a:graphic>
          </wp:anchor>
        </w:drawing>
      </w: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rPr>
          <w:color w:val="auto"/>
        </w:rPr>
      </w:pPr>
    </w:p>
    <w:p>
      <w:pPr>
        <w:pStyle w:val="4"/>
      </w:pPr>
    </w:p>
    <w:p>
      <w:pPr>
        <w:rPr>
          <w:color w:val="auto"/>
        </w:rPr>
      </w:pPr>
    </w:p>
    <w:p>
      <w:pPr>
        <w:pStyle w:val="15"/>
        <w:rPr>
          <w:color w:val="auto"/>
        </w:rPr>
      </w:pPr>
    </w:p>
    <w:p>
      <w:pPr>
        <w:pStyle w:val="4"/>
        <w:rPr>
          <w:color w:val="auto"/>
        </w:rPr>
      </w:pPr>
    </w:p>
    <w:p>
      <w:pPr>
        <w:rPr>
          <w:color w:val="auto"/>
        </w:rPr>
      </w:pPr>
    </w:p>
    <w:p>
      <w:pPr>
        <w:pStyle w:val="15"/>
        <w:rPr>
          <w:color w:val="auto"/>
        </w:rPr>
      </w:pPr>
      <w:r>
        <w:rPr>
          <w:color w:val="auto"/>
        </w:rPr>
        <w:drawing>
          <wp:anchor distT="0" distB="0" distL="114300" distR="114300" simplePos="0" relativeHeight="814" behindDoc="0" locked="0" layoutInCell="1" hidden="0" allowOverlap="1">
            <wp:simplePos x="0" y="0"/>
            <wp:positionH relativeFrom="column">
              <wp:posOffset>-715644</wp:posOffset>
            </wp:positionH>
            <wp:positionV relativeFrom="paragraph">
              <wp:posOffset>-612140</wp:posOffset>
            </wp:positionV>
            <wp:extent cx="7369174" cy="10408920"/>
            <wp:effectExtent l="0" t="0" r="3175" b="11430"/>
            <wp:wrapNone/>
            <wp:docPr id="1038" name="图片 14"/>
            <wp:cNvGraphicFramePr>
              <a:graphicFrameLocks noChangeAspect="1"/>
            </wp:cNvGraphicFramePr>
            <a:graphic>
              <a:graphicData uri="http://schemas.openxmlformats.org/drawingml/2006/picture">
                <pic:pic>
                  <pic:nvPicPr>
                    <pic:cNvPr id="22" name="图片 14 22"/>
                    <pic:cNvPicPr/>
                  </pic:nvPicPr>
                  <pic:blipFill>
                    <a:blip r:embed="rId14"/>
                    <a:stretch>
                      <a:fillRect/>
                    </a:stretch>
                  </pic:blipFill>
                  <pic:spPr>
                    <a:xfrm rot="0">
                      <a:off x="0" y="0"/>
                      <a:ext cx="7369174" cy="10408920"/>
                    </a:xfrm>
                    <a:prstGeom prst="rect"/>
                    <a:noFill/>
                    <a:ln cmpd="sng" cap="flat">
                      <a:noFill/>
                      <a:prstDash val="solid"/>
                      <a:round/>
                    </a:ln>
                  </pic:spPr>
                </pic:pic>
              </a:graphicData>
            </a:graphic>
          </wp:anchor>
        </w:drawing>
      </w:r>
    </w:p>
    <w:p>
      <w:pPr>
        <w:pStyle w:val="4"/>
        <w:rPr>
          <w:color w:val="auto"/>
        </w:rPr>
      </w:pPr>
    </w:p>
    <w:p>
      <w:pPr>
        <w:rPr>
          <w:color w:val="auto"/>
        </w:rPr>
      </w:pPr>
    </w:p>
    <w:p>
      <w:pPr>
        <w:pStyle w:val="15"/>
        <w:rPr>
          <w:color w:val="auto"/>
        </w:rPr>
      </w:pPr>
    </w:p>
    <w:p>
      <w:pPr>
        <w:pStyle w:val="4"/>
        <w:rPr>
          <w:color w:val="auto"/>
        </w:rPr>
      </w:pPr>
    </w:p>
    <w:p>
      <w:pPr>
        <w:rPr>
          <w:color w:val="auto"/>
        </w:rPr>
      </w:pPr>
    </w:p>
    <w:p>
      <w:pPr>
        <w:pStyle w:val="15"/>
        <w:sectPr>
          <w:pgSz w:w="11906" w:h="16838"/>
          <w:pgMar w:top="1417" w:right="1417" w:bottom="1417" w:left="1417" w:header="851" w:footer="1077" w:gutter="0"/>
          <w:pgNumType w:start="3"/>
          <w:cols w:num="1" w:space="720"/>
          <w:docGrid w:linePitch="312" w:charSpace="0"/>
        </w:sectPr>
      </w:pPr>
    </w:p>
    <w:p>
      <w:pPr>
        <w:numPr>
          <w:ilvl w:val="0"/>
          <w:numId w:val="1"/>
        </w:numPr>
        <w:ind w:left="0" w:firstLineChars="0" w:firstLine="0"/>
        <w:jc w:val="center"/>
        <w:outlineLvl w:val="0"/>
        <w:rPr>
          <w:rFonts w:ascii="宋体" w:cs="宋体" w:hAnsi="宋体" w:hint="eastAsia"/>
          <w:b/>
          <w:bCs/>
          <w:snapToGrid w:val="0"/>
          <w:color w:val="auto"/>
          <w:sz w:val="30"/>
          <w:szCs w:val="30"/>
        </w:rPr>
      </w:pPr>
      <w:r>
        <w:rPr>
          <w:rFonts w:ascii="宋体" w:cs="宋体" w:hAnsi="宋体" w:hint="eastAsia"/>
          <w:b/>
          <w:bCs/>
          <w:snapToGrid w:val="0"/>
          <w:color w:val="auto"/>
          <w:sz w:val="30"/>
          <w:szCs w:val="30"/>
        </w:rPr>
        <w:t>建设项目基本情况</w:t>
      </w:r>
    </w:p>
    <w:tbl>
      <w:tblPr>
        <w:jc w:val="center"/>
        <w:tblW w:w="49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746"/>
        <w:gridCol w:w="1710"/>
        <w:gridCol w:w="1875"/>
        <w:gridCol w:w="3688"/>
      </w:tblGrid>
      <w:tr>
        <w:trPr>
          <w:trHeight w:val="518"/>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建设项目名称</w:t>
            </w:r>
          </w:p>
        </w:tc>
        <w:tc>
          <w:tcPr>
            <w:tcW w:w="4031" w:type="pct"/>
            <w:gridSpan w:val="3"/>
            <w:vAlign w:val="center"/>
          </w:tcPr>
          <w:p>
            <w:pPr>
              <w:adjustRightInd w:val="0"/>
              <w:snapToGrid w:val="0"/>
              <w:spacing w:line="240" w:lineRule="auto"/>
              <w:ind w:firstLineChars="0" w:firstLine="0"/>
              <w:jc w:val="center"/>
              <w:rPr>
                <w:color w:val="auto"/>
              </w:rPr>
            </w:pPr>
            <w:r>
              <w:rPr>
                <w:rFonts w:hint="eastAsia"/>
                <w:color w:val="auto"/>
                <w:lang w:val="en-US" w:eastAsia="zh-CN"/>
              </w:rPr>
              <w:t>河北卓峰化肥有限公司产品品质升级技术改造项目</w:t>
            </w:r>
          </w:p>
        </w:tc>
      </w:tr>
      <w:tr>
        <w:trPr>
          <w:trHeight w:val="497"/>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项目代码</w:t>
            </w:r>
          </w:p>
        </w:tc>
        <w:tc>
          <w:tcPr>
            <w:tcW w:w="4031" w:type="pct"/>
            <w:gridSpan w:val="3"/>
            <w:tcBorders>
              <w:left w:val="single" w:sz="4" w:space="0" w:color="auto"/>
            </w:tcBorders>
            <w:vAlign w:val="center"/>
          </w:tcPr>
          <w:p>
            <w:pPr>
              <w:keepNext w:val="0"/>
              <w:keepLines w:val="0"/>
              <w:widowControl/>
              <w:suppressLineNumbers w:val="0"/>
              <w:spacing w:line="240" w:lineRule="auto"/>
              <w:ind w:firstLineChars="0" w:firstLine="0"/>
              <w:jc w:val="center"/>
              <w:textAlignment w:val="center"/>
              <w:rPr>
                <w:rFonts w:eastAsia="宋体"/>
                <w:color w:val="auto"/>
                <w:lang w:val="en-US" w:eastAsia="zh-CN"/>
              </w:rPr>
            </w:pPr>
            <w:r>
              <w:rPr>
                <w:rFonts w:hint="eastAsia"/>
                <w:color w:val="auto"/>
                <w:lang w:val="en-US" w:eastAsia="zh-CN"/>
                <w:highlight w:val="none"/>
              </w:rPr>
              <w:t>2512-130111-89-02-768139</w:t>
            </w:r>
          </w:p>
        </w:tc>
      </w:tr>
      <w:tr>
        <w:trPr>
          <w:trHeight w:val="497"/>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建设单位联系人</w:t>
            </w:r>
          </w:p>
        </w:tc>
        <w:tc>
          <w:tcPr>
            <w:tcW w:w="948" w:type="pct"/>
            <w:tcBorders>
              <w:left w:val="single" w:sz="4" w:space="0" w:color="auto"/>
            </w:tcBorders>
            <w:vAlign w:val="center"/>
          </w:tcPr>
          <w:p>
            <w:pPr>
              <w:adjustRightInd w:val="0"/>
              <w:snapToGrid w:val="0"/>
              <w:spacing w:line="240" w:lineRule="auto"/>
              <w:ind w:firstLineChars="0" w:firstLine="0"/>
              <w:jc w:val="center"/>
              <w:rPr>
                <w:rFonts w:eastAsia="宋体" w:hint="eastAsia"/>
                <w:color w:val="auto"/>
                <w:lang w:eastAsia="zh-CN"/>
              </w:rPr>
            </w:pPr>
            <w:r>
              <w:rPr>
                <w:rFonts w:eastAsia="宋体"/>
                <w:color w:val="auto"/>
                <w:lang w:eastAsia="zh-CN"/>
              </w:rPr>
              <w:t>***</w:t>
            </w:r>
          </w:p>
        </w:tc>
        <w:tc>
          <w:tcPr>
            <w:tcW w:w="1039" w:type="pct"/>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联系方式</w:t>
            </w:r>
          </w:p>
        </w:tc>
        <w:tc>
          <w:tcPr>
            <w:tcW w:w="2044" w:type="pct"/>
            <w:tcBorders>
              <w:left w:val="single" w:sz="4" w:space="0" w:color="auto"/>
            </w:tcBorders>
            <w:vAlign w:val="center"/>
          </w:tcPr>
          <w:p>
            <w:pPr>
              <w:adjustRightInd w:val="0"/>
              <w:snapToGrid w:val="0"/>
              <w:spacing w:line="240" w:lineRule="auto"/>
              <w:ind w:firstLineChars="0" w:firstLine="0"/>
              <w:jc w:val="center"/>
              <w:rPr>
                <w:rFonts w:eastAsia="宋体"/>
                <w:color w:val="auto"/>
                <w:lang w:val="en-US" w:eastAsia="zh-CN"/>
              </w:rPr>
            </w:pPr>
            <w:r>
              <w:rPr>
                <w:color w:val="auto"/>
                <w:lang w:val="en-US" w:eastAsia="zh-CN"/>
                <w:highlight w:val="none"/>
              </w:rPr>
              <w:t>***</w:t>
            </w:r>
          </w:p>
        </w:tc>
      </w:tr>
      <w:tr>
        <w:trPr>
          <w:trHeight w:val="497"/>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建设地点</w:t>
            </w:r>
          </w:p>
        </w:tc>
        <w:tc>
          <w:tcPr>
            <w:tcW w:w="4031" w:type="pct"/>
            <w:gridSpan w:val="3"/>
            <w:tcBorders>
              <w:left w:val="single" w:sz="4" w:space="0" w:color="auto"/>
            </w:tcBorders>
            <w:vAlign w:val="center"/>
          </w:tcPr>
          <w:p>
            <w:pPr>
              <w:adjustRightInd w:val="0"/>
              <w:snapToGrid w:val="0"/>
              <w:spacing w:line="240" w:lineRule="auto"/>
              <w:ind w:firstLineChars="0" w:firstLine="0"/>
              <w:jc w:val="center"/>
              <w:rPr>
                <w:color w:val="auto"/>
                <w:lang w:val="en-US"/>
              </w:rPr>
            </w:pPr>
            <w:r>
              <w:rPr>
                <w:rFonts w:hint="eastAsia"/>
                <w:color w:val="auto"/>
                <w:lang w:val="en-US" w:eastAsia="zh-CN"/>
              </w:rPr>
              <w:t>河北省石家庄装备制造基地胜利南街903号河北卓峰化肥有限公司厂区内</w:t>
            </w:r>
          </w:p>
        </w:tc>
      </w:tr>
      <w:tr>
        <w:trPr>
          <w:trHeight w:val="497"/>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地理坐标</w:t>
            </w:r>
          </w:p>
        </w:tc>
        <w:tc>
          <w:tcPr>
            <w:tcW w:w="4031" w:type="pct"/>
            <w:gridSpan w:val="3"/>
            <w:tcBorders>
              <w:left w:val="single" w:sz="4" w:space="0" w:color="auto"/>
            </w:tcBorders>
            <w:vAlign w:val="center"/>
          </w:tcPr>
          <w:p>
            <w:pPr>
              <w:spacing w:line="240" w:lineRule="auto"/>
              <w:ind w:firstLineChars="0" w:firstLine="0"/>
              <w:jc w:val="center"/>
              <w:rPr>
                <w:color w:val="auto"/>
              </w:rPr>
            </w:pPr>
            <w:r>
              <w:rPr>
                <w:color w:val="auto"/>
              </w:rPr>
              <w:t>东经</w:t>
            </w:r>
            <w:r>
              <w:rPr>
                <w:color w:val="auto"/>
                <w:lang w:val="en-US" w:eastAsia="zh-CN"/>
              </w:rPr>
              <w:t>114°</w:t>
            </w:r>
            <w:r>
              <w:rPr>
                <w:rFonts w:hint="eastAsia"/>
                <w:color w:val="auto"/>
                <w:lang w:val="en-US" w:eastAsia="zh-CN"/>
              </w:rPr>
              <w:t>30</w:t>
            </w:r>
            <w:r>
              <w:rPr>
                <w:color w:val="auto"/>
                <w:lang w:val="en-US" w:eastAsia="zh-CN"/>
              </w:rPr>
              <w:t>′</w:t>
            </w:r>
            <w:r>
              <w:rPr>
                <w:rFonts w:hint="eastAsia"/>
                <w:color w:val="auto"/>
                <w:lang w:val="en-US" w:eastAsia="zh-CN"/>
              </w:rPr>
              <w:t>48.567</w:t>
            </w:r>
            <w:r>
              <w:rPr>
                <w:color w:val="auto"/>
                <w:lang w:val="en-US" w:eastAsia="zh-CN"/>
              </w:rPr>
              <w:t>″</w:t>
            </w:r>
            <w:r>
              <w:rPr>
                <w:color w:val="auto"/>
              </w:rPr>
              <w:t>，北纬</w:t>
            </w:r>
            <w:r>
              <w:rPr>
                <w:color w:val="auto"/>
                <w:lang w:val="en-US" w:eastAsia="zh-CN"/>
              </w:rPr>
              <w:t>37°</w:t>
            </w:r>
            <w:r>
              <w:rPr>
                <w:rFonts w:hint="eastAsia"/>
                <w:color w:val="auto"/>
                <w:lang w:val="en-US" w:eastAsia="zh-CN"/>
              </w:rPr>
              <w:t>53</w:t>
            </w:r>
            <w:r>
              <w:rPr>
                <w:color w:val="auto"/>
                <w:lang w:val="en-US" w:eastAsia="zh-CN"/>
              </w:rPr>
              <w:t>′</w:t>
            </w:r>
            <w:r>
              <w:rPr>
                <w:rFonts w:hint="eastAsia"/>
                <w:color w:val="auto"/>
                <w:lang w:val="en-US" w:eastAsia="zh-CN"/>
              </w:rPr>
              <w:t>16.916</w:t>
            </w:r>
            <w:r>
              <w:rPr>
                <w:color w:val="auto"/>
                <w:lang w:val="en-US" w:eastAsia="zh-CN"/>
              </w:rPr>
              <w:t>″</w:t>
            </w:r>
          </w:p>
        </w:tc>
      </w:tr>
      <w:tr>
        <w:trPr>
          <w:trHeight w:val="561"/>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国民经济</w:t>
            </w:r>
          </w:p>
          <w:p>
            <w:pPr>
              <w:adjustRightInd w:val="0"/>
              <w:snapToGrid w:val="0"/>
              <w:spacing w:line="240" w:lineRule="auto"/>
              <w:ind w:firstLineChars="0" w:firstLine="0"/>
              <w:jc w:val="center"/>
              <w:rPr>
                <w:color w:val="auto"/>
              </w:rPr>
            </w:pPr>
            <w:r>
              <w:rPr>
                <w:color w:val="auto"/>
              </w:rPr>
              <w:t>行业类别</w:t>
            </w:r>
          </w:p>
        </w:tc>
        <w:tc>
          <w:tcPr>
            <w:tcW w:w="948" w:type="pct"/>
            <w:tcBorders>
              <w:left w:val="single" w:sz="4" w:space="0" w:color="auto"/>
            </w:tcBorders>
            <w:vAlign w:val="center"/>
          </w:tcPr>
          <w:p>
            <w:pPr>
              <w:adjustRightInd w:val="0"/>
              <w:snapToGrid w:val="0"/>
              <w:spacing w:line="240" w:lineRule="auto"/>
              <w:ind w:firstLineChars="0" w:firstLine="0"/>
              <w:jc w:val="center"/>
              <w:rPr>
                <w:color w:val="auto"/>
              </w:rPr>
            </w:pPr>
            <w:r>
              <w:rPr>
                <w:rFonts w:hint="eastAsia"/>
                <w:color w:val="auto"/>
                <w:lang w:val="en-US" w:eastAsia="zh-CN"/>
              </w:rPr>
              <w:t>C2624复混肥料制造</w:t>
            </w:r>
          </w:p>
        </w:tc>
        <w:tc>
          <w:tcPr>
            <w:tcW w:w="1039" w:type="pct"/>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建设项目行业类别</w:t>
            </w:r>
          </w:p>
        </w:tc>
        <w:tc>
          <w:tcPr>
            <w:tcW w:w="2044" w:type="pct"/>
            <w:tcBorders>
              <w:left w:val="single" w:sz="4" w:space="0" w:color="auto"/>
            </w:tcBorders>
            <w:vAlign w:val="center"/>
          </w:tcPr>
          <w:p>
            <w:pPr>
              <w:widowControl/>
              <w:spacing w:line="240" w:lineRule="auto"/>
              <w:ind w:firstLineChars="0" w:firstLine="0"/>
              <w:jc w:val="both"/>
              <w:rPr>
                <w:color w:val="auto"/>
              </w:rPr>
            </w:pPr>
            <w:r>
              <w:rPr>
                <w:rFonts w:hint="eastAsia"/>
                <w:color w:val="auto"/>
                <w:lang w:val="en-US" w:eastAsia="zh-CN"/>
              </w:rPr>
              <w:t>二十三、化学原料和化学制品制造业“肥料制造”中“其他”</w:t>
            </w:r>
          </w:p>
        </w:tc>
      </w:tr>
      <w:tr>
        <w:trPr>
          <w:trHeight w:val="90"/>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建设性质</w:t>
            </w:r>
          </w:p>
        </w:tc>
        <w:tc>
          <w:tcPr>
            <w:tcW w:w="948" w:type="pct"/>
            <w:tcBorders>
              <w:left w:val="single" w:sz="4" w:space="0" w:color="auto"/>
            </w:tcBorders>
            <w:vAlign w:val="center"/>
          </w:tcPr>
          <w:p>
            <w:pPr>
              <w:spacing w:line="240" w:lineRule="auto"/>
              <w:ind w:firstLineChars="0" w:firstLine="0"/>
              <w:jc w:val="left"/>
              <w:rPr>
                <w:color w:val="auto"/>
              </w:rPr>
            </w:pPr>
            <w:r>
              <w:rPr>
                <w:rFonts w:hint="eastAsia"/>
                <w:color w:val="auto"/>
                <w:lang w:eastAsia="zh-CN"/>
              </w:rPr>
              <w:t>□</w:t>
            </w:r>
            <w:r>
              <w:rPr>
                <w:color w:val="auto"/>
              </w:rPr>
              <w:t>新建（迁建）</w:t>
            </w:r>
          </w:p>
          <w:p>
            <w:pPr>
              <w:spacing w:line="240" w:lineRule="auto"/>
              <w:ind w:firstLineChars="0" w:firstLine="0"/>
              <w:jc w:val="left"/>
              <w:rPr>
                <w:color w:val="auto"/>
              </w:rPr>
            </w:pPr>
            <w:r>
              <w:rPr>
                <w:rFonts w:hint="eastAsia"/>
                <w:color w:val="auto"/>
                <w:lang w:eastAsia="zh-CN"/>
              </w:rPr>
              <w:t>□</w:t>
            </w:r>
            <w:r>
              <w:rPr>
                <w:color w:val="auto"/>
              </w:rPr>
              <w:t>改建</w:t>
            </w:r>
          </w:p>
          <w:p>
            <w:pPr>
              <w:spacing w:line="240" w:lineRule="auto"/>
              <w:ind w:firstLineChars="0" w:firstLine="0"/>
              <w:jc w:val="left"/>
              <w:rPr>
                <w:color w:val="auto"/>
              </w:rPr>
            </w:pPr>
            <w:r>
              <w:rPr>
                <w:rFonts w:hint="eastAsia"/>
                <w:color w:val="auto"/>
                <w:lang w:eastAsia="zh-CN"/>
              </w:rPr>
              <w:t>□</w:t>
            </w:r>
            <w:r>
              <w:rPr>
                <w:color w:val="auto"/>
              </w:rPr>
              <w:t>扩建</w:t>
            </w:r>
          </w:p>
          <w:p>
            <w:pPr>
              <w:adjustRightInd w:val="0"/>
              <w:snapToGrid w:val="0"/>
              <w:spacing w:line="240" w:lineRule="auto"/>
              <w:ind w:firstLineChars="0" w:firstLine="0"/>
              <w:rPr>
                <w:color w:val="auto"/>
              </w:rPr>
            </w:pPr>
            <w:r>
              <w:rPr>
                <w:rFonts w:hint="eastAsia"/>
                <w:color w:val="auto"/>
                <w:lang w:eastAsia="zh-CN"/>
              </w:rPr>
              <w:t>☑</w:t>
            </w:r>
            <w:r>
              <w:rPr>
                <w:color w:val="auto"/>
              </w:rPr>
              <w:t>技术改造</w:t>
            </w:r>
          </w:p>
        </w:tc>
        <w:tc>
          <w:tcPr>
            <w:tcW w:w="1039" w:type="pct"/>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建设项目</w:t>
            </w:r>
          </w:p>
          <w:p>
            <w:pPr>
              <w:adjustRightInd w:val="0"/>
              <w:snapToGrid w:val="0"/>
              <w:spacing w:line="240" w:lineRule="auto"/>
              <w:ind w:firstLineChars="0" w:firstLine="0"/>
              <w:jc w:val="center"/>
              <w:rPr>
                <w:color w:val="auto"/>
              </w:rPr>
            </w:pPr>
            <w:r>
              <w:rPr>
                <w:color w:val="auto"/>
              </w:rPr>
              <w:t>申报情形</w:t>
            </w:r>
          </w:p>
        </w:tc>
        <w:tc>
          <w:tcPr>
            <w:tcW w:w="2044" w:type="pct"/>
            <w:tcBorders>
              <w:left w:val="single" w:sz="4" w:space="0" w:color="auto"/>
            </w:tcBorders>
            <w:vAlign w:val="center"/>
          </w:tcPr>
          <w:p>
            <w:pPr>
              <w:spacing w:line="240" w:lineRule="auto"/>
              <w:ind w:firstLineChars="0" w:firstLine="0"/>
              <w:jc w:val="left"/>
              <w:rPr>
                <w:color w:val="auto"/>
              </w:rPr>
            </w:pPr>
            <w:r>
              <w:rPr>
                <w:color w:val="auto"/>
              </w:rPr>
              <w:t>☑首次申报项目</w:t>
            </w:r>
          </w:p>
          <w:p>
            <w:pPr>
              <w:spacing w:line="240" w:lineRule="auto"/>
              <w:ind w:firstLineChars="0" w:firstLine="0"/>
              <w:jc w:val="left"/>
              <w:rPr>
                <w:color w:val="auto"/>
              </w:rPr>
            </w:pPr>
            <w:r>
              <w:rPr>
                <w:rFonts w:hint="eastAsia"/>
                <w:color w:val="auto"/>
                <w:lang w:eastAsia="zh-CN"/>
              </w:rPr>
              <w:t>□</w:t>
            </w:r>
            <w:r>
              <w:rPr>
                <w:color w:val="auto"/>
              </w:rPr>
              <w:t>不予批准后再次申报项目</w:t>
            </w:r>
          </w:p>
          <w:p>
            <w:pPr>
              <w:spacing w:line="240" w:lineRule="auto"/>
              <w:ind w:firstLineChars="0" w:firstLine="0"/>
              <w:jc w:val="left"/>
              <w:rPr>
                <w:color w:val="auto"/>
              </w:rPr>
            </w:pPr>
            <w:r>
              <w:rPr>
                <w:rFonts w:hint="eastAsia"/>
                <w:color w:val="auto"/>
                <w:lang w:eastAsia="zh-CN"/>
              </w:rPr>
              <w:t>□</w:t>
            </w:r>
            <w:r>
              <w:rPr>
                <w:color w:val="auto"/>
              </w:rPr>
              <w:t>超五年重新审核项目</w:t>
            </w:r>
          </w:p>
          <w:p>
            <w:pPr>
              <w:adjustRightInd w:val="0"/>
              <w:snapToGrid w:val="0"/>
              <w:spacing w:line="240" w:lineRule="auto"/>
              <w:ind w:firstLineChars="0" w:firstLine="0"/>
              <w:rPr>
                <w:color w:val="auto"/>
              </w:rPr>
            </w:pPr>
            <w:r>
              <w:rPr>
                <w:rFonts w:hint="eastAsia"/>
                <w:color w:val="auto"/>
                <w:lang w:eastAsia="zh-CN"/>
              </w:rPr>
              <w:t>□</w:t>
            </w:r>
            <w:r>
              <w:rPr>
                <w:color w:val="auto"/>
              </w:rPr>
              <w:t>重大变动重新报批项目</w:t>
            </w:r>
          </w:p>
        </w:tc>
      </w:tr>
      <w:tr>
        <w:trPr>
          <w:trHeight w:val="851"/>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项目审批（核准/备案）部门（选填）</w:t>
            </w:r>
          </w:p>
        </w:tc>
        <w:tc>
          <w:tcPr>
            <w:tcW w:w="948" w:type="pct"/>
            <w:tcBorders>
              <w:left w:val="single" w:sz="4" w:space="0" w:color="auto"/>
            </w:tcBorders>
            <w:vAlign w:val="center"/>
          </w:tcPr>
          <w:p>
            <w:pPr>
              <w:spacing w:line="240" w:lineRule="auto"/>
              <w:ind w:firstLineChars="0" w:firstLine="0"/>
              <w:jc w:val="center"/>
              <w:rPr>
                <w:color w:val="auto"/>
              </w:rPr>
            </w:pPr>
            <w:r>
              <w:rPr>
                <w:color w:val="auto"/>
              </w:rPr>
              <w:t>河北石家庄装备制造产业园管理委员会</w:t>
            </w:r>
          </w:p>
        </w:tc>
        <w:tc>
          <w:tcPr>
            <w:tcW w:w="1039" w:type="pct"/>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项目审批（核准/</w:t>
            </w:r>
          </w:p>
          <w:p>
            <w:pPr>
              <w:adjustRightInd w:val="0"/>
              <w:snapToGrid w:val="0"/>
              <w:spacing w:line="240" w:lineRule="auto"/>
              <w:ind w:firstLineChars="0" w:firstLine="0"/>
              <w:jc w:val="center"/>
              <w:rPr>
                <w:color w:val="auto"/>
              </w:rPr>
            </w:pPr>
            <w:r>
              <w:rPr>
                <w:color w:val="auto"/>
              </w:rPr>
              <w:t>备案）文号（选填）</w:t>
            </w:r>
          </w:p>
        </w:tc>
        <w:tc>
          <w:tcPr>
            <w:tcW w:w="2044" w:type="pct"/>
            <w:tcBorders>
              <w:left w:val="single" w:sz="4" w:space="0" w:color="auto"/>
            </w:tcBorders>
            <w:vAlign w:val="center"/>
          </w:tcPr>
          <w:p>
            <w:pPr>
              <w:adjustRightInd w:val="0"/>
              <w:snapToGrid w:val="0"/>
              <w:spacing w:line="240" w:lineRule="auto"/>
              <w:ind w:firstLineChars="0" w:firstLine="0"/>
              <w:jc w:val="center"/>
              <w:rPr>
                <w:color w:val="auto"/>
              </w:rPr>
            </w:pPr>
            <w:r>
              <w:rPr>
                <w:rFonts w:hint="eastAsia"/>
                <w:color w:val="auto"/>
                <w:lang w:val="en-US" w:eastAsia="zh-CN"/>
                <w:highlight w:val="none"/>
              </w:rPr>
              <w:t>石栾行审备字〔2025〕555号</w:t>
            </w:r>
          </w:p>
        </w:tc>
      </w:tr>
      <w:tr>
        <w:trPr>
          <w:trHeight w:val="497"/>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highlight w:val="none"/>
              </w:rPr>
            </w:pPr>
            <w:r>
              <w:rPr>
                <w:color w:val="auto"/>
                <w:highlight w:val="none"/>
              </w:rPr>
              <w:t>总投资（万元）</w:t>
            </w:r>
          </w:p>
        </w:tc>
        <w:tc>
          <w:tcPr>
            <w:tcW w:w="948" w:type="pct"/>
            <w:tcBorders>
              <w:left w:val="single" w:sz="4" w:space="0" w:color="auto"/>
            </w:tcBorders>
            <w:vAlign w:val="center"/>
          </w:tcPr>
          <w:p>
            <w:pPr>
              <w:adjustRightInd w:val="0"/>
              <w:snapToGrid w:val="0"/>
              <w:spacing w:line="240" w:lineRule="auto"/>
              <w:ind w:firstLineChars="0" w:firstLine="0"/>
              <w:jc w:val="center"/>
              <w:rPr>
                <w:rFonts w:eastAsia="宋体"/>
                <w:color w:val="auto"/>
                <w:lang w:val="en-US" w:eastAsia="zh-CN"/>
                <w:highlight w:val="none"/>
              </w:rPr>
            </w:pPr>
            <w:r>
              <w:rPr>
                <w:rFonts w:hint="eastAsia"/>
                <w:color w:val="auto"/>
                <w:lang w:val="en-US" w:eastAsia="zh-CN"/>
                <w:highlight w:val="none"/>
              </w:rPr>
              <w:t>200</w:t>
            </w:r>
          </w:p>
        </w:tc>
        <w:tc>
          <w:tcPr>
            <w:tcW w:w="1039" w:type="pct"/>
            <w:tcBorders>
              <w:left w:val="single" w:sz="4" w:space="0" w:color="auto"/>
            </w:tcBorders>
            <w:tcMar>
              <w:top w:w="16" w:type="dxa"/>
              <w:left w:w="16" w:type="dxa"/>
              <w:right w:w="16" w:type="dxa"/>
            </w:tcMar>
            <w:vAlign w:val="center"/>
          </w:tcPr>
          <w:p>
            <w:pPr>
              <w:adjustRightInd w:val="0"/>
              <w:snapToGrid w:val="0"/>
              <w:spacing w:line="240" w:lineRule="auto"/>
              <w:ind w:firstLineChars="0" w:firstLine="0"/>
              <w:rPr>
                <w:color w:val="auto"/>
                <w:highlight w:val="none"/>
              </w:rPr>
            </w:pPr>
            <w:r>
              <w:rPr>
                <w:color w:val="auto"/>
                <w:highlight w:val="none"/>
              </w:rPr>
              <w:t>环保投资（万元）</w:t>
            </w:r>
          </w:p>
        </w:tc>
        <w:tc>
          <w:tcPr>
            <w:tcW w:w="2044" w:type="pct"/>
            <w:tcBorders>
              <w:left w:val="single" w:sz="4" w:space="0" w:color="auto"/>
            </w:tcBorders>
            <w:vAlign w:val="center"/>
          </w:tcPr>
          <w:p>
            <w:pPr>
              <w:adjustRightInd w:val="0"/>
              <w:snapToGrid w:val="0"/>
              <w:spacing w:line="240" w:lineRule="auto"/>
              <w:ind w:firstLineChars="0" w:firstLine="0"/>
              <w:jc w:val="center"/>
              <w:rPr>
                <w:rFonts w:eastAsia="宋体"/>
                <w:color w:val="auto"/>
                <w:lang w:val="en-US" w:eastAsia="zh-CN"/>
                <w:highlight w:val="none"/>
              </w:rPr>
            </w:pPr>
            <w:r>
              <w:rPr>
                <w:rFonts w:hint="eastAsia"/>
                <w:color w:val="auto"/>
                <w:lang w:val="en-US" w:eastAsia="zh-CN"/>
                <w:highlight w:val="none"/>
              </w:rPr>
              <w:t>10</w:t>
            </w:r>
          </w:p>
        </w:tc>
      </w:tr>
      <w:tr>
        <w:trPr>
          <w:trHeight w:val="497"/>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highlight w:val="none"/>
              </w:rPr>
            </w:pPr>
            <w:r>
              <w:rPr>
                <w:color w:val="auto"/>
                <w:highlight w:val="none"/>
              </w:rPr>
              <w:t>环保投资占比（%）</w:t>
            </w:r>
          </w:p>
        </w:tc>
        <w:tc>
          <w:tcPr>
            <w:tcW w:w="948" w:type="pct"/>
            <w:tcBorders>
              <w:left w:val="single" w:sz="4" w:space="0" w:color="auto"/>
            </w:tcBorders>
            <w:vAlign w:val="center"/>
          </w:tcPr>
          <w:p>
            <w:pPr>
              <w:adjustRightInd w:val="0"/>
              <w:snapToGrid w:val="0"/>
              <w:spacing w:line="240" w:lineRule="auto"/>
              <w:ind w:firstLineChars="0" w:firstLine="0"/>
              <w:jc w:val="center"/>
              <w:rPr>
                <w:rFonts w:eastAsia="宋体"/>
                <w:color w:val="auto"/>
                <w:lang w:val="en-US" w:eastAsia="zh-CN"/>
                <w:highlight w:val="none"/>
              </w:rPr>
            </w:pPr>
            <w:r>
              <w:rPr>
                <w:rFonts w:hint="eastAsia"/>
                <w:color w:val="auto"/>
                <w:lang w:val="en-US" w:eastAsia="zh-CN"/>
                <w:highlight w:val="none"/>
              </w:rPr>
              <w:t>5%</w:t>
            </w:r>
          </w:p>
        </w:tc>
        <w:tc>
          <w:tcPr>
            <w:tcW w:w="1039" w:type="pct"/>
            <w:tcBorders>
              <w:left w:val="single" w:sz="4" w:space="0" w:color="auto"/>
            </w:tcBorders>
            <w:tcMar>
              <w:top w:w="16" w:type="dxa"/>
              <w:left w:w="16" w:type="dxa"/>
              <w:right w:w="16" w:type="dxa"/>
            </w:tcMar>
            <w:vAlign w:val="center"/>
          </w:tcPr>
          <w:p>
            <w:pPr>
              <w:adjustRightInd w:val="0"/>
              <w:snapToGrid w:val="0"/>
              <w:spacing w:line="240" w:lineRule="auto"/>
              <w:ind w:firstLineChars="0" w:firstLine="0"/>
              <w:jc w:val="center"/>
              <w:rPr>
                <w:color w:val="auto"/>
                <w:highlight w:val="none"/>
              </w:rPr>
            </w:pPr>
            <w:r>
              <w:rPr>
                <w:color w:val="auto"/>
                <w:highlight w:val="none"/>
              </w:rPr>
              <w:t>施工工期</w:t>
            </w:r>
          </w:p>
        </w:tc>
        <w:tc>
          <w:tcPr>
            <w:tcW w:w="2044" w:type="pct"/>
            <w:tcBorders>
              <w:left w:val="single" w:sz="4" w:space="0" w:color="auto"/>
            </w:tcBorders>
            <w:vAlign w:val="center"/>
          </w:tcPr>
          <w:p>
            <w:pPr>
              <w:adjustRightInd w:val="0"/>
              <w:snapToGrid w:val="0"/>
              <w:spacing w:line="240" w:lineRule="auto"/>
              <w:ind w:firstLineChars="0" w:firstLine="0"/>
              <w:jc w:val="center"/>
              <w:rPr>
                <w:color w:val="auto"/>
                <w:highlight w:val="none"/>
              </w:rPr>
            </w:pPr>
            <w:r>
              <w:rPr>
                <w:rFonts w:hint="eastAsia"/>
                <w:color w:val="auto"/>
                <w:lang w:val="en-US" w:eastAsia="zh-CN"/>
                <w:highlight w:val="none"/>
              </w:rPr>
              <w:t>3</w:t>
            </w:r>
            <w:r>
              <w:rPr>
                <w:color w:val="auto"/>
                <w:highlight w:val="none"/>
              </w:rPr>
              <w:t>个月</w:t>
            </w:r>
          </w:p>
        </w:tc>
      </w:tr>
      <w:tr>
        <w:trPr>
          <w:trHeight w:val="841"/>
        </w:trPr>
        <w:tc>
          <w:tcPr>
            <w:tcW w:w="968" w:type="pct"/>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是否开工建设</w:t>
            </w:r>
          </w:p>
        </w:tc>
        <w:tc>
          <w:tcPr>
            <w:tcW w:w="948" w:type="pct"/>
            <w:tcBorders>
              <w:left w:val="single" w:sz="4" w:space="0" w:color="auto"/>
            </w:tcBorders>
            <w:vAlign w:val="center"/>
          </w:tcPr>
          <w:p>
            <w:pPr>
              <w:adjustRightInd w:val="0"/>
              <w:snapToGrid w:val="0"/>
              <w:spacing w:line="240" w:lineRule="auto"/>
              <w:rPr>
                <w:color w:val="auto"/>
              </w:rPr>
            </w:pPr>
            <w:r>
              <w:rPr>
                <w:color w:val="auto"/>
              </w:rPr>
              <w:t>☑否</w:t>
            </w:r>
          </w:p>
          <w:p>
            <w:pPr>
              <w:adjustRightInd w:val="0"/>
              <w:snapToGrid w:val="0"/>
              <w:spacing w:line="240" w:lineRule="auto"/>
              <w:rPr>
                <w:color w:val="auto"/>
              </w:rPr>
            </w:pPr>
            <w:r>
              <w:rPr>
                <w:rFonts w:hint="eastAsia"/>
                <w:color w:val="auto"/>
              </w:rPr>
              <w:t>□</w:t>
            </w:r>
            <w:r>
              <w:rPr>
                <w:color w:val="auto"/>
              </w:rPr>
              <w:t>是：</w:t>
            </w:r>
          </w:p>
        </w:tc>
        <w:tc>
          <w:tcPr>
            <w:tcW w:w="1039" w:type="pct"/>
            <w:tcBorders>
              <w:left w:val="single" w:sz="4" w:space="0" w:color="auto"/>
            </w:tcBorders>
            <w:tcMar>
              <w:top w:w="16" w:type="dxa"/>
              <w:left w:w="16" w:type="dxa"/>
              <w:right w:w="16" w:type="dxa"/>
            </w:tcMar>
            <w:vAlign w:val="center"/>
          </w:tcPr>
          <w:p>
            <w:pPr>
              <w:adjustRightInd w:val="0"/>
              <w:snapToGrid w:val="0"/>
              <w:spacing w:line="240" w:lineRule="auto"/>
              <w:ind w:firstLineChars="0" w:firstLine="0"/>
              <w:jc w:val="center"/>
              <w:rPr>
                <w:color w:val="auto"/>
              </w:rPr>
            </w:pPr>
            <w:r>
              <w:rPr>
                <w:color w:val="auto"/>
              </w:rPr>
              <w:t>用地（用海）</w:t>
            </w:r>
          </w:p>
          <w:p>
            <w:pPr>
              <w:adjustRightInd w:val="0"/>
              <w:snapToGrid w:val="0"/>
              <w:spacing w:line="240" w:lineRule="auto"/>
              <w:ind w:firstLineChars="0" w:firstLine="0"/>
              <w:jc w:val="center"/>
              <w:rPr>
                <w:color w:val="auto"/>
              </w:rPr>
            </w:pPr>
            <w:r>
              <w:rPr>
                <w:color w:val="auto"/>
              </w:rPr>
              <w:t>面积（</w:t>
            </w:r>
            <w:r>
              <w:rPr>
                <w:rFonts w:hint="eastAsia"/>
                <w:color w:val="auto"/>
              </w:rPr>
              <w:t>㎡</w:t>
            </w:r>
            <w:r>
              <w:rPr>
                <w:color w:val="auto"/>
              </w:rPr>
              <w:t>）</w:t>
            </w:r>
          </w:p>
        </w:tc>
        <w:tc>
          <w:tcPr>
            <w:tcW w:w="2044" w:type="pct"/>
            <w:tcBorders>
              <w:left w:val="single" w:sz="4" w:space="0" w:color="auto"/>
            </w:tcBorders>
            <w:vAlign w:val="center"/>
          </w:tcPr>
          <w:p>
            <w:pPr>
              <w:spacing w:line="240" w:lineRule="auto"/>
              <w:ind w:firstLineChars="0" w:firstLine="0"/>
              <w:jc w:val="center"/>
              <w:rPr>
                <w:rFonts w:eastAsia="宋体" w:hint="eastAsia"/>
                <w:color w:val="auto"/>
                <w:lang w:eastAsia="zh-CN"/>
              </w:rPr>
            </w:pPr>
            <w:r>
              <w:rPr>
                <w:rFonts w:hint="eastAsia"/>
                <w:color w:val="auto"/>
                <w:lang w:val="en-US" w:eastAsia="zh-CN"/>
              </w:rPr>
              <w:t>10000（不新增用地）</w:t>
            </w:r>
          </w:p>
        </w:tc>
      </w:tr>
      <w:tr>
        <w:trPr>
          <w:trHeight w:val="728"/>
        </w:trPr>
        <w:tc>
          <w:tcPr>
            <w:tcW w:w="968" w:type="pct"/>
            <w:tcMar>
              <w:left w:w="108" w:type="dxa"/>
            </w:tcMar>
            <w:vAlign w:val="center"/>
          </w:tcPr>
          <w:p>
            <w:pPr>
              <w:autoSpaceDE w:val="0"/>
              <w:autoSpaceDN w:val="0"/>
              <w:adjustRightInd w:val="0"/>
              <w:snapToGrid w:val="0"/>
              <w:spacing w:line="240" w:lineRule="auto"/>
              <w:ind w:firstLineChars="0" w:firstLine="0"/>
              <w:jc w:val="center"/>
              <w:rPr>
                <w:color w:val="auto"/>
                <w:kern w:val="0"/>
              </w:rPr>
            </w:pPr>
            <w:r>
              <w:rPr>
                <w:color w:val="auto"/>
                <w:kern w:val="0"/>
              </w:rPr>
              <w:t>专项评价设置情况</w:t>
            </w:r>
          </w:p>
        </w:tc>
        <w:tc>
          <w:tcPr>
            <w:tcW w:w="4031" w:type="pct"/>
            <w:gridSpan w:val="3"/>
            <w:tcBorders>
              <w:left w:val="single" w:sz="4" w:space="0" w:color="auto"/>
            </w:tcBorders>
            <w:tcMar>
              <w:left w:w="108" w:type="dxa"/>
            </w:tcMar>
            <w:vAlign w:val="center"/>
          </w:tcPr>
          <w:p>
            <w:pPr>
              <w:ind w:left="0" w:right="0" w:firstLineChars="0" w:firstLine="0"/>
              <w:jc w:val="left"/>
              <w:rPr>
                <w:color w:val="auto"/>
                <w:kern w:val="0"/>
                <w:lang w:val="en-US" w:eastAsia="zh-CN"/>
              </w:rPr>
            </w:pPr>
            <w:r>
              <w:rPr>
                <w:rFonts w:hint="eastAsia"/>
                <w:color w:val="auto"/>
                <w:lang w:val="en-US" w:eastAsia="zh-CN"/>
              </w:rPr>
              <w:t>本项目硫酸铵最大储存量为90t，临界量为10t，Q值为9.11365，需要设置环境风险专项。</w:t>
            </w:r>
          </w:p>
        </w:tc>
      </w:tr>
      <w:tr>
        <w:trPr>
          <w:trHeight w:val="1167"/>
        </w:trPr>
        <w:tc>
          <w:tcPr>
            <w:tcW w:w="968" w:type="pct"/>
            <w:tcMar>
              <w:left w:w="108" w:type="dxa"/>
            </w:tcMar>
            <w:vAlign w:val="center"/>
          </w:tcPr>
          <w:p>
            <w:pPr>
              <w:autoSpaceDE w:val="0"/>
              <w:autoSpaceDN w:val="0"/>
              <w:adjustRightInd w:val="0"/>
              <w:snapToGrid w:val="0"/>
              <w:spacing w:line="240" w:lineRule="auto"/>
              <w:ind w:firstLineChars="0" w:firstLine="0"/>
              <w:jc w:val="center"/>
              <w:rPr>
                <w:color w:val="auto"/>
                <w:kern w:val="0"/>
              </w:rPr>
            </w:pPr>
            <w:r>
              <w:rPr>
                <w:color w:val="auto"/>
              </w:rPr>
              <w:t>规划情况</w:t>
            </w:r>
          </w:p>
        </w:tc>
        <w:tc>
          <w:tcPr>
            <w:tcW w:w="4031" w:type="pct"/>
            <w:gridSpan w:val="3"/>
            <w:tcBorders>
              <w:left w:val="single" w:sz="4" w:space="0" w:color="auto"/>
            </w:tcBorders>
            <w:tcMar>
              <w:left w:w="108" w:type="dxa"/>
            </w:tcMar>
            <w:vAlign w:val="center"/>
          </w:tcPr>
          <w:p>
            <w:pPr>
              <w:ind w:left="0" w:right="0" w:firstLineChars="0" w:firstLine="0"/>
              <w:jc w:val="left"/>
              <w:rPr>
                <w:rFonts w:eastAsia="宋体" w:hint="eastAsia"/>
                <w:color w:val="auto"/>
                <w:lang w:val="en-US" w:eastAsia="zh-CN"/>
              </w:rPr>
            </w:pPr>
            <w:r>
              <w:rPr>
                <w:rFonts w:hint="eastAsia"/>
                <w:color w:val="auto"/>
                <w:lang w:val="en-US" w:eastAsia="zh-CN"/>
              </w:rPr>
              <w:t>《河北石家庄装备制造产业园总体规划（2022-2030年）环境影响报告书》</w:t>
            </w:r>
          </w:p>
        </w:tc>
      </w:tr>
      <w:tr>
        <w:trPr>
          <w:trHeight w:val="3377"/>
        </w:trPr>
        <w:tc>
          <w:tcPr>
            <w:tcW w:w="968" w:type="pct"/>
            <w:tcMar>
              <w:left w:w="108" w:type="dxa"/>
            </w:tcMar>
            <w:vAlign w:val="center"/>
          </w:tcPr>
          <w:p>
            <w:pPr>
              <w:adjustRightInd w:val="0"/>
              <w:snapToGrid w:val="0"/>
              <w:spacing w:line="240" w:lineRule="auto"/>
              <w:ind w:firstLineChars="0" w:firstLine="0"/>
              <w:jc w:val="center"/>
              <w:rPr>
                <w:color w:val="auto"/>
                <w:kern w:val="0"/>
              </w:rPr>
            </w:pPr>
            <w:r>
              <w:rPr>
                <w:color w:val="auto"/>
              </w:rPr>
              <w:t>规划环境影响评价情况</w:t>
            </w:r>
          </w:p>
        </w:tc>
        <w:tc>
          <w:tcPr>
            <w:tcW w:w="4031" w:type="pct"/>
            <w:gridSpan w:val="3"/>
            <w:tcBorders>
              <w:left w:val="single" w:sz="4" w:space="0" w:color="auto"/>
            </w:tcBorders>
            <w:tcMar>
              <w:left w:w="108" w:type="dxa"/>
            </w:tcMar>
            <w:vAlign w:val="center"/>
          </w:tcPr>
          <w:p>
            <w:pPr>
              <w:autoSpaceDE w:val="0"/>
              <w:autoSpaceDN w:val="0"/>
              <w:ind w:firstLineChars="0" w:firstLine="0"/>
              <w:jc w:val="both"/>
              <w:rPr>
                <w:rFonts w:hint="eastAsia"/>
                <w:color w:val="auto"/>
                <w:kern w:val="0"/>
                <w:lang w:val="en-US" w:eastAsia="zh-CN"/>
              </w:rPr>
            </w:pPr>
            <w:r>
              <w:rPr>
                <w:rFonts w:hint="eastAsia"/>
                <w:color w:val="auto"/>
                <w:kern w:val="0"/>
                <w:lang w:val="en-US" w:eastAsia="zh-CN"/>
              </w:rPr>
              <w:t>规划环境影响评价文件名称：《河北石家庄装备制造产业园总体规划（2022-2030年）环境影响报告书》；</w:t>
            </w:r>
          </w:p>
          <w:p>
            <w:pPr>
              <w:autoSpaceDE w:val="0"/>
              <w:autoSpaceDN w:val="0"/>
              <w:ind w:firstLineChars="0" w:firstLine="0"/>
              <w:jc w:val="both"/>
              <w:rPr>
                <w:rFonts w:hint="eastAsia"/>
                <w:color w:val="auto"/>
                <w:kern w:val="0"/>
                <w:lang w:val="en-US" w:eastAsia="zh-CN"/>
              </w:rPr>
            </w:pPr>
            <w:r>
              <w:rPr>
                <w:rFonts w:hint="eastAsia"/>
                <w:color w:val="auto"/>
                <w:kern w:val="0"/>
                <w:lang w:val="en-US" w:eastAsia="zh-CN"/>
              </w:rPr>
              <w:t>召集审查机关：</w:t>
            </w:r>
            <w:r>
              <w:rPr>
                <w:rFonts w:hint="eastAsia"/>
                <w:color w:val="auto"/>
                <w:kern w:val="0"/>
                <w:lang w:val="en-US" w:eastAsia="zh-CN"/>
                <w:highlight w:val="none"/>
              </w:rPr>
              <w:t>河北省生态环境厅</w:t>
            </w:r>
            <w:r>
              <w:rPr>
                <w:rFonts w:hint="eastAsia"/>
                <w:color w:val="auto"/>
                <w:kern w:val="0"/>
                <w:lang w:val="en-US" w:eastAsia="zh-CN"/>
              </w:rPr>
              <w:t>；</w:t>
            </w:r>
          </w:p>
          <w:p>
            <w:pPr>
              <w:autoSpaceDE w:val="0"/>
              <w:autoSpaceDN w:val="0"/>
              <w:ind w:firstLineChars="0" w:firstLine="0"/>
              <w:jc w:val="both"/>
              <w:rPr>
                <w:color w:val="auto"/>
                <w:kern w:val="0"/>
              </w:rPr>
            </w:pPr>
            <w:r>
              <w:rPr>
                <w:rFonts w:hint="eastAsia"/>
                <w:color w:val="auto"/>
                <w:kern w:val="0"/>
                <w:lang w:val="en-US" w:eastAsia="zh-CN"/>
              </w:rPr>
              <w:t>审查文件名称及文号：《河北省生态环境厅关于&lt;河北石家庄装备制造产业园总体规划（2022-2030年）环境影响报告书&gt;的审查意见的函》（冀环环评函[2025]1839号）。</w:t>
            </w:r>
          </w:p>
        </w:tc>
      </w:tr>
      <w:tr>
        <w:trPr>
          <w:trHeight w:val="398"/>
        </w:trPr>
        <w:tc>
          <w:tcPr>
            <w:tcW w:w="968" w:type="pct"/>
            <w:tcMar>
              <w:left w:w="108" w:type="dxa"/>
            </w:tcMar>
            <w:vAlign w:val="center"/>
          </w:tcPr>
          <w:p>
            <w:pPr>
              <w:autoSpaceDE w:val="0"/>
              <w:autoSpaceDN w:val="0"/>
              <w:adjustRightInd w:val="0"/>
              <w:snapToGrid w:val="0"/>
              <w:spacing w:line="240" w:lineRule="auto"/>
              <w:ind w:firstLineChars="0" w:firstLine="0"/>
              <w:jc w:val="center"/>
              <w:rPr>
                <w:color w:val="auto"/>
                <w:kern w:val="0"/>
              </w:rPr>
            </w:pPr>
            <w:r>
              <w:rPr>
                <w:color w:val="auto"/>
                <w:kern w:val="0"/>
              </w:rPr>
              <w:t>规划及规划环境影响评价符合性分析</w:t>
            </w:r>
          </w:p>
        </w:tc>
        <w:tc>
          <w:tcPr>
            <w:tcW w:w="4031" w:type="pct"/>
            <w:gridSpan w:val="3"/>
            <w:tcBorders>
              <w:left w:val="single" w:sz="4" w:space="0" w:color="auto"/>
            </w:tcBorders>
            <w:tcMar>
              <w:left w:w="108" w:type="dxa"/>
            </w:tcMar>
            <w:vAlign w:val="center"/>
          </w:tcPr>
          <w:p>
            <w:pPr>
              <w:keepNext w:val="0"/>
              <w:keepLines w:val="0"/>
              <w:pageBreakBefore w:val="0"/>
              <w:widowControl w:val="0"/>
              <w:kinsoku/>
              <w:wordWrap/>
              <w:overflowPunct/>
              <w:topLinePunct w:val="0"/>
              <w:autoSpaceDE/>
              <w:autoSpaceDN/>
              <w:bidi w:val="0"/>
              <w:adjustRightInd/>
              <w:snapToGrid/>
              <w:ind w:left="0" w:firstLineChars="0" w:firstLine="0"/>
              <w:jc w:val="both"/>
              <w:textAlignment w:val="auto"/>
              <w:rPr>
                <w:color w:val="auto"/>
              </w:rPr>
            </w:pPr>
            <w:r>
              <w:rPr>
                <w:color w:val="auto"/>
                <w:lang w:val="en-US" w:eastAsia="zh-CN"/>
              </w:rPr>
              <w:t>1</w:t>
            </w:r>
            <w:r>
              <w:rPr>
                <w:rFonts w:hint="eastAsia"/>
                <w:color w:val="auto"/>
                <w:lang w:val="en-US" w:eastAsia="zh-CN"/>
              </w:rPr>
              <w:t>、与河北石家庄装备制造产业园规划符合性分析</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与园区规划定位、规划范围、规划用地布局、产业发展规划符合性如下：</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①规划定位：国家外贸转型升级基地，北方地区工业无人机研发、生产基地，河北省装备制造产业聚集区，石家庄市六大产业基地之一，以装备制造产业为主导的集生物医药大健康产业、物流产业、配套服务产业及现代城市居住功能于一体的综合性产业基地。</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②规划范围：河北石家庄装备制造产业园规划总用地面积43.72平方公里，其中栾城境内40.33平方公里、元氏境内3.39平方公里，规划范围北至南三环、西至107国道、南至规划337省道、东至石栾大街。规划范围内包含城镇开发边界36.10平方公里。</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③规划用地布局：规划总用地面积4372.05公顷，其中城镇建设用地3502.78公顷，占总规划用地的80.12%；区域基础设施用地106.76公顷，占总规划用地的2.4%；其他建设用地9.36公顷，占总规划用地的0.21%；非建设用地753.15，占总规划用地的17.23%。</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4 \* GB3 \* MERGEFORMAT </w:instrText>
            </w:r>
            <w:r>
              <w:rPr>
                <w:rFonts w:hint="eastAsia"/>
                <w:color w:val="auto"/>
                <w:lang w:val="en-US" w:eastAsia="zh-CN"/>
              </w:rPr>
              <w:fldChar w:fldCharType="separate"/>
            </w:r>
            <w:r>
              <w:rPr>
                <w:rFonts w:hint="eastAsia"/>
                <w:color w:val="auto"/>
                <w:lang w:val="en-US" w:eastAsia="zh-CN"/>
              </w:rPr>
              <w:t>④</w:t>
            </w:r>
            <w:r>
              <w:rPr>
                <w:rFonts w:hint="eastAsia"/>
                <w:color w:val="auto"/>
                <w:lang w:val="en-US" w:eastAsia="zh-CN"/>
              </w:rPr>
              <w:fldChar w:fldCharType="end"/>
            </w:r>
            <w:r>
              <w:rPr>
                <w:rFonts w:hint="eastAsia"/>
                <w:color w:val="auto"/>
                <w:lang w:val="en-US" w:eastAsia="zh-CN"/>
              </w:rPr>
              <w:t>产业发展：</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规划形成西部、东部两大工业组团，包含四大产业园区，分别为装备制造产业园区、产业转型升级示范区、通用飞机产业园区、食品和医药产业园区。本项目为复混肥料制造，位于园区的产业转型升级示范区。</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产业转型升级示范区：位于107国道以东、洨河以西，约占园区总用地的16.42%。规划以现状汽车制造、机械制造、食品生产、再生资源综合利用、仓储物流、化工原料和化学制造等现有产业转型升级为主。其中，化工产业依托重点化工监控点打造生态环保、绿色环保、节能安全的化工连片区，并培育小微企业孵化。</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本项目在河北卓峰化肥有限公司现有厂区建设，不新增占地，</w:t>
            </w:r>
            <w:r>
              <w:rPr>
                <w:rFonts w:hint="eastAsia"/>
                <w:color w:val="auto"/>
                <w:lang w:val="en-US" w:eastAsia="zh-CN"/>
                <w:highlight w:val="none"/>
              </w:rPr>
              <w:t>且技改前后全厂产能不变</w:t>
            </w:r>
            <w:r>
              <w:rPr>
                <w:rFonts w:hint="eastAsia"/>
                <w:color w:val="auto"/>
                <w:lang w:val="en-US" w:eastAsia="zh-CN"/>
              </w:rPr>
              <w:t>，各项污染治理措施完善。</w:t>
            </w:r>
            <w:r>
              <w:rPr>
                <w:rFonts w:hint="eastAsia"/>
                <w:color w:val="auto"/>
                <w:lang w:val="en-US" w:eastAsia="zh-CN"/>
                <w:highlight w:val="none"/>
              </w:rPr>
              <w:t>根据土地证证明本项目占地性质为工业用地（土地证号为：栾国用(2006)第54号），符合园区用地规划布局。河北石家庄装备制造产业园管委会办公室出具了项目符合园区规划和产业规划的证明（见附件）。</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综上，本项目符合园区规划定位、规划范围、规划用地布局、产业发展规划要求。</w:t>
            </w:r>
          </w:p>
          <w:p>
            <w:pPr>
              <w:keepNext w:val="0"/>
              <w:keepLines w:val="0"/>
              <w:pageBreakBefore w:val="0"/>
              <w:widowControl w:val="0"/>
              <w:kinsoku/>
              <w:wordWrap/>
              <w:overflowPunct/>
              <w:topLinePunct w:val="0"/>
              <w:autoSpaceDE/>
              <w:autoSpaceDN/>
              <w:bidi w:val="0"/>
              <w:adjustRightInd/>
              <w:snapToGrid/>
              <w:ind w:left="0" w:firstLineChars="0" w:firstLine="0"/>
              <w:jc w:val="both"/>
              <w:textAlignment w:val="auto"/>
              <w:rPr>
                <w:rFonts w:hint="eastAsia"/>
                <w:color w:val="auto"/>
                <w:lang w:val="en-US" w:eastAsia="zh-CN"/>
              </w:rPr>
            </w:pPr>
            <w:r>
              <w:rPr>
                <w:rFonts w:hint="eastAsia"/>
                <w:color w:val="auto"/>
                <w:lang w:val="en-US" w:eastAsia="zh-CN"/>
              </w:rPr>
              <w:t>2、与基础设施规划符合性分析</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（1）给水工程规划</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ascii="Times New Roman" w:eastAsia="宋体" w:cs="Times New Roman" w:hAnsi="Times New Roman"/>
                <w:color w:val="auto"/>
                <w:lang w:val="en-US" w:eastAsia="zh-CN"/>
              </w:rPr>
            </w:pPr>
            <w:r>
              <w:rPr>
                <w:rFonts w:ascii="Times New Roman" w:eastAsia="宋体" w:cs="Times New Roman" w:hAnsi="Times New Roman" w:hint="eastAsia"/>
                <w:b w:val="0"/>
                <w:bCs w:val="0"/>
                <w:color w:val="auto"/>
                <w:kern w:val="0"/>
                <w:sz w:val="24"/>
                <w:szCs w:val="24"/>
                <w:lang w:val="en-US" w:eastAsia="zh-CN"/>
              </w:rPr>
              <w:t>装备制造产业园区</w:t>
            </w:r>
            <w:r>
              <w:rPr>
                <w:rFonts w:ascii="Times New Roman" w:eastAsia="宋体" w:cs="Times New Roman" w:hAnsi="Times New Roman"/>
                <w:color w:val="auto"/>
                <w:sz w:val="24"/>
                <w:szCs w:val="24"/>
                <w:lang w:val="en-US" w:eastAsia="zh-CN"/>
              </w:rPr>
              <w:t>建有苏邱</w:t>
            </w:r>
            <w:r>
              <w:rPr>
                <w:rFonts w:ascii="Times New Roman" w:eastAsia="宋体" w:cs="Times New Roman" w:hAnsi="Times New Roman" w:hint="eastAsia"/>
                <w:color w:val="auto"/>
                <w:sz w:val="24"/>
                <w:szCs w:val="24"/>
                <w:lang w:val="en-US" w:eastAsia="zh-CN"/>
              </w:rPr>
              <w:t>供</w:t>
            </w:r>
            <w:r>
              <w:rPr>
                <w:rFonts w:ascii="Times New Roman" w:eastAsia="宋体" w:cs="Times New Roman" w:hAnsi="Times New Roman"/>
                <w:color w:val="auto"/>
                <w:sz w:val="24"/>
                <w:szCs w:val="24"/>
                <w:lang w:val="en-US" w:eastAsia="zh-CN"/>
              </w:rPr>
              <w:t>水厂</w:t>
            </w:r>
            <w:r>
              <w:rPr>
                <w:rFonts w:ascii="宋体" w:eastAsia="宋体" w:cs="Times New Roman" w:hAnsi="宋体" w:hint="eastAsia"/>
                <w:color w:val="auto"/>
                <w:sz w:val="24"/>
                <w:szCs w:val="24"/>
                <w:lang w:val="en-US" w:eastAsia="zh-CN"/>
              </w:rPr>
              <w:t>（</w:t>
            </w:r>
            <w:r>
              <w:rPr>
                <w:rFonts w:ascii="Times New Roman" w:eastAsia="宋体" w:cs="Times New Roman" w:hAnsi="Times New Roman" w:hint="eastAsia"/>
                <w:color w:val="auto"/>
                <w:sz w:val="24"/>
                <w:szCs w:val="24"/>
                <w:lang w:val="en-US" w:eastAsia="zh-CN"/>
              </w:rPr>
              <w:t>原设计为地下水水厂</w:t>
            </w:r>
            <w:r>
              <w:rPr>
                <w:rFonts w:ascii="宋体" w:eastAsia="宋体" w:cs="Times New Roman" w:hAnsi="宋体" w:hint="eastAsia"/>
                <w:color w:val="auto"/>
                <w:sz w:val="24"/>
                <w:szCs w:val="24"/>
                <w:lang w:val="en-US" w:eastAsia="zh-CN"/>
              </w:rPr>
              <w:t>）</w:t>
            </w:r>
            <w:r>
              <w:rPr>
                <w:rFonts w:ascii="Times New Roman" w:eastAsia="宋体" w:cs="Times New Roman" w:hAnsi="Times New Roman"/>
                <w:color w:val="auto"/>
                <w:sz w:val="24"/>
                <w:szCs w:val="24"/>
                <w:lang w:val="en-US" w:eastAsia="zh-CN"/>
              </w:rPr>
              <w:t>，设计供水规模为1万m</w:t>
            </w:r>
            <w:r>
              <w:rPr>
                <w:rFonts w:ascii="Times New Roman" w:eastAsia="宋体" w:cs="Times New Roman" w:hAnsi="Times New Roman"/>
                <w:color w:val="auto"/>
                <w:sz w:val="24"/>
                <w:szCs w:val="24"/>
                <w:vertAlign w:val="superscript"/>
                <w:lang w:val="en-US" w:eastAsia="zh-CN"/>
              </w:rPr>
              <w:t>3</w:t>
            </w:r>
            <w:r>
              <w:rPr>
                <w:rFonts w:ascii="Times New Roman" w:eastAsia="宋体" w:cs="Times New Roman" w:hAnsi="Times New Roman"/>
                <w:color w:val="auto"/>
                <w:sz w:val="24"/>
                <w:szCs w:val="24"/>
                <w:lang w:val="en-US" w:eastAsia="zh-CN"/>
              </w:rPr>
              <w:t>/d，该水厂于2009年建设完成，供水对象为产业园西部片区内的部分村庄以及办公和商户。2020年，栾城区实施地下水超采综合治理农村生活用水置换项目，利用南水北调地表水厂配套管</w:t>
            </w:r>
            <w:r>
              <w:rPr>
                <w:rFonts w:ascii="Times New Roman" w:eastAsia="宋体" w:cs="Times New Roman" w:hAnsi="Times New Roman"/>
                <w:color w:val="auto"/>
                <w:lang w:val="en-US" w:eastAsia="zh-CN"/>
              </w:rPr>
              <w:t>线，延伸铺设管道至苏邱水厂，使用南水北调水源置换深层地下水，实现地下水压采。</w:t>
            </w:r>
            <w:r>
              <w:rPr>
                <w:rFonts w:ascii="Times New Roman" w:eastAsia="宋体" w:cs="Times New Roman" w:hAnsi="Times New Roman" w:hint="eastAsia"/>
                <w:color w:val="auto"/>
                <w:lang w:val="en-US" w:eastAsia="zh-CN"/>
              </w:rPr>
              <w:t>现状实际用水0.3</w:t>
            </w:r>
            <w:r>
              <w:rPr>
                <w:rFonts w:ascii="Times New Roman" w:eastAsia="宋体" w:cs="Times New Roman" w:hAnsi="Times New Roman"/>
                <w:color w:val="auto"/>
                <w:lang w:val="en-US" w:eastAsia="zh-CN"/>
              </w:rPr>
              <w:t>万m</w:t>
            </w:r>
            <w:r>
              <w:rPr>
                <w:rFonts w:ascii="Times New Roman" w:eastAsia="宋体" w:cs="Times New Roman" w:hAnsi="Times New Roman"/>
                <w:color w:val="auto"/>
                <w:vertAlign w:val="superscript"/>
                <w:lang w:val="en-US" w:eastAsia="zh-CN"/>
              </w:rPr>
              <w:t>3</w:t>
            </w:r>
            <w:r>
              <w:rPr>
                <w:rFonts w:ascii="Times New Roman" w:eastAsia="宋体" w:cs="Times New Roman" w:hAnsi="Times New Roman"/>
                <w:color w:val="auto"/>
                <w:lang w:val="en-US" w:eastAsia="zh-CN"/>
              </w:rPr>
              <w:t>/d</w:t>
            </w:r>
            <w:r>
              <w:rPr>
                <w:rFonts w:ascii="Times New Roman" w:eastAsia="宋体" w:cs="Times New Roman" w:hAnsi="Times New Roman" w:hint="eastAsia"/>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ascii="Times New Roman" w:eastAsia="宋体" w:cs="Times New Roman" w:hAnsi="Times New Roman"/>
                <w:color w:val="auto"/>
                <w:lang w:val="en-US" w:eastAsia="zh-CN"/>
              </w:rPr>
            </w:pPr>
            <w:r>
              <w:rPr>
                <w:rFonts w:ascii="Times New Roman" w:eastAsia="宋体" w:cs="Times New Roman" w:hAnsi="Times New Roman" w:hint="eastAsia"/>
                <w:color w:val="auto"/>
                <w:lang w:val="en-US" w:eastAsia="zh-CN"/>
              </w:rPr>
              <w:t>规划区远期最高日总用水量为14.00万m</w:t>
            </w:r>
            <w:r>
              <w:rPr>
                <w:rFonts w:ascii="Times New Roman" w:eastAsia="宋体" w:cs="Times New Roman" w:hAnsi="Times New Roman" w:hint="eastAsia"/>
                <w:color w:val="auto"/>
                <w:vertAlign w:val="superscript"/>
                <w:lang w:val="en-US" w:eastAsia="zh-CN"/>
              </w:rPr>
              <w:t>3</w:t>
            </w:r>
            <w:r>
              <w:rPr>
                <w:rFonts w:ascii="Times New Roman" w:eastAsia="宋体" w:cs="Times New Roman" w:hAnsi="Times New Roman" w:hint="eastAsia"/>
                <w:color w:val="auto"/>
                <w:lang w:val="en-US" w:eastAsia="zh-CN"/>
              </w:rPr>
              <w:t>/d，其中栾城区境内用水量为13.08万m</w:t>
            </w:r>
            <w:r>
              <w:rPr>
                <w:rFonts w:ascii="Times New Roman" w:eastAsia="宋体" w:cs="Times New Roman" w:hAnsi="Times New Roman" w:hint="eastAsia"/>
                <w:color w:val="auto"/>
                <w:vertAlign w:val="superscript"/>
                <w:lang w:val="en-US" w:eastAsia="zh-CN"/>
              </w:rPr>
              <w:t>3</w:t>
            </w:r>
            <w:r>
              <w:rPr>
                <w:rFonts w:ascii="Times New Roman" w:eastAsia="宋体" w:cs="Times New Roman" w:hAnsi="Times New Roman" w:hint="eastAsia"/>
                <w:color w:val="auto"/>
                <w:lang w:val="en-US" w:eastAsia="zh-CN"/>
              </w:rPr>
              <w:t>/d、元氏县境内用水量为0.92万m</w:t>
            </w:r>
            <w:r>
              <w:rPr>
                <w:rFonts w:ascii="Times New Roman" w:eastAsia="宋体" w:cs="Times New Roman" w:hAnsi="Times New Roman" w:hint="eastAsia"/>
                <w:color w:val="auto"/>
                <w:vertAlign w:val="superscript"/>
                <w:lang w:val="en-US" w:eastAsia="zh-CN"/>
              </w:rPr>
              <w:t>3</w:t>
            </w:r>
            <w:r>
              <w:rPr>
                <w:rFonts w:ascii="Times New Roman" w:eastAsia="宋体" w:cs="Times New Roman" w:hAnsi="Times New Roman" w:hint="eastAsia"/>
                <w:color w:val="auto"/>
                <w:lang w:val="en-US" w:eastAsia="zh-CN"/>
              </w:rPr>
              <w:t>/d。</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ascii="Times New Roman" w:eastAsia="宋体" w:cs="Times New Roman" w:hAnsi="Times New Roman" w:hint="eastAsia"/>
                <w:color w:val="auto"/>
                <w:lang w:val="en-US" w:eastAsia="zh-CN"/>
              </w:rPr>
            </w:pPr>
            <w:r>
              <w:rPr>
                <w:rFonts w:ascii="Times New Roman" w:eastAsia="宋体" w:cs="Times New Roman" w:hAnsi="Times New Roman" w:hint="eastAsia"/>
                <w:color w:val="auto"/>
                <w:lang w:val="en-US" w:eastAsia="zh-CN"/>
              </w:rPr>
              <w:t>规划新建园区东地表水厂，扩建城区地表水厂，保留中瀚水务地表水厂和栾城区第一水厂，将原绿源污水处理厂改建为再生水厂。</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both"/>
              <w:textAlignment w:val="auto"/>
              <w:rPr>
                <w:rFonts w:ascii="Times New Roman" w:eastAsia="宋体" w:cs="Times New Roman" w:hAnsi="Times New Roman" w:hint="eastAsia"/>
                <w:color w:val="auto"/>
                <w:lang w:val="en-US" w:eastAsia="zh-CN"/>
              </w:rPr>
            </w:pPr>
            <w:r>
              <w:rPr>
                <w:rFonts w:ascii="Times New Roman" w:eastAsia="宋体" w:cs="Times New Roman" w:hAnsi="Times New Roman" w:hint="eastAsia"/>
                <w:color w:val="auto"/>
                <w:lang w:val="en-US" w:eastAsia="zh-CN"/>
              </w:rPr>
              <w:t>园区方西大街以西栾城区境内由中瀚水务地表水厂、园区东地表水厂联合供给，方西大街以西元氏境内由元氏县华电水厂供给，方西大街以东由城区地表水厂供给，栾城区第一供水厂作为应急水源。</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both"/>
              <w:textAlignment w:val="auto"/>
              <w:rPr>
                <w:rFonts w:hint="eastAsia"/>
                <w:color w:val="auto"/>
                <w:lang w:val="en-US" w:eastAsia="zh-CN"/>
                <w:highlight w:val="yellow"/>
              </w:rPr>
            </w:pPr>
            <w:r>
              <w:rPr>
                <w:rFonts w:ascii="Times New Roman" w:eastAsia="宋体" w:cs="Times New Roman" w:hAnsi="Times New Roman" w:hint="eastAsia"/>
                <w:color w:val="auto"/>
                <w:lang w:val="en-US" w:eastAsia="zh-CN"/>
                <w:highlight w:val="none"/>
              </w:rPr>
              <w:t>本项目不新增用水</w:t>
            </w:r>
            <w:r>
              <w:rPr>
                <w:rFonts w:cs="Times New Roman" w:hint="eastAsia"/>
                <w:color w:val="auto"/>
                <w:lang w:val="en-US" w:eastAsia="zh-CN"/>
                <w:highlight w:val="none"/>
              </w:rPr>
              <w:t>量</w:t>
            </w:r>
            <w:r>
              <w:rPr>
                <w:rFonts w:ascii="Times New Roman" w:eastAsia="宋体" w:cs="Times New Roman" w:hAnsi="Times New Roman" w:hint="eastAsia"/>
                <w:color w:val="auto"/>
                <w:lang w:val="en-US" w:eastAsia="zh-CN"/>
                <w:highlight w:val="none"/>
              </w:rPr>
              <w:t>，全厂供水由</w:t>
            </w:r>
            <w:r>
              <w:rPr>
                <w:rFonts w:cs="Times New Roman" w:hint="eastAsia"/>
                <w:color w:val="auto"/>
                <w:lang w:val="en-US" w:eastAsia="zh-CN"/>
                <w:highlight w:val="none"/>
              </w:rPr>
              <w:t>园区供给</w:t>
            </w:r>
            <w:r>
              <w:rPr>
                <w:rFonts w:ascii="Times New Roman" w:eastAsia="宋体" w:cs="Times New Roman" w:hAnsi="Times New Roman" w:hint="eastAsia"/>
                <w:color w:val="auto"/>
                <w:lang w:val="en-US" w:eastAsia="zh-CN"/>
                <w:highlight w:val="none"/>
              </w:rPr>
              <w:t>，用水主要为</w:t>
            </w:r>
            <w:r>
              <w:rPr>
                <w:rFonts w:cs="Times New Roman" w:hint="eastAsia"/>
                <w:color w:val="auto"/>
                <w:lang w:val="en-US" w:eastAsia="zh-CN"/>
                <w:highlight w:val="none"/>
              </w:rPr>
              <w:t>生产用水和生活用水</w:t>
            </w:r>
            <w:r>
              <w:rPr>
                <w:rFonts w:ascii="Times New Roman" w:eastAsia="宋体" w:cs="Times New Roman" w:hAnsi="Times New Roman" w:hint="eastAsia"/>
                <w:color w:val="auto"/>
                <w:lang w:val="en-US" w:eastAsia="zh-CN"/>
                <w:highlight w:val="none"/>
              </w:rPr>
              <w:t>，年用水量为</w:t>
            </w:r>
            <w:r>
              <w:rPr>
                <w:rFonts w:cs="Times New Roman" w:hint="eastAsia"/>
                <w:color w:val="auto"/>
                <w:lang w:val="en-US" w:eastAsia="zh-CN"/>
                <w:highlight w:val="none"/>
              </w:rPr>
              <w:t>2100</w:t>
            </w:r>
            <w:r>
              <w:rPr>
                <w:rFonts w:ascii="Times New Roman" w:eastAsia="宋体" w:cs="Times New Roman" w:hAnsi="Times New Roman" w:hint="eastAsia"/>
                <w:color w:val="auto"/>
                <w:lang w:val="en-US" w:eastAsia="zh-CN"/>
                <w:highlight w:val="none"/>
              </w:rPr>
              <w:t>m</w:t>
            </w:r>
            <w:r>
              <w:rPr>
                <w:rFonts w:ascii="Times New Roman" w:eastAsia="宋体" w:cs="Times New Roman" w:hAnsi="Times New Roman" w:hint="eastAsia"/>
                <w:color w:val="auto"/>
                <w:vertAlign w:val="superscript"/>
                <w:lang w:val="en-US" w:eastAsia="zh-CN"/>
                <w:highlight w:val="none"/>
              </w:rPr>
              <w:t>3</w:t>
            </w:r>
            <w:r>
              <w:rPr>
                <w:rFonts w:ascii="Times New Roman" w:eastAsia="宋体" w:cs="Times New Roman" w:hAnsi="Times New Roman" w:hint="eastAsia"/>
                <w:color w:val="auto"/>
                <w:lang w:val="en-US" w:eastAsia="zh-CN"/>
                <w:highlight w:val="none"/>
              </w:rPr>
              <w:t>，可满足项目用水需求。</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both"/>
              <w:textAlignment w:val="auto"/>
              <w:rPr>
                <w:rFonts w:hint="eastAsia"/>
                <w:color w:val="auto"/>
                <w:lang w:val="en-US" w:eastAsia="zh-CN"/>
              </w:rPr>
            </w:pPr>
            <w:r>
              <w:rPr>
                <w:rFonts w:hint="eastAsia"/>
                <w:color w:val="auto"/>
                <w:lang w:val="en-US" w:eastAsia="zh-CN"/>
              </w:rPr>
              <w:t>（2）排水工程规划</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Chars="200" w:firstLine="480"/>
              <w:jc w:val="both"/>
              <w:textAlignment w:val="auto"/>
              <w:rPr>
                <w:rFonts w:ascii="Times New Roman" w:eastAsia="宋体" w:cs="Times New Roman" w:hAnsi="Times New Roman" w:hint="eastAsia"/>
                <w:color w:val="auto"/>
                <w:kern w:val="2"/>
                <w:sz w:val="24"/>
                <w:szCs w:val="24"/>
                <w:lang w:val="en-US" w:eastAsia="zh-CN" w:bidi="ar-SA"/>
              </w:rPr>
            </w:pPr>
            <w:r>
              <w:rPr>
                <w:rFonts w:ascii="Times New Roman" w:eastAsia="宋体" w:cs="Times New Roman" w:hAnsi="Times New Roman" w:hint="eastAsia"/>
                <w:color w:val="auto"/>
                <w:kern w:val="2"/>
                <w:sz w:val="24"/>
                <w:szCs w:val="24"/>
                <w:lang w:val="en-US" w:eastAsia="zh-CN" w:bidi="ar-SA"/>
              </w:rPr>
              <w:t>根据园区用地特点，采用不同类别用地用水量对污水量进行预测，规划远期园区总污水量约为7.13万m</w:t>
            </w:r>
            <w:r>
              <w:rPr>
                <w:rFonts w:ascii="Times New Roman" w:eastAsia="宋体" w:cs="Times New Roman" w:hAnsi="Times New Roman" w:hint="eastAsia"/>
                <w:color w:val="auto"/>
                <w:kern w:val="2"/>
                <w:sz w:val="24"/>
                <w:szCs w:val="24"/>
                <w:vertAlign w:val="superscript"/>
                <w:lang w:val="en-US" w:eastAsia="zh-CN" w:bidi="ar-SA"/>
              </w:rPr>
              <w:t>3</w:t>
            </w:r>
            <w:r>
              <w:rPr>
                <w:rFonts w:ascii="Times New Roman" w:eastAsia="宋体" w:cs="Times New Roman" w:hAnsi="Times New Roman" w:hint="eastAsia"/>
                <w:color w:val="auto"/>
                <w:kern w:val="2"/>
                <w:sz w:val="24"/>
                <w:szCs w:val="24"/>
                <w:lang w:val="en-US" w:eastAsia="zh-CN" w:bidi="ar-SA"/>
              </w:rPr>
              <w:t>/d，其中栾城区境内污水量约为6.66万m</w:t>
            </w:r>
            <w:r>
              <w:rPr>
                <w:rFonts w:ascii="Times New Roman" w:eastAsia="宋体" w:cs="Times New Roman" w:hAnsi="Times New Roman" w:hint="eastAsia"/>
                <w:color w:val="auto"/>
                <w:kern w:val="2"/>
                <w:sz w:val="24"/>
                <w:szCs w:val="24"/>
                <w:vertAlign w:val="superscript"/>
                <w:lang w:val="en-US" w:eastAsia="zh-CN" w:bidi="ar-SA"/>
              </w:rPr>
              <w:t>3</w:t>
            </w:r>
            <w:r>
              <w:rPr>
                <w:rFonts w:ascii="Times New Roman" w:eastAsia="宋体" w:cs="Times New Roman" w:hAnsi="Times New Roman" w:hint="eastAsia"/>
                <w:color w:val="auto"/>
                <w:kern w:val="2"/>
                <w:sz w:val="24"/>
                <w:szCs w:val="24"/>
                <w:lang w:val="en-US" w:eastAsia="zh-CN" w:bidi="ar-SA"/>
              </w:rPr>
              <w:t>/d、元氏县境内污水量约为0.47万m</w:t>
            </w:r>
            <w:r>
              <w:rPr>
                <w:rFonts w:ascii="Times New Roman" w:eastAsia="宋体" w:cs="Times New Roman" w:hAnsi="Times New Roman" w:hint="eastAsia"/>
                <w:color w:val="auto"/>
                <w:kern w:val="2"/>
                <w:sz w:val="24"/>
                <w:szCs w:val="24"/>
                <w:vertAlign w:val="superscript"/>
                <w:lang w:val="en-US" w:eastAsia="zh-CN" w:bidi="ar-SA"/>
              </w:rPr>
              <w:t>3</w:t>
            </w:r>
            <w:r>
              <w:rPr>
                <w:rFonts w:ascii="Times New Roman" w:eastAsia="宋体" w:cs="Times New Roman" w:hAnsi="Times New Roman" w:hint="eastAsia"/>
                <w:color w:val="auto"/>
                <w:kern w:val="2"/>
                <w:sz w:val="24"/>
                <w:szCs w:val="24"/>
                <w:lang w:val="en-US" w:eastAsia="zh-CN" w:bidi="ar-SA"/>
              </w:rPr>
              <w:t>/d。规划保留洨河西污水处理厂和城区污水处理厂，并在城区污水处理厂内增加提标处理工艺设施。</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Chars="200" w:firstLine="480"/>
              <w:jc w:val="both"/>
              <w:textAlignment w:val="auto"/>
              <w:rPr>
                <w:rFonts w:ascii="Times New Roman" w:eastAsia="宋体" w:cs="Times New Roman" w:hAnsi="Times New Roman" w:hint="eastAsia"/>
                <w:color w:val="auto"/>
                <w:kern w:val="2"/>
                <w:sz w:val="24"/>
                <w:szCs w:val="24"/>
                <w:lang w:val="en-US" w:eastAsia="zh-CN" w:bidi="ar-SA"/>
              </w:rPr>
            </w:pPr>
            <w:r>
              <w:rPr>
                <w:rFonts w:ascii="Times New Roman" w:eastAsia="宋体" w:cs="Times New Roman" w:hAnsi="Times New Roman" w:hint="eastAsia"/>
                <w:color w:val="auto"/>
                <w:kern w:val="2"/>
                <w:sz w:val="24"/>
                <w:szCs w:val="24"/>
                <w:lang w:val="en-US" w:eastAsia="zh-CN" w:bidi="ar-SA"/>
              </w:rPr>
              <w:t>洨河西污水处理厂收水范围为西部工业组团栾城区境内，城区污水处理厂收水范围为东部工业组团，西部工业组团元氏县境内污水排至元氏县槐东污水厂。</w:t>
            </w:r>
          </w:p>
          <w:p>
            <w:pPr>
              <w:keepNext w:val="0"/>
              <w:keepLines w:val="0"/>
              <w:pageBreakBefore w:val="0"/>
              <w:widowControl w:val="0"/>
              <w:kinsoku/>
              <w:wordWrap/>
              <w:overflowPunct/>
              <w:topLinePunct w:val="0"/>
              <w:autoSpaceDE/>
              <w:autoSpaceDN/>
              <w:bidi w:val="0"/>
              <w:adjustRightInd/>
              <w:snapToGrid w:val="0"/>
              <w:spacing w:after="0" w:line="360" w:lineRule="auto"/>
              <w:ind w:firstLineChars="200" w:firstLine="480"/>
              <w:jc w:val="both"/>
              <w:textAlignment w:val="baseline"/>
              <w:rPr>
                <w:rFonts w:ascii="Times New Roman" w:eastAsia="宋体" w:cs="Times New Roman" w:hAnsi="Times New Roman" w:hint="eastAsia"/>
                <w:color w:val="auto"/>
                <w:kern w:val="2"/>
                <w:sz w:val="24"/>
                <w:szCs w:val="24"/>
                <w:lang w:val="en-US" w:eastAsia="zh-CN" w:bidi="ar-SA"/>
              </w:rPr>
            </w:pPr>
            <w:r>
              <w:rPr>
                <w:rFonts w:ascii="Times New Roman" w:eastAsia="宋体" w:cs="Times New Roman" w:hAnsi="Times New Roman" w:hint="eastAsia"/>
                <w:color w:val="auto"/>
                <w:kern w:val="2"/>
                <w:sz w:val="24"/>
                <w:szCs w:val="24"/>
                <w:lang w:val="en-US" w:eastAsia="zh-CN" w:bidi="ar-SA"/>
              </w:rPr>
              <w:t>2020年，石家庄市栾城区住房和城乡建设局投资</w:t>
            </w:r>
            <w:r>
              <w:rPr>
                <w:rFonts w:ascii="Times New Roman" w:eastAsia="宋体" w:cs="Times New Roman" w:hAnsi="Times New Roman"/>
                <w:color w:val="auto"/>
                <w:kern w:val="2"/>
                <w:sz w:val="24"/>
                <w:szCs w:val="24"/>
                <w:lang w:val="en-US" w:eastAsia="zh-CN" w:bidi="ar-SA"/>
              </w:rPr>
              <w:t>15142</w:t>
            </w:r>
            <w:r>
              <w:rPr>
                <w:rFonts w:ascii="Times New Roman" w:eastAsia="宋体" w:cs="Times New Roman" w:hAnsi="Times New Roman" w:hint="eastAsia"/>
                <w:color w:val="auto"/>
                <w:kern w:val="2"/>
                <w:sz w:val="24"/>
                <w:szCs w:val="24"/>
                <w:lang w:val="en-US" w:eastAsia="zh-CN" w:bidi="ar-SA"/>
              </w:rPr>
              <w:t>万元，在石家庄市栾城区灵达路以南，建延路以北，化工大街以东，化工东街以西（</w:t>
            </w:r>
            <w:r>
              <w:rPr>
                <w:rFonts w:ascii="Times New Roman" w:eastAsia="宋体" w:cs="Times New Roman" w:hAnsi="Times New Roman" w:hint="eastAsia"/>
                <w:b w:val="0"/>
                <w:bCs w:val="0"/>
                <w:color w:val="auto"/>
                <w:kern w:val="0"/>
                <w:sz w:val="24"/>
                <w:szCs w:val="24"/>
                <w:lang w:val="en-US" w:eastAsia="zh-CN"/>
              </w:rPr>
              <w:t>产业转型升级示范区（栾城片区）内</w:t>
            </w:r>
            <w:r>
              <w:rPr>
                <w:rFonts w:ascii="Times New Roman" w:eastAsia="宋体" w:cs="Times New Roman" w:hAnsi="Times New Roman" w:hint="eastAsia"/>
                <w:color w:val="auto"/>
                <w:kern w:val="2"/>
                <w:sz w:val="24"/>
                <w:szCs w:val="24"/>
                <w:lang w:val="en-US" w:eastAsia="zh-CN" w:bidi="ar-SA"/>
              </w:rPr>
              <w:t>），建设石家庄市栾城区绿源污水处理厂扩容提标项目</w:t>
            </w:r>
            <w:r>
              <w:rPr>
                <w:rFonts w:ascii="宋体" w:eastAsia="宋体" w:cs="Times New Roman" w:hAnsi="宋体" w:hint="eastAsia"/>
                <w:color w:val="auto"/>
                <w:kern w:val="2"/>
                <w:sz w:val="24"/>
                <w:szCs w:val="24"/>
                <w:lang w:val="en-US" w:eastAsia="zh-CN" w:bidi="ar-SA"/>
              </w:rPr>
              <w:t>（</w:t>
            </w:r>
            <w:r>
              <w:rPr>
                <w:rFonts w:ascii="Times New Roman" w:eastAsia="宋体" w:cs="Times New Roman" w:hAnsi="Times New Roman" w:hint="eastAsia"/>
                <w:color w:val="auto"/>
                <w:kern w:val="2"/>
                <w:sz w:val="24"/>
                <w:szCs w:val="24"/>
                <w:lang w:val="en-US" w:eastAsia="zh-CN" w:bidi="ar-SA"/>
              </w:rPr>
              <w:t>新厂</w:t>
            </w:r>
            <w:r>
              <w:rPr>
                <w:rFonts w:ascii="宋体" w:eastAsia="宋体" w:cs="Times New Roman" w:hAnsi="宋体" w:hint="eastAsia"/>
                <w:color w:val="auto"/>
                <w:kern w:val="2"/>
                <w:sz w:val="24"/>
                <w:szCs w:val="24"/>
                <w:lang w:val="en-US" w:eastAsia="zh-CN" w:bidi="ar-SA"/>
              </w:rPr>
              <w:t>）</w:t>
            </w:r>
            <w:r>
              <w:rPr>
                <w:rFonts w:ascii="Times New Roman" w:eastAsia="宋体" w:cs="Times New Roman" w:hAnsi="Times New Roman" w:hint="eastAsia"/>
                <w:color w:val="auto"/>
                <w:kern w:val="2"/>
                <w:sz w:val="24"/>
                <w:szCs w:val="24"/>
                <w:lang w:val="en-US" w:eastAsia="zh-CN" w:bidi="ar-SA"/>
              </w:rPr>
              <w:t>，由石家庄装备制造基地绿源污水处理有限公司运维，迁建后的石家庄市栾城区绿源污水处理厂项目设计规模</w:t>
            </w:r>
            <w:r>
              <w:rPr>
                <w:rFonts w:ascii="Times New Roman" w:eastAsia="宋体" w:cs="Times New Roman" w:hAnsi="Times New Roman"/>
                <w:color w:val="auto"/>
                <w:kern w:val="2"/>
                <w:sz w:val="24"/>
                <w:szCs w:val="24"/>
                <w:lang w:val="en-US" w:eastAsia="zh-CN" w:bidi="ar-SA"/>
              </w:rPr>
              <w:t>3</w:t>
            </w:r>
            <w:r>
              <w:rPr>
                <w:rFonts w:ascii="Times New Roman" w:eastAsia="宋体" w:cs="Times New Roman" w:hAnsi="Times New Roman" w:hint="eastAsia"/>
                <w:color w:val="auto"/>
                <w:kern w:val="2"/>
                <w:sz w:val="24"/>
                <w:szCs w:val="24"/>
                <w:lang w:val="en-US" w:eastAsia="zh-CN" w:bidi="ar-SA"/>
              </w:rPr>
              <w:t>万</w:t>
            </w:r>
            <w:r>
              <w:rPr>
                <w:rFonts w:ascii="Times New Roman" w:eastAsia="宋体" w:cs="Times New Roman" w:hAnsi="Times New Roman"/>
                <w:color w:val="auto"/>
                <w:kern w:val="2"/>
                <w:sz w:val="24"/>
                <w:szCs w:val="24"/>
                <w:lang w:val="en-US" w:eastAsia="zh-CN" w:bidi="ar-SA"/>
              </w:rPr>
              <w:t>m</w:t>
            </w:r>
            <w:r>
              <w:rPr>
                <w:rFonts w:ascii="Times New Roman" w:eastAsia="宋体" w:cs="Times New Roman" w:hAnsi="Times New Roman"/>
                <w:color w:val="auto"/>
                <w:kern w:val="2"/>
                <w:sz w:val="24"/>
                <w:szCs w:val="24"/>
                <w:vertAlign w:val="superscript"/>
                <w:lang w:val="en-US" w:eastAsia="zh-CN" w:bidi="ar-SA"/>
              </w:rPr>
              <w:t>3</w:t>
            </w:r>
            <w:r>
              <w:rPr>
                <w:rFonts w:ascii="Times New Roman" w:eastAsia="宋体" w:cs="Times New Roman" w:hAnsi="Times New Roman"/>
                <w:color w:val="auto"/>
                <w:kern w:val="2"/>
                <w:sz w:val="24"/>
                <w:szCs w:val="24"/>
                <w:lang w:val="en-US" w:eastAsia="zh-CN" w:bidi="ar-SA"/>
              </w:rPr>
              <w:t>/d</w:t>
            </w:r>
            <w:r>
              <w:rPr>
                <w:rFonts w:ascii="Times New Roman" w:eastAsia="宋体" w:cs="Times New Roman" w:hAnsi="Times New Roman" w:hint="eastAsia"/>
                <w:color w:val="auto"/>
                <w:kern w:val="2"/>
                <w:sz w:val="24"/>
                <w:szCs w:val="24"/>
                <w:lang w:val="en-US" w:eastAsia="zh-CN" w:bidi="ar-SA"/>
              </w:rPr>
              <w:t>，分期实施，近期规模</w:t>
            </w:r>
            <w:r>
              <w:rPr>
                <w:rFonts w:ascii="Times New Roman" w:eastAsia="宋体" w:cs="Times New Roman" w:hAnsi="Times New Roman"/>
                <w:color w:val="auto"/>
                <w:kern w:val="2"/>
                <w:sz w:val="24"/>
                <w:szCs w:val="24"/>
                <w:lang w:val="en-US" w:eastAsia="zh-CN" w:bidi="ar-SA"/>
              </w:rPr>
              <w:t>1.5</w:t>
            </w:r>
            <w:r>
              <w:rPr>
                <w:rFonts w:ascii="Times New Roman" w:eastAsia="宋体" w:cs="Times New Roman" w:hAnsi="Times New Roman" w:hint="eastAsia"/>
                <w:color w:val="auto"/>
                <w:kern w:val="2"/>
                <w:sz w:val="24"/>
                <w:szCs w:val="24"/>
                <w:lang w:val="en-US" w:eastAsia="zh-CN" w:bidi="ar-SA"/>
              </w:rPr>
              <w:t>万</w:t>
            </w:r>
            <w:r>
              <w:rPr>
                <w:rFonts w:ascii="Times New Roman" w:eastAsia="宋体" w:cs="Times New Roman" w:hAnsi="Times New Roman"/>
                <w:color w:val="auto"/>
                <w:kern w:val="2"/>
                <w:sz w:val="24"/>
                <w:szCs w:val="24"/>
                <w:lang w:val="en-US" w:eastAsia="zh-CN" w:bidi="ar-SA"/>
              </w:rPr>
              <w:t>m</w:t>
            </w:r>
            <w:r>
              <w:rPr>
                <w:rFonts w:ascii="Times New Roman" w:eastAsia="宋体" w:cs="Times New Roman" w:hAnsi="Times New Roman"/>
                <w:color w:val="auto"/>
                <w:kern w:val="2"/>
                <w:sz w:val="24"/>
                <w:szCs w:val="24"/>
                <w:vertAlign w:val="superscript"/>
                <w:lang w:val="en-US" w:eastAsia="zh-CN" w:bidi="ar-SA"/>
              </w:rPr>
              <w:t>3</w:t>
            </w:r>
            <w:r>
              <w:rPr>
                <w:rFonts w:ascii="Times New Roman" w:eastAsia="宋体" w:cs="Times New Roman" w:hAnsi="Times New Roman"/>
                <w:color w:val="auto"/>
                <w:kern w:val="2"/>
                <w:sz w:val="24"/>
                <w:szCs w:val="24"/>
                <w:lang w:val="en-US" w:eastAsia="zh-CN" w:bidi="ar-SA"/>
              </w:rPr>
              <w:t>/d</w:t>
            </w:r>
            <w:r>
              <w:rPr>
                <w:rFonts w:ascii="Times New Roman" w:eastAsia="宋体" w:cs="Times New Roman" w:hAnsi="Times New Roman" w:hint="eastAsia"/>
                <w:color w:val="auto"/>
                <w:kern w:val="2"/>
                <w:sz w:val="24"/>
                <w:szCs w:val="24"/>
                <w:lang w:val="en-US" w:eastAsia="zh-CN" w:bidi="ar-SA"/>
              </w:rPr>
              <w:t>，远期达到总规模</w:t>
            </w:r>
            <w:r>
              <w:rPr>
                <w:rFonts w:ascii="Times New Roman" w:eastAsia="宋体" w:cs="Times New Roman" w:hAnsi="Times New Roman"/>
                <w:color w:val="auto"/>
                <w:kern w:val="2"/>
                <w:sz w:val="24"/>
                <w:szCs w:val="24"/>
                <w:lang w:val="en-US" w:eastAsia="zh-CN" w:bidi="ar-SA"/>
              </w:rPr>
              <w:t>3.0</w:t>
            </w:r>
            <w:r>
              <w:rPr>
                <w:rFonts w:ascii="Times New Roman" w:eastAsia="宋体" w:cs="Times New Roman" w:hAnsi="Times New Roman" w:hint="eastAsia"/>
                <w:color w:val="auto"/>
                <w:kern w:val="2"/>
                <w:sz w:val="24"/>
                <w:szCs w:val="24"/>
                <w:lang w:val="en-US" w:eastAsia="zh-CN" w:bidi="ar-SA"/>
              </w:rPr>
              <w:t>万</w:t>
            </w:r>
            <w:r>
              <w:rPr>
                <w:rFonts w:ascii="Times New Roman" w:eastAsia="宋体" w:cs="Times New Roman" w:hAnsi="Times New Roman"/>
                <w:color w:val="auto"/>
                <w:kern w:val="2"/>
                <w:sz w:val="24"/>
                <w:szCs w:val="24"/>
                <w:lang w:val="en-US" w:eastAsia="zh-CN" w:bidi="ar-SA"/>
              </w:rPr>
              <w:t>m</w:t>
            </w:r>
            <w:r>
              <w:rPr>
                <w:rFonts w:ascii="Times New Roman" w:eastAsia="宋体" w:cs="Times New Roman" w:hAnsi="Times New Roman" w:hint="eastAsia"/>
                <w:color w:val="auto"/>
                <w:kern w:val="2"/>
                <w:sz w:val="24"/>
                <w:szCs w:val="24"/>
                <w:vertAlign w:val="superscript"/>
                <w:lang w:val="en-US" w:eastAsia="zh-CN" w:bidi="ar-SA"/>
              </w:rPr>
              <w:t>3</w:t>
            </w:r>
            <w:r>
              <w:rPr>
                <w:rFonts w:ascii="Times New Roman" w:eastAsia="宋体" w:cs="Times New Roman" w:hAnsi="Times New Roman"/>
                <w:color w:val="auto"/>
                <w:kern w:val="2"/>
                <w:sz w:val="24"/>
                <w:szCs w:val="24"/>
                <w:lang w:val="en-US" w:eastAsia="zh-CN" w:bidi="ar-SA"/>
              </w:rPr>
              <w:t>/d</w:t>
            </w:r>
            <w:r>
              <w:rPr>
                <w:rFonts w:ascii="Times New Roman" w:eastAsia="宋体" w:cs="Times New Roman" w:hAnsi="Times New Roman" w:hint="eastAsia"/>
                <w:color w:val="auto"/>
                <w:kern w:val="2"/>
                <w:sz w:val="24"/>
                <w:szCs w:val="24"/>
                <w:lang w:val="en-US" w:eastAsia="zh-CN" w:bidi="ar-SA"/>
              </w:rPr>
              <w:t>，占地面积</w:t>
            </w:r>
            <w:r>
              <w:rPr>
                <w:rFonts w:ascii="Times New Roman" w:eastAsia="宋体" w:cs="Times New Roman" w:hAnsi="Times New Roman"/>
                <w:color w:val="auto"/>
                <w:kern w:val="2"/>
                <w:sz w:val="24"/>
                <w:szCs w:val="24"/>
                <w:lang w:val="en-US" w:eastAsia="zh-CN" w:bidi="ar-SA"/>
              </w:rPr>
              <w:t>54.243</w:t>
            </w:r>
            <w:r>
              <w:rPr>
                <w:rFonts w:ascii="Times New Roman" w:eastAsia="宋体" w:cs="Times New Roman" w:hAnsi="Times New Roman" w:hint="eastAsia"/>
                <w:color w:val="auto"/>
                <w:kern w:val="2"/>
                <w:sz w:val="24"/>
                <w:szCs w:val="24"/>
                <w:lang w:val="en-US" w:eastAsia="zh-CN" w:bidi="ar-SA"/>
              </w:rPr>
              <w:t>亩</w:t>
            </w:r>
            <w:r>
              <w:rPr>
                <w:rFonts w:ascii="宋体" w:eastAsia="宋体" w:cs="Times New Roman" w:hAnsi="宋体" w:hint="eastAsia"/>
                <w:color w:val="auto"/>
                <w:kern w:val="2"/>
                <w:sz w:val="24"/>
                <w:szCs w:val="24"/>
                <w:lang w:val="en-US" w:eastAsia="zh-CN" w:bidi="ar-SA"/>
              </w:rPr>
              <w:t>（</w:t>
            </w:r>
            <w:r>
              <w:rPr>
                <w:rFonts w:ascii="Times New Roman" w:eastAsia="宋体" w:cs="Times New Roman" w:hAnsi="Times New Roman"/>
                <w:color w:val="auto"/>
                <w:kern w:val="2"/>
                <w:sz w:val="24"/>
                <w:szCs w:val="24"/>
                <w:lang w:val="en-US" w:eastAsia="zh-CN" w:bidi="ar-SA"/>
              </w:rPr>
              <w:t>3.6162</w:t>
            </w:r>
            <w:r>
              <w:rPr>
                <w:rFonts w:ascii="Times New Roman" w:eastAsia="宋体" w:cs="Times New Roman" w:hAnsi="Times New Roman" w:hint="eastAsia"/>
                <w:color w:val="auto"/>
                <w:kern w:val="2"/>
                <w:sz w:val="24"/>
                <w:szCs w:val="24"/>
                <w:lang w:val="en-US" w:eastAsia="zh-CN" w:bidi="ar-SA"/>
              </w:rPr>
              <w:t>公顷</w:t>
            </w:r>
            <w:r>
              <w:rPr>
                <w:rFonts w:ascii="宋体" w:eastAsia="宋体" w:cs="Times New Roman" w:hAnsi="宋体" w:hint="eastAsia"/>
                <w:color w:val="auto"/>
                <w:kern w:val="2"/>
                <w:sz w:val="24"/>
                <w:szCs w:val="24"/>
                <w:lang w:val="en-US" w:eastAsia="zh-CN" w:bidi="ar-SA"/>
              </w:rPr>
              <w:t>）</w:t>
            </w:r>
            <w:r>
              <w:rPr>
                <w:rFonts w:ascii="Times New Roman" w:eastAsia="宋体" w:cs="Times New Roman" w:hAnsi="Times New Roman" w:hint="eastAsia"/>
                <w:color w:val="auto"/>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jc w:val="both"/>
              <w:textAlignment w:val="auto"/>
              <w:rPr>
                <w:rFonts w:hint="eastAsia"/>
                <w:color w:val="auto"/>
                <w:lang w:val="en-US" w:eastAsia="zh-CN"/>
              </w:rPr>
            </w:pPr>
            <w:r>
              <w:rPr>
                <w:rFonts w:hint="eastAsia"/>
                <w:color w:val="auto"/>
                <w:lang w:val="en-US" w:eastAsia="zh-CN"/>
              </w:rPr>
              <w:t>项目分期实施一期建设内容为土建全部工程（3万m</w:t>
            </w:r>
            <w:r>
              <w:rPr>
                <w:rFonts w:hint="eastAsia"/>
                <w:color w:val="auto"/>
                <w:vertAlign w:val="superscript"/>
                <w:lang w:val="en-US" w:eastAsia="zh-CN"/>
              </w:rPr>
              <w:t>3</w:t>
            </w:r>
            <w:r>
              <w:rPr>
                <w:rFonts w:hint="eastAsia"/>
                <w:color w:val="auto"/>
                <w:lang w:val="en-US" w:eastAsia="zh-CN"/>
              </w:rPr>
              <w:t>/d规模）、全部预处理系统（3万m</w:t>
            </w:r>
            <w:r>
              <w:rPr>
                <w:rFonts w:hint="eastAsia"/>
                <w:color w:val="auto"/>
                <w:vertAlign w:val="superscript"/>
                <w:lang w:val="en-US" w:eastAsia="zh-CN"/>
              </w:rPr>
              <w:t>3</w:t>
            </w:r>
            <w:r>
              <w:rPr>
                <w:rFonts w:hint="eastAsia"/>
                <w:color w:val="auto"/>
                <w:lang w:val="en-US" w:eastAsia="zh-CN"/>
              </w:rPr>
              <w:t>/d规模）的设备安装、一期其他系统配套设备（1.5万m</w:t>
            </w:r>
            <w:r>
              <w:rPr>
                <w:rFonts w:hint="eastAsia"/>
                <w:color w:val="auto"/>
                <w:vertAlign w:val="superscript"/>
                <w:lang w:val="en-US" w:eastAsia="zh-CN"/>
              </w:rPr>
              <w:t>3</w:t>
            </w:r>
            <w:r>
              <w:rPr>
                <w:rFonts w:hint="eastAsia"/>
                <w:color w:val="auto"/>
                <w:lang w:val="en-US" w:eastAsia="zh-CN"/>
              </w:rPr>
              <w:t>/d规模）安装，并配套建设进厂污水管道及尾水排放管道合计1.41km；二期仅配套安装除预处理系统外的其他工程设备（1.5万m</w:t>
            </w:r>
            <w:r>
              <w:rPr>
                <w:rFonts w:hint="eastAsia"/>
                <w:color w:val="auto"/>
                <w:vertAlign w:val="superscript"/>
                <w:lang w:val="en-US" w:eastAsia="zh-CN"/>
              </w:rPr>
              <w:t>3</w:t>
            </w:r>
            <w:r>
              <w:rPr>
                <w:rFonts w:hint="eastAsia"/>
                <w:color w:val="auto"/>
                <w:lang w:val="en-US" w:eastAsia="zh-CN"/>
              </w:rPr>
              <w:t>/d规模）。污水处理工艺采用“粗格栅-提升泵房-细格栅-旋流沉砂池-膜格栅-调节池-水解酸化池-A2O 生化池-二沉池-MBR 池-臭氧接触池-中水储池及接触消毒”工艺，出水水质达到相应标准要求后，部分回用于厂区内部使用，其余排入洨河。</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highlight w:val="none"/>
              </w:rPr>
            </w:pPr>
            <w:r>
              <w:rPr>
                <w:rFonts w:hint="eastAsia"/>
                <w:color w:val="auto"/>
                <w:lang w:val="en-US" w:eastAsia="zh-CN"/>
                <w:highlight w:val="none"/>
              </w:rPr>
              <w:t>本项目不新增用水。全厂废水主要为员工生活污水和食堂废水，食堂废水经隔油池处理后与生活污水一起排入厂区化粪池进行预处理，而后经污水管网排入石家庄市栾城区污水处理厂处理。</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（3）供电工程规划</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园区电力由中节能垃圾焚烧发电厂、冀粤垃圾焚烧发电厂、宏源热电厂、裕华热电厂联合供给。</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园区电压等级根据国家标准电压等级和上级电网情况，规划为220kV/110kV/10KV/0.4kV的三级电网。</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以220kV、110kV作为园区的送电电压，中压配电电压为10kV，低压配电电压为 0.4kV（220/380V）。</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规划保留园区范围内220kV龙岗站、110kV栾城站、110kV窦妪站、110kV苏邱站4座变电站，并新建220kV变电站一座、110kV变电站4座。</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highlight w:val="none"/>
              </w:rPr>
              <w:t>本项目用电由园区供电设施提供，能够满足项目用电需求。</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（4）供热工程规划</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规划远期集中供热总热负荷为1100.01MW，其中栾城区境内采暖热负荷为1047.60MW、元氏县境内采暖热负荷为52.41MW。</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规划园区采用集中供热，热源为中节能垃圾焚烧发电厂、宏源热电厂、冀粤垃圾焚烧发电厂、神威热力中心、裕华热电厂及规划新建栾城西中继能源站。</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hint="eastAsia"/>
                <w:color w:val="auto"/>
                <w:lang w:val="en-US" w:eastAsia="zh-CN"/>
              </w:rPr>
              <w:t>规划中节能垃圾焚烧发电厂供热规模扩建至400t/h，宏源热电厂、冀粤垃圾焚烧发电厂、神威热力中心、裕华热电厂供热规模维持现状，新建栾城西中继能源站。</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color w:val="auto"/>
                <w:lang w:val="en-US" w:eastAsia="zh-CN"/>
                <w:highlight w:val="none"/>
              </w:rPr>
            </w:pPr>
            <w:r>
              <w:rPr>
                <w:rFonts w:hint="eastAsia"/>
                <w:color w:val="auto"/>
                <w:lang w:val="en-US" w:eastAsia="zh-CN"/>
                <w:highlight w:val="none"/>
              </w:rPr>
              <w:t>企业生产过程用热为天然气燃烧，本项目不新增天然气用量。</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highlight w:val="none"/>
              </w:rPr>
            </w:pPr>
            <w:r>
              <w:rPr>
                <w:rFonts w:hint="eastAsia"/>
                <w:color w:val="auto"/>
                <w:lang w:val="en-US" w:eastAsia="zh-CN"/>
                <w:highlight w:val="none"/>
              </w:rPr>
              <w:t>（5）燃气工程规划</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highlight w:val="none"/>
              </w:rPr>
            </w:pPr>
            <w:r>
              <w:rPr>
                <w:rFonts w:hint="eastAsia"/>
                <w:color w:val="auto"/>
                <w:lang w:val="en-US" w:eastAsia="zh-CN"/>
                <w:highlight w:val="none"/>
              </w:rPr>
              <w:t>规划以天然气为主要气源，管道天然气采用京石邯长输管道为气源。栾城区境内接入点为西营门站，元氏县境内接入点为城东门站。</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highlight w:val="none"/>
              </w:rPr>
            </w:pPr>
            <w:r>
              <w:rPr>
                <w:rFonts w:hint="eastAsia"/>
                <w:color w:val="auto"/>
                <w:lang w:val="en-US" w:eastAsia="zh-CN"/>
                <w:highlight w:val="none"/>
              </w:rPr>
              <w:t>园区规划远期天然气新增用量为3578.89万m3/年，其中栾城区境内天然气用量为3350.49万m3/年、元氏县境内天然气用量为228.41万m3/年。</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highlight w:val="none"/>
              </w:rPr>
            </w:pPr>
            <w:r>
              <w:rPr>
                <w:rFonts w:hint="eastAsia"/>
                <w:color w:val="auto"/>
                <w:lang w:val="en-US" w:eastAsia="zh-CN"/>
                <w:highlight w:val="none"/>
              </w:rPr>
              <w:t>园区天然气管网采用中压一级管网系统，工作压力0.4Mpa，由京石邯天然气长输管线供应，经调压站调压至用户。燃气管网采用环形管网，保证燃气的供气安全，管径为150-250mm。</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highlight w:val="yellow"/>
              </w:rPr>
            </w:pPr>
            <w:r>
              <w:rPr>
                <w:rFonts w:hint="eastAsia"/>
                <w:color w:val="auto"/>
                <w:lang w:val="en-US" w:eastAsia="zh-CN"/>
                <w:highlight w:val="none"/>
              </w:rPr>
              <w:t>本次技改不新增天然气用量，企业现有生产烘干工序需用到天然气，天然气使用量为30万m</w:t>
            </w:r>
            <w:r>
              <w:rPr>
                <w:rFonts w:hint="eastAsia"/>
                <w:color w:val="auto"/>
                <w:vertAlign w:val="superscript"/>
                <w:lang w:val="en-US" w:eastAsia="zh-CN"/>
                <w:highlight w:val="none"/>
              </w:rPr>
              <w:t>3</w:t>
            </w:r>
            <w:r>
              <w:rPr>
                <w:rFonts w:hint="eastAsia"/>
                <w:color w:val="auto"/>
                <w:lang w:val="en-US" w:eastAsia="zh-CN"/>
                <w:highlight w:val="none"/>
              </w:rPr>
              <w:t>/a，由石家庄新奥中泓天然气公司提供。</w:t>
            </w:r>
          </w:p>
          <w:p>
            <w:pPr>
              <w:keepNext w:val="0"/>
              <w:keepLines w:val="0"/>
              <w:pageBreakBefore w:val="0"/>
              <w:widowControl w:val="0"/>
              <w:kinsoku/>
              <w:wordWrap/>
              <w:overflowPunct/>
              <w:topLinePunct w:val="0"/>
              <w:autoSpaceDE/>
              <w:autoSpaceDN/>
              <w:bidi w:val="0"/>
              <w:adjustRightInd/>
              <w:snapToGrid/>
              <w:ind w:left="0" w:firstLineChars="0" w:firstLine="0"/>
              <w:jc w:val="both"/>
              <w:textAlignment w:val="auto"/>
              <w:rPr>
                <w:rFonts w:hint="eastAsia"/>
                <w:color w:val="auto"/>
                <w:lang w:val="en-US" w:eastAsia="zh-CN"/>
              </w:rPr>
            </w:pPr>
            <w:r>
              <w:rPr>
                <w:rFonts w:hint="eastAsia"/>
                <w:color w:val="auto"/>
                <w:lang w:val="en-US" w:eastAsia="zh-CN"/>
              </w:rPr>
              <w:t>3、项目与规划环境影响评价结论符合性分析</w:t>
            </w:r>
          </w:p>
          <w:p>
            <w:pPr>
              <w:keepNext w:val="0"/>
              <w:keepLines w:val="0"/>
              <w:pageBreakBefore w:val="0"/>
              <w:widowControl w:val="0"/>
              <w:kinsoku/>
              <w:wordWrap/>
              <w:overflowPunct/>
              <w:topLinePunct w:val="0"/>
              <w:autoSpaceDE/>
              <w:autoSpaceDN/>
              <w:bidi w:val="0"/>
              <w:adjustRightInd/>
              <w:snapToGrid/>
              <w:ind w:left="0" w:firstLineChars="0" w:firstLine="0"/>
              <w:jc w:val="center"/>
              <w:textAlignment w:val="auto"/>
              <w:rPr>
                <w:rFonts w:hint="eastAsia"/>
                <w:color w:val="auto"/>
                <w:lang w:val="en-US" w:eastAsia="zh-CN"/>
              </w:rPr>
            </w:pPr>
            <w:r>
              <w:rPr>
                <w:rFonts w:ascii="Times New Roman" w:eastAsia="宋体" w:cs="Times New Roman" w:hAnsi="Times New Roman" w:hint="eastAsia"/>
                <w:b/>
                <w:color w:val="auto"/>
                <w:kern w:val="2"/>
                <w:sz w:val="24"/>
                <w:szCs w:val="21"/>
                <w:lang w:val="en-US" w:eastAsia="zh-CN" w:bidi="ar-SA"/>
              </w:rPr>
              <w:t>表1-1 项目与装备制造产业园总体规划环评评价结论符合性分析</w:t>
            </w:r>
          </w:p>
          <w:tbl>
            <w:tblPr>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333"/>
              <w:gridCol w:w="4237"/>
              <w:gridCol w:w="1849"/>
              <w:gridCol w:w="426"/>
            </w:tblGrid>
            <w:tr>
              <w:trPr>
                <w:trHeight w:val="556"/>
              </w:trPr>
              <w:tc>
                <w:tcPr>
                  <w:tcW w:w="333" w:type="dxa"/>
                  <w:vAlign w:val="center"/>
                </w:tcPr>
                <w:p>
                  <w:pPr>
                    <w:pStyle w:val="39"/>
                    <w:rPr>
                      <w:rFonts w:eastAsia="宋体" w:hint="eastAsia"/>
                      <w:color w:val="auto"/>
                      <w:lang w:eastAsia="zh-CN"/>
                    </w:rPr>
                  </w:pPr>
                  <w:r>
                    <w:rPr>
                      <w:rFonts w:hint="eastAsia"/>
                      <w:color w:val="auto"/>
                      <w:lang w:val="en-US" w:eastAsia="zh-CN"/>
                    </w:rPr>
                    <w:t>序号</w:t>
                  </w:r>
                </w:p>
              </w:tc>
              <w:tc>
                <w:tcPr>
                  <w:tcW w:w="4237" w:type="dxa"/>
                  <w:vAlign w:val="center"/>
                </w:tcPr>
                <w:p>
                  <w:pPr>
                    <w:pStyle w:val="39"/>
                    <w:rPr>
                      <w:color w:val="auto"/>
                    </w:rPr>
                  </w:pPr>
                  <w:r>
                    <w:rPr>
                      <w:rFonts w:hint="eastAsia"/>
                      <w:color w:val="auto"/>
                      <w:lang w:val="en-US" w:eastAsia="zh-CN"/>
                    </w:rPr>
                    <w:t>文件要求</w:t>
                  </w:r>
                </w:p>
              </w:tc>
              <w:tc>
                <w:tcPr>
                  <w:tcW w:w="1849" w:type="dxa"/>
                  <w:vAlign w:val="center"/>
                </w:tcPr>
                <w:p>
                  <w:pPr>
                    <w:pStyle w:val="39"/>
                    <w:rPr>
                      <w:color w:val="auto"/>
                    </w:rPr>
                  </w:pPr>
                  <w:r>
                    <w:rPr>
                      <w:rFonts w:hint="eastAsia"/>
                      <w:color w:val="auto"/>
                    </w:rPr>
                    <w:t>本项目情况</w:t>
                  </w:r>
                </w:p>
              </w:tc>
              <w:tc>
                <w:tcPr>
                  <w:tcW w:w="426" w:type="dxa"/>
                  <w:vAlign w:val="center"/>
                </w:tcPr>
                <w:p>
                  <w:pPr>
                    <w:pStyle w:val="39"/>
                    <w:rPr>
                      <w:rFonts w:eastAsia="宋体" w:hint="eastAsia"/>
                      <w:color w:val="auto"/>
                      <w:lang w:eastAsia="zh-CN"/>
                    </w:rPr>
                  </w:pPr>
                  <w:r>
                    <w:rPr>
                      <w:rFonts w:hint="eastAsia"/>
                      <w:color w:val="auto"/>
                      <w:lang w:val="en-US" w:eastAsia="zh-CN"/>
                    </w:rPr>
                    <w:t>结论</w:t>
                  </w:r>
                </w:p>
              </w:tc>
            </w:tr>
            <w:tr>
              <w:trPr>
                <w:trHeight w:val="556"/>
              </w:trPr>
              <w:tc>
                <w:tcPr>
                  <w:tcW w:w="333" w:type="dxa"/>
                  <w:vAlign w:val="center"/>
                </w:tcPr>
                <w:p>
                  <w:pPr>
                    <w:pStyle w:val="39"/>
                    <w:rPr>
                      <w:rFonts w:eastAsia="宋体" w:hint="eastAsia"/>
                      <w:color w:val="auto"/>
                      <w:lang w:val="en-US" w:eastAsia="zh-CN"/>
                    </w:rPr>
                  </w:pPr>
                  <w:r>
                    <w:rPr>
                      <w:rFonts w:hint="eastAsia"/>
                      <w:color w:val="auto"/>
                      <w:lang w:val="en-US" w:eastAsia="zh-CN"/>
                    </w:rPr>
                    <w:t>1</w:t>
                  </w:r>
                </w:p>
              </w:tc>
              <w:tc>
                <w:tcPr>
                  <w:tcW w:w="4237" w:type="dxa"/>
                  <w:tcBorders>
                    <w:left w:val="single" w:sz="2" w:space="0" w:color="000000"/>
                  </w:tcBorders>
                  <w:vAlign w:val="center"/>
                </w:tcPr>
                <w:p>
                  <w:pPr>
                    <w:pStyle w:val="39"/>
                    <w:jc w:val="both"/>
                    <w:rPr>
                      <w:color w:val="auto"/>
                    </w:rPr>
                  </w:pPr>
                  <w:r>
                    <w:rPr>
                      <w:rFonts w:hint="eastAsia"/>
                      <w:color w:val="auto"/>
                    </w:rPr>
                    <w:t>规划分析结论：阐述了规划期限、范围、园区性质、产业定位。</w:t>
                  </w:r>
                </w:p>
              </w:tc>
              <w:tc>
                <w:tcPr>
                  <w:tcW w:w="1849" w:type="dxa"/>
                  <w:vMerge w:val="restart"/>
                  <w:tcBorders>
                    <w:left w:val="single" w:sz="2" w:space="0" w:color="000000"/>
                  </w:tcBorders>
                  <w:vAlign w:val="center"/>
                </w:tcPr>
                <w:p>
                  <w:pPr>
                    <w:pStyle w:val="39"/>
                    <w:rPr>
                      <w:color w:val="auto"/>
                    </w:rPr>
                  </w:pPr>
                  <w:r>
                    <w:rPr>
                      <w:rFonts w:hint="eastAsia"/>
                      <w:color w:val="auto"/>
                      <w:lang w:val="en-US" w:eastAsia="zh-CN"/>
                      <w:highlight w:val="none"/>
                    </w:rPr>
                    <w:t>根据河北石家庄装备制造产业园管委会办公室出具的证明，项目选址区域为石家庄装备制造产业园规划范围，选址可行</w:t>
                  </w:r>
                  <w:r>
                    <w:rPr>
                      <w:rFonts w:hint="eastAsia"/>
                      <w:color w:val="auto"/>
                      <w:lang w:val="en-US" w:eastAsia="zh-CN"/>
                    </w:rPr>
                    <w:t>。</w:t>
                  </w:r>
                </w:p>
              </w:tc>
              <w:tc>
                <w:tcPr>
                  <w:tcW w:w="426" w:type="dxa"/>
                  <w:tcBorders>
                    <w:left w:val="single" w:sz="2" w:space="0" w:color="000000"/>
                  </w:tcBorders>
                  <w:vAlign w:val="center"/>
                </w:tcPr>
                <w:p>
                  <w:pPr>
                    <w:pStyle w:val="39"/>
                    <w:rPr>
                      <w:color w:val="auto"/>
                    </w:rPr>
                  </w:pPr>
                  <w:r>
                    <w:rPr>
                      <w:rFonts w:hint="eastAsia"/>
                      <w:color w:val="auto"/>
                    </w:rPr>
                    <w:t>符合</w:t>
                  </w:r>
                </w:p>
              </w:tc>
            </w:tr>
            <w:tr>
              <w:trPr>
                <w:trHeight w:val="319"/>
              </w:trPr>
              <w:tc>
                <w:tcPr>
                  <w:tcW w:w="333" w:type="dxa"/>
                  <w:vAlign w:val="center"/>
                </w:tcPr>
                <w:p>
                  <w:pPr>
                    <w:pStyle w:val="39"/>
                    <w:rPr>
                      <w:color w:val="auto"/>
                      <w:lang w:val="en-US" w:eastAsia="zh-CN"/>
                    </w:rPr>
                  </w:pPr>
                  <w:r>
                    <w:rPr>
                      <w:rFonts w:hint="eastAsia"/>
                      <w:color w:val="auto"/>
                      <w:lang w:val="en-US" w:eastAsia="zh-CN"/>
                    </w:rPr>
                    <w:t>2</w:t>
                  </w:r>
                </w:p>
              </w:tc>
              <w:tc>
                <w:tcPr>
                  <w:tcW w:w="4237" w:type="dxa"/>
                  <w:tcBorders>
                    <w:left w:val="single" w:sz="2" w:space="0" w:color="000000"/>
                  </w:tcBorders>
                  <w:vAlign w:val="center"/>
                </w:tcPr>
                <w:p>
                  <w:pPr>
                    <w:pStyle w:val="39"/>
                    <w:jc w:val="both"/>
                    <w:rPr>
                      <w:rFonts w:hint="eastAsia"/>
                      <w:color w:val="auto"/>
                    </w:rPr>
                  </w:pPr>
                  <w:r>
                    <w:rPr>
                      <w:rFonts w:hint="eastAsia"/>
                      <w:color w:val="auto"/>
                    </w:rPr>
                    <w:t>规划的协调性分析结论：通过与国家、省、市有关规划的分析，规划与国民经济发展规划、环保规划、行业规划等相关规划的要求基本一致。规划发展的产业定位与相关的产业政策和规划要求也一致或不冲突</w:t>
                  </w:r>
                </w:p>
              </w:tc>
              <w:tc>
                <w:tcPr>
                  <w:tcW w:w="1849" w:type="dxa"/>
                  <w:vMerge/>
                  <w:tcBorders>
                    <w:left w:val="single" w:sz="2" w:space="0" w:color="000000"/>
                  </w:tcBorders>
                  <w:vAlign w:val="center"/>
                </w:tcPr>
                <w:p/>
              </w:tc>
              <w:tc>
                <w:tcPr>
                  <w:tcW w:w="426" w:type="dxa"/>
                  <w:tcBorders>
                    <w:left w:val="single" w:sz="2" w:space="0" w:color="000000"/>
                  </w:tcBorders>
                  <w:vAlign w:val="center"/>
                </w:tcPr>
                <w:p>
                  <w:pPr>
                    <w:pStyle w:val="39"/>
                    <w:rPr>
                      <w:rFonts w:hint="eastAsia"/>
                      <w:color w:val="auto"/>
                    </w:rPr>
                  </w:pPr>
                  <w:r>
                    <w:rPr>
                      <w:rFonts w:hint="eastAsia"/>
                      <w:color w:val="auto"/>
                    </w:rPr>
                    <w:t>符合</w:t>
                  </w:r>
                </w:p>
              </w:tc>
            </w:tr>
            <w:tr>
              <w:trPr>
                <w:trHeight w:val="319"/>
              </w:trPr>
              <w:tc>
                <w:tcPr>
                  <w:tcW w:w="333" w:type="dxa"/>
                  <w:vAlign w:val="center"/>
                </w:tcPr>
                <w:p>
                  <w:pPr>
                    <w:pStyle w:val="39"/>
                    <w:rPr>
                      <w:color w:val="auto"/>
                      <w:lang w:val="en-US" w:eastAsia="zh-CN"/>
                    </w:rPr>
                  </w:pPr>
                  <w:r>
                    <w:rPr>
                      <w:rFonts w:hint="eastAsia"/>
                      <w:color w:val="auto"/>
                      <w:lang w:val="en-US" w:eastAsia="zh-CN"/>
                    </w:rPr>
                    <w:t>3</w:t>
                  </w:r>
                </w:p>
              </w:tc>
              <w:tc>
                <w:tcPr>
                  <w:tcW w:w="4237" w:type="dxa"/>
                  <w:tcBorders>
                    <w:left w:val="single" w:sz="2" w:space="0" w:color="000000"/>
                  </w:tcBorders>
                  <w:vAlign w:val="center"/>
                </w:tcPr>
                <w:p>
                  <w:pPr>
                    <w:pStyle w:val="39"/>
                    <w:jc w:val="both"/>
                    <w:rPr>
                      <w:rFonts w:hint="eastAsia"/>
                      <w:color w:val="auto"/>
                    </w:rPr>
                  </w:pPr>
                  <w:r>
                    <w:rPr>
                      <w:rFonts w:ascii="Times New Roman" w:eastAsia="宋体" w:cs="Times New Roman" w:hAnsi="Times New Roman"/>
                      <w:snapToGrid w:val="0"/>
                      <w:color w:val="auto"/>
                      <w:spacing w:val="0"/>
                      <w:w w:val="100"/>
                      <w:kern w:val="0"/>
                      <w:position w:val="0"/>
                      <w:sz w:val="21"/>
                      <w:szCs w:val="21"/>
                    </w:rPr>
                    <w:t>环境质量现状分析结论：大气环境中</w:t>
                  </w:r>
                  <w:r>
                    <w:rPr>
                      <w:rFonts w:ascii="Times New Roman" w:eastAsia="宋体" w:cs="Times New Roman" w:hAnsi="Times New Roman"/>
                      <w:snapToGrid w:val="0"/>
                      <w:color w:val="auto"/>
                      <w:spacing w:val="0"/>
                      <w:w w:val="100"/>
                      <w:kern w:val="0"/>
                      <w:position w:val="0"/>
                      <w:sz w:val="21"/>
                      <w:szCs w:val="21"/>
                      <w:lang w:val="en-US" w:eastAsia="zh-CN"/>
                    </w:rPr>
                    <w:t>PM</w:t>
                  </w:r>
                  <w:r>
                    <w:rPr>
                      <w:rFonts w:ascii="Times New Roman" w:eastAsia="宋体" w:cs="Times New Roman" w:hAnsi="Times New Roman"/>
                      <w:snapToGrid w:val="0"/>
                      <w:color w:val="auto"/>
                      <w:spacing w:val="0"/>
                      <w:w w:val="100"/>
                      <w:kern w:val="0"/>
                      <w:position w:val="0"/>
                      <w:sz w:val="21"/>
                      <w:szCs w:val="21"/>
                      <w:vertAlign w:val="subscript"/>
                      <w:lang w:val="en-US" w:eastAsia="zh-CN"/>
                    </w:rPr>
                    <w:t>10</w:t>
                  </w:r>
                  <w:r>
                    <w:rPr>
                      <w:rFonts w:ascii="Times New Roman" w:eastAsia="宋体" w:cs="Times New Roman" w:hAnsi="Times New Roman"/>
                      <w:snapToGrid w:val="0"/>
                      <w:color w:val="auto"/>
                      <w:spacing w:val="0"/>
                      <w:w w:val="100"/>
                      <w:kern w:val="0"/>
                      <w:position w:val="0"/>
                      <w:sz w:val="21"/>
                      <w:szCs w:val="21"/>
                      <w:lang w:val="en-US" w:eastAsia="zh-CN"/>
                    </w:rPr>
                    <w:t>、PM</w:t>
                  </w:r>
                  <w:r>
                    <w:rPr>
                      <w:rFonts w:ascii="Times New Roman" w:eastAsia="宋体" w:cs="Times New Roman" w:hAnsi="Times New Roman"/>
                      <w:snapToGrid w:val="0"/>
                      <w:color w:val="auto"/>
                      <w:spacing w:val="0"/>
                      <w:w w:val="100"/>
                      <w:kern w:val="0"/>
                      <w:position w:val="0"/>
                      <w:sz w:val="21"/>
                      <w:szCs w:val="21"/>
                      <w:vertAlign w:val="subscript"/>
                      <w:lang w:val="en-US" w:eastAsia="zh-CN"/>
                    </w:rPr>
                    <w:t>2.5</w:t>
                  </w:r>
                  <w:r>
                    <w:rPr>
                      <w:rFonts w:ascii="Times New Roman" w:eastAsia="宋体" w:cs="Times New Roman" w:hAnsi="Times New Roman"/>
                      <w:snapToGrid w:val="0"/>
                      <w:color w:val="auto"/>
                      <w:spacing w:val="0"/>
                      <w:w w:val="100"/>
                      <w:kern w:val="0"/>
                      <w:position w:val="0"/>
                      <w:sz w:val="21"/>
                      <w:szCs w:val="21"/>
                      <w:lang w:val="en-US" w:eastAsia="zh-CN"/>
                    </w:rPr>
                    <w:t>、O</w:t>
                  </w:r>
                  <w:r>
                    <w:rPr>
                      <w:rFonts w:ascii="Times New Roman" w:eastAsia="宋体" w:cs="Times New Roman" w:hAnsi="Times New Roman"/>
                      <w:snapToGrid w:val="0"/>
                      <w:color w:val="auto"/>
                      <w:spacing w:val="0"/>
                      <w:w w:val="100"/>
                      <w:kern w:val="0"/>
                      <w:position w:val="0"/>
                      <w:sz w:val="21"/>
                      <w:szCs w:val="21"/>
                      <w:vertAlign w:val="subscript"/>
                      <w:lang w:val="en-US" w:eastAsia="zh-CN"/>
                    </w:rPr>
                    <w:t>3</w:t>
                  </w:r>
                  <w:r>
                    <w:rPr>
                      <w:rFonts w:ascii="Times New Roman" w:eastAsia="宋体" w:cs="Times New Roman" w:hAnsi="Times New Roman"/>
                      <w:snapToGrid w:val="0"/>
                      <w:color w:val="auto"/>
                      <w:spacing w:val="0"/>
                      <w:w w:val="100"/>
                      <w:kern w:val="0"/>
                      <w:position w:val="0"/>
                      <w:sz w:val="21"/>
                      <w:szCs w:val="21"/>
                      <w:lang w:val="en-US" w:eastAsia="zh-CN"/>
                    </w:rPr>
                    <w:t>污染物年评价指标</w:t>
                  </w:r>
                  <w:r>
                    <w:rPr>
                      <w:rFonts w:ascii="Times New Roman" w:cs="Times New Roman" w:hAnsi="Times New Roman" w:hint="eastAsia"/>
                      <w:snapToGrid w:val="0"/>
                      <w:color w:val="auto"/>
                      <w:spacing w:val="0"/>
                      <w:w w:val="100"/>
                      <w:kern w:val="0"/>
                      <w:position w:val="0"/>
                      <w:sz w:val="21"/>
                      <w:szCs w:val="21"/>
                      <w:lang w:val="en-US" w:eastAsia="zh-CN"/>
                    </w:rPr>
                    <w:t>及</w:t>
                  </w:r>
                  <w:r>
                    <w:rPr>
                      <w:rFonts w:ascii="Times New Roman" w:eastAsia="宋体" w:cs="Times New Roman" w:hAnsi="Times New Roman" w:hint="eastAsia"/>
                      <w:color w:val="auto"/>
                      <w:sz w:val="21"/>
                      <w:szCs w:val="21"/>
                      <w:lang w:val="en-US" w:eastAsia="zh-CN"/>
                    </w:rPr>
                    <w:t>部分监测点中补充监测TSP 24小时平均浓度</w:t>
                  </w:r>
                  <w:r>
                    <w:rPr>
                      <w:rFonts w:ascii="Times New Roman" w:eastAsia="宋体" w:cs="Times New Roman" w:hAnsi="Times New Roman"/>
                      <w:snapToGrid w:val="0"/>
                      <w:color w:val="auto"/>
                      <w:spacing w:val="0"/>
                      <w:w w:val="100"/>
                      <w:kern w:val="0"/>
                      <w:position w:val="0"/>
                      <w:sz w:val="21"/>
                      <w:szCs w:val="21"/>
                      <w:lang w:val="en-US" w:eastAsia="zh-CN"/>
                    </w:rPr>
                    <w:t>不满足</w:t>
                  </w:r>
                  <w:r>
                    <w:rPr>
                      <w:rFonts w:ascii="Times New Roman" w:eastAsia="宋体" w:cs="Times New Roman" w:hAnsi="Times New Roman"/>
                      <w:snapToGrid w:val="0"/>
                      <w:color w:val="auto"/>
                      <w:spacing w:val="0"/>
                      <w:w w:val="100"/>
                      <w:kern w:val="0"/>
                      <w:position w:val="0"/>
                      <w:sz w:val="21"/>
                      <w:szCs w:val="21"/>
                    </w:rPr>
                    <w:t>，其他因子均符合相关空气质量标准；地表水环境中除</w:t>
                  </w:r>
                  <w:r>
                    <w:rPr>
                      <w:rFonts w:ascii="Times New Roman" w:eastAsia="宋体" w:cs="Times New Roman" w:hAnsi="Times New Roman"/>
                      <w:snapToGrid w:val="0"/>
                      <w:color w:val="auto"/>
                      <w:spacing w:val="0"/>
                      <w:w w:val="100"/>
                      <w:kern w:val="0"/>
                      <w:position w:val="0"/>
                      <w:sz w:val="21"/>
                      <w:szCs w:val="21"/>
                      <w:lang w:val="en-US" w:eastAsia="zh-CN"/>
                    </w:rPr>
                    <w:t>洨河、石家庄总退水渠、北沙河、槐河中总氮</w:t>
                  </w:r>
                  <w:r>
                    <w:rPr>
                      <w:rFonts w:ascii="Times New Roman" w:eastAsia="宋体" w:cs="Times New Roman" w:hAnsi="Times New Roman"/>
                      <w:snapToGrid w:val="0"/>
                      <w:color w:val="auto"/>
                      <w:spacing w:val="0"/>
                      <w:w w:val="100"/>
                      <w:kern w:val="0"/>
                      <w:position w:val="0"/>
                      <w:sz w:val="21"/>
                      <w:szCs w:val="21"/>
                    </w:rPr>
                    <w:t>超标外，其他因子均符合相关地表水质量标准；地下水环境中除总硬度外，其他因子均符合相关地下水质量标准；区域声环境</w:t>
                  </w:r>
                  <w:r>
                    <w:rPr>
                      <w:rFonts w:ascii="Times New Roman" w:eastAsia="宋体" w:cs="Times New Roman" w:hAnsi="Times New Roman"/>
                      <w:snapToGrid w:val="0"/>
                      <w:color w:val="auto"/>
                      <w:spacing w:val="0"/>
                      <w:w w:val="100"/>
                      <w:kern w:val="0"/>
                      <w:position w:val="0"/>
                      <w:sz w:val="21"/>
                      <w:szCs w:val="21"/>
                      <w:lang w:val="en-US" w:eastAsia="zh-CN"/>
                    </w:rPr>
                    <w:t>八里庄村北侧衡井公路道路交通声环境、马家庄村西侧石栾大街道路交通声环境夜间不能满足《声环境质量标准》（GB 3096-2008）4a类声环境功能区限值要求、内营村距离石栾大街较近，夜间出现不能满足《声环境质量标准》（GB 3096-2008）2类声环境功能区限值要求。其余监测点位</w:t>
                  </w:r>
                  <w:r>
                    <w:rPr>
                      <w:rFonts w:ascii="Times New Roman" w:eastAsia="宋体" w:cs="Times New Roman" w:hAnsi="Times New Roman"/>
                      <w:snapToGrid w:val="0"/>
                      <w:color w:val="auto"/>
                      <w:spacing w:val="0"/>
                      <w:w w:val="100"/>
                      <w:kern w:val="0"/>
                      <w:position w:val="0"/>
                      <w:sz w:val="21"/>
                      <w:szCs w:val="21"/>
                    </w:rPr>
                    <w:t>满足相应功能区划要求；</w:t>
                  </w:r>
                  <w:r>
                    <w:rPr>
                      <w:rFonts w:ascii="Times New Roman" w:cs="Times New Roman" w:hAnsi="Times New Roman" w:hint="eastAsia"/>
                      <w:snapToGrid w:val="0"/>
                      <w:color w:val="auto"/>
                      <w:spacing w:val="0"/>
                      <w:w w:val="100"/>
                      <w:kern w:val="0"/>
                      <w:position w:val="0"/>
                      <w:sz w:val="21"/>
                      <w:szCs w:val="21"/>
                      <w:lang w:eastAsia="zh-CN"/>
                    </w:rPr>
                    <w:t>园区</w:t>
                  </w:r>
                  <w:r>
                    <w:rPr>
                      <w:rFonts w:ascii="Times New Roman" w:eastAsia="宋体" w:cs="Times New Roman" w:hAnsi="Times New Roman"/>
                      <w:snapToGrid w:val="0"/>
                      <w:color w:val="auto"/>
                      <w:spacing w:val="0"/>
                      <w:w w:val="100"/>
                      <w:kern w:val="0"/>
                      <w:position w:val="0"/>
                      <w:sz w:val="21"/>
                      <w:szCs w:val="21"/>
                    </w:rPr>
                    <w:t>土壤环境中</w:t>
                  </w:r>
                  <w:r>
                    <w:rPr>
                      <w:rFonts w:ascii="Times New Roman" w:eastAsia="宋体" w:cs="Times New Roman" w:hAnsi="Times New Roman"/>
                      <w:snapToGrid w:val="0"/>
                      <w:color w:val="auto"/>
                      <w:spacing w:val="0"/>
                      <w:w w:val="100"/>
                      <w:kern w:val="0"/>
                      <w:position w:val="0"/>
                      <w:sz w:val="21"/>
                      <w:szCs w:val="21"/>
                      <w:lang w:val="en-US" w:eastAsia="zh-CN"/>
                    </w:rPr>
                    <w:t>各监测点位监测因子均满足《土壤环境质量 建设用地土壤污染风险管控标准（试行）》（GB36600-2018）、《建设用地土壤污染风险筛选值》（DB13/T5216-2022）、《土壤环境质量 农用地土壤污染风险管控标准（试行）》（GB15618-2018）要求。</w:t>
                  </w:r>
                </w:p>
              </w:tc>
              <w:tc>
                <w:tcPr>
                  <w:tcW w:w="1849" w:type="dxa"/>
                  <w:vMerge w:val="restart"/>
                  <w:tcBorders>
                    <w:left w:val="single" w:sz="2" w:space="0" w:color="000000"/>
                  </w:tcBorders>
                  <w:vAlign w:val="center"/>
                </w:tcPr>
                <w:p>
                  <w:pPr>
                    <w:pStyle w:val="39"/>
                    <w:rPr>
                      <w:color w:val="auto"/>
                    </w:rPr>
                  </w:pPr>
                  <w:r>
                    <w:rPr>
                      <w:rFonts w:hint="eastAsia"/>
                      <w:color w:val="auto"/>
                      <w:lang w:val="en-US" w:eastAsia="zh-CN"/>
                    </w:rPr>
                    <w:t>项目废气采取措施后可达标排放；固废全部得到合理处置；噪声采取选用低噪音设备、基础减振、厂房隔声等措施，经预测，可保证厂界噪声达标；无土壤污染因子和污染途径。项目在现有厂区内建设，不会对生态环境造成影响。综上分析，项目的实施不会对区域环境质量造成明显影响。</w:t>
                  </w:r>
                </w:p>
              </w:tc>
              <w:tc>
                <w:tcPr>
                  <w:tcW w:w="426" w:type="dxa"/>
                  <w:tcBorders>
                    <w:left w:val="single" w:sz="2" w:space="0" w:color="000000"/>
                  </w:tcBorders>
                  <w:vAlign w:val="center"/>
                </w:tcPr>
                <w:p>
                  <w:pPr>
                    <w:pStyle w:val="39"/>
                    <w:rPr>
                      <w:rFonts w:hint="eastAsia"/>
                      <w:color w:val="auto"/>
                    </w:rPr>
                  </w:pPr>
                  <w:r>
                    <w:rPr>
                      <w:rFonts w:hint="eastAsia"/>
                      <w:color w:val="auto"/>
                    </w:rPr>
                    <w:t>符合</w:t>
                  </w:r>
                </w:p>
              </w:tc>
            </w:tr>
            <w:tr>
              <w:trPr>
                <w:trHeight w:val="319"/>
              </w:trPr>
              <w:tc>
                <w:tcPr>
                  <w:tcW w:w="333" w:type="dxa"/>
                  <w:vAlign w:val="center"/>
                </w:tcPr>
                <w:p>
                  <w:pPr>
                    <w:pStyle w:val="39"/>
                    <w:rPr>
                      <w:color w:val="auto"/>
                      <w:lang w:val="en-US" w:eastAsia="zh-CN"/>
                    </w:rPr>
                  </w:pPr>
                  <w:r>
                    <w:rPr>
                      <w:rFonts w:hint="eastAsia"/>
                      <w:color w:val="auto"/>
                      <w:lang w:val="en-US" w:eastAsia="zh-CN"/>
                    </w:rPr>
                    <w:t>4</w:t>
                  </w:r>
                </w:p>
              </w:tc>
              <w:tc>
                <w:tcPr>
                  <w:tcW w:w="4237" w:type="dxa"/>
                  <w:tcBorders>
                    <w:left w:val="single" w:sz="2" w:space="0" w:color="000000"/>
                  </w:tcBorders>
                  <w:vAlign w:val="center"/>
                </w:tcPr>
                <w:p>
                  <w:pPr>
                    <w:pStyle w:val="39"/>
                    <w:jc w:val="both"/>
                    <w:rPr>
                      <w:rFonts w:hint="eastAsia"/>
                      <w:color w:val="auto"/>
                    </w:rPr>
                  </w:pPr>
                  <w:r>
                    <w:rPr>
                      <w:rFonts w:hint="eastAsia"/>
                      <w:color w:val="auto"/>
                      <w:lang w:val="en-US" w:eastAsia="zh-CN"/>
                    </w:rPr>
                    <w:t>环境影响分析预测结论：产业园区规划实施后，通过淘汰低效产能企业、提升现有企业环保措施、完善集中供热方案等措施，根据PM</w:t>
                  </w:r>
                  <w:r>
                    <w:rPr>
                      <w:rFonts w:hint="eastAsia"/>
                      <w:color w:val="auto"/>
                      <w:vertAlign w:val="subscript"/>
                      <w:lang w:val="en-US" w:eastAsia="zh-CN"/>
                    </w:rPr>
                    <w:t>10</w:t>
                  </w:r>
                  <w:r>
                    <w:rPr>
                      <w:rFonts w:hint="eastAsia"/>
                      <w:color w:val="auto"/>
                      <w:lang w:val="en-US" w:eastAsia="zh-CN"/>
                    </w:rPr>
                    <w:t>、PM</w:t>
                  </w:r>
                  <w:r>
                    <w:rPr>
                      <w:rFonts w:hint="eastAsia"/>
                      <w:color w:val="auto"/>
                      <w:vertAlign w:val="subscript"/>
                      <w:lang w:val="en-US" w:eastAsia="zh-CN"/>
                    </w:rPr>
                    <w:t>2.5</w:t>
                  </w:r>
                  <w:r>
                    <w:rPr>
                      <w:rFonts w:hint="eastAsia"/>
                      <w:color w:val="auto"/>
                      <w:lang w:val="en-US" w:eastAsia="zh-CN"/>
                    </w:rPr>
                    <w:t>、SO</w:t>
                  </w:r>
                  <w:r>
                    <w:rPr>
                      <w:rFonts w:hint="eastAsia"/>
                      <w:color w:val="auto"/>
                      <w:vertAlign w:val="subscript"/>
                      <w:lang w:val="en-US" w:eastAsia="zh-CN"/>
                    </w:rPr>
                    <w:t>2</w:t>
                  </w:r>
                  <w:r>
                    <w:rPr>
                      <w:rFonts w:hint="eastAsia"/>
                      <w:color w:val="auto"/>
                      <w:lang w:val="en-US" w:eastAsia="zh-CN"/>
                    </w:rPr>
                    <w:t>及NO</w:t>
                  </w:r>
                  <w:r>
                    <w:rPr>
                      <w:rFonts w:hint="eastAsia"/>
                      <w:color w:val="auto"/>
                      <w:vertAlign w:val="subscript"/>
                      <w:lang w:val="en-US" w:eastAsia="zh-CN"/>
                    </w:rPr>
                    <w:t>2</w:t>
                  </w:r>
                  <w:r>
                    <w:rPr>
                      <w:rFonts w:hint="eastAsia"/>
                      <w:color w:val="auto"/>
                      <w:lang w:val="en-US" w:eastAsia="zh-CN"/>
                    </w:rPr>
                    <w:t>预测结果，区域PM</w:t>
                  </w:r>
                  <w:r>
                    <w:rPr>
                      <w:rFonts w:hint="eastAsia"/>
                      <w:color w:val="auto"/>
                      <w:vertAlign w:val="subscript"/>
                      <w:lang w:val="en-US" w:eastAsia="zh-CN"/>
                    </w:rPr>
                    <w:t>10</w:t>
                  </w:r>
                  <w:r>
                    <w:rPr>
                      <w:rFonts w:hint="eastAsia"/>
                      <w:color w:val="auto"/>
                      <w:lang w:val="en-US" w:eastAsia="zh-CN"/>
                    </w:rPr>
                    <w:t>、PM</w:t>
                  </w:r>
                  <w:r>
                    <w:rPr>
                      <w:rFonts w:hint="eastAsia"/>
                      <w:color w:val="auto"/>
                      <w:vertAlign w:val="subscript"/>
                      <w:lang w:val="en-US" w:eastAsia="zh-CN"/>
                    </w:rPr>
                    <w:t>2.5</w:t>
                  </w:r>
                  <w:r>
                    <w:rPr>
                      <w:rFonts w:hint="eastAsia"/>
                      <w:color w:val="auto"/>
                      <w:lang w:val="en-US" w:eastAsia="zh-CN"/>
                    </w:rPr>
                    <w:t>、SO</w:t>
                  </w:r>
                  <w:r>
                    <w:rPr>
                      <w:rFonts w:hint="eastAsia"/>
                      <w:color w:val="auto"/>
                      <w:vertAlign w:val="subscript"/>
                      <w:lang w:val="en-US" w:eastAsia="zh-CN"/>
                    </w:rPr>
                    <w:t>2</w:t>
                  </w:r>
                  <w:r>
                    <w:rPr>
                      <w:rFonts w:hint="eastAsia"/>
                      <w:color w:val="auto"/>
                      <w:lang w:val="en-US" w:eastAsia="zh-CN"/>
                    </w:rPr>
                    <w:t>及NO</w:t>
                  </w:r>
                  <w:r>
                    <w:rPr>
                      <w:rFonts w:hint="eastAsia"/>
                      <w:color w:val="auto"/>
                      <w:vertAlign w:val="subscript"/>
                      <w:lang w:val="en-US" w:eastAsia="zh-CN"/>
                    </w:rPr>
                    <w:t>2</w:t>
                  </w:r>
                  <w:r>
                    <w:rPr>
                      <w:rFonts w:hint="eastAsia"/>
                      <w:color w:val="auto"/>
                      <w:lang w:val="en-US" w:eastAsia="zh-CN"/>
                    </w:rPr>
                    <w:t>年平均浓度均为改善的，另外，结合产业园区及周边区域PM</w:t>
                  </w:r>
                  <w:r>
                    <w:rPr>
                      <w:rFonts w:hint="eastAsia"/>
                      <w:color w:val="auto"/>
                      <w:vertAlign w:val="subscript"/>
                      <w:lang w:val="en-US" w:eastAsia="zh-CN"/>
                    </w:rPr>
                    <w:t>2.5</w:t>
                  </w:r>
                  <w:r>
                    <w:rPr>
                      <w:rFonts w:hint="eastAsia"/>
                      <w:color w:val="auto"/>
                      <w:lang w:val="en-US" w:eastAsia="zh-CN"/>
                    </w:rPr>
                    <w:t>本底监测可知，在计算本规划削减源的改善作用后，近期产业园区区域PM</w:t>
                  </w:r>
                  <w:r>
                    <w:rPr>
                      <w:rFonts w:hint="eastAsia"/>
                      <w:color w:val="auto"/>
                      <w:vertAlign w:val="subscript"/>
                      <w:lang w:val="en-US" w:eastAsia="zh-CN"/>
                    </w:rPr>
                    <w:t>2.5</w:t>
                  </w:r>
                  <w:r>
                    <w:rPr>
                      <w:rFonts w:hint="eastAsia"/>
                      <w:color w:val="auto"/>
                      <w:lang w:val="en-US" w:eastAsia="zh-CN"/>
                    </w:rPr>
                    <w:t>可满足石家庄十四五环境保护规划中PM</w:t>
                  </w:r>
                  <w:r>
                    <w:rPr>
                      <w:rFonts w:hint="eastAsia"/>
                      <w:color w:val="auto"/>
                      <w:vertAlign w:val="subscript"/>
                      <w:lang w:val="en-US" w:eastAsia="zh-CN"/>
                    </w:rPr>
                    <w:t>2.5</w:t>
                  </w:r>
                  <w:r>
                    <w:rPr>
                      <w:rFonts w:hint="eastAsia"/>
                      <w:color w:val="auto"/>
                      <w:lang w:val="en-US" w:eastAsia="zh-CN"/>
                    </w:rPr>
                    <w:t>环境目标控制要求；通过加强污水处理厂和规划排水企业水污染控制措施，能够保证废水全部进入集中污水处理厂进行处理，污水处理厂处理能力、处理工艺能够满足规划产业废水处理要求，处理后的废水能够稳定达标排放。通过中水回用率的提高，可以减少水污染物对洨河、槐河的影响。本评价提出了入区企业和各污水处理厂事故状态下的防范措施，保证事故工况下不会对区域地表水产生污染影响；正常状况下的跑冒滴漏对地下水影响较小。此外，区域第四系孔隙水与岩溶水之间存在稳定的隔水层，污染物更不会透过隔水层对岩溶水水质造成影响。产业园区规划实施后，通过合理布局、源头控制、分区防渗、应急响应、跟踪监测等措施，规划产业的发展不会加重区域水环境风险，不会对区域地下水环境产生明显污染影响；通过合理设计布局，采取完善的隔声降噪措施，产业园区的声环境质量可达到《声环境质量标准》（GB3096-2008）中各类功能区标准要求，规划的实施不会改变区域声环境功能，满足环境质量底线要求；在落实本评价提出的固体废物处置措施的情况下，产业园区产生的固体废物可全部综合利用或妥善处置，不会对区域环境产生明显不良影响；在严格按照土壤污染防护措施后，规划实施对区域土壤环境影响可接受；在产业园区基础设施和入区企业建设严格落实总体规划和本评价提出的预防措施的前提下，产业园区规划的实施对区域生态环境的影响是可以接受的；在采取完善的风险防范措施并且对风险源进行合理布局的条件下，环境风险可防控控制。同时，开发区通过采取项目准入控制措施、工程措施、管理措施、监控措施、修复治理措施多项措施，可避免规划实施后对区域环境产生污染影响。</w:t>
                  </w:r>
                </w:p>
              </w:tc>
              <w:tc>
                <w:tcPr>
                  <w:tcW w:w="1849" w:type="dxa"/>
                  <w:vMerge/>
                  <w:tcBorders>
                    <w:left w:val="single" w:sz="2" w:space="0" w:color="000000"/>
                  </w:tcBorders>
                  <w:vAlign w:val="center"/>
                </w:tcPr>
                <w:p/>
              </w:tc>
              <w:tc>
                <w:tcPr>
                  <w:tcW w:w="426" w:type="dxa"/>
                  <w:tcBorders>
                    <w:left w:val="single" w:sz="2" w:space="0" w:color="000000"/>
                  </w:tcBorders>
                  <w:vAlign w:val="center"/>
                </w:tcPr>
                <w:p>
                  <w:pPr>
                    <w:pStyle w:val="39"/>
                    <w:rPr>
                      <w:rFonts w:hint="eastAsia"/>
                      <w:color w:val="auto"/>
                    </w:rPr>
                  </w:pPr>
                  <w:r>
                    <w:rPr>
                      <w:rFonts w:hint="eastAsia"/>
                      <w:color w:val="auto"/>
                    </w:rPr>
                    <w:t>符合</w:t>
                  </w:r>
                </w:p>
              </w:tc>
            </w:tr>
            <w:tr>
              <w:trPr>
                <w:trHeight w:val="319"/>
              </w:trPr>
              <w:tc>
                <w:tcPr>
                  <w:tcW w:w="333" w:type="dxa"/>
                  <w:vAlign w:val="center"/>
                </w:tcPr>
                <w:p>
                  <w:pPr>
                    <w:pStyle w:val="39"/>
                    <w:rPr>
                      <w:color w:val="auto"/>
                      <w:lang w:val="en-US" w:eastAsia="zh-CN"/>
                    </w:rPr>
                  </w:pPr>
                  <w:r>
                    <w:rPr>
                      <w:rFonts w:hint="eastAsia"/>
                      <w:color w:val="auto"/>
                      <w:lang w:val="en-US" w:eastAsia="zh-CN"/>
                    </w:rPr>
                    <w:t>5</w:t>
                  </w:r>
                </w:p>
              </w:tc>
              <w:tc>
                <w:tcPr>
                  <w:tcW w:w="4237" w:type="dxa"/>
                  <w:tcBorders>
                    <w:left w:val="single" w:sz="2" w:space="0" w:color="000000"/>
                  </w:tcBorders>
                  <w:vAlign w:val="center"/>
                </w:tcPr>
                <w:p>
                  <w:pPr>
                    <w:pStyle w:val="39"/>
                    <w:jc w:val="both"/>
                    <w:rPr>
                      <w:rFonts w:hint="eastAsia"/>
                      <w:color w:val="auto"/>
                    </w:rPr>
                  </w:pPr>
                  <w:r>
                    <w:rPr>
                      <w:rFonts w:hint="eastAsia"/>
                      <w:color w:val="auto"/>
                      <w:lang w:val="en-US" w:eastAsia="zh-CN"/>
                    </w:rPr>
                    <w:t>资源与环境承载力分析结论：在充分利用回用水和南水北调地表水的前提下，区域水资源可承载规划的实施；产业园区划建设用地占用一部分一般农田，规划实施过程中应通过土地复垦、加大农用地整理和农村居民点用地整理力度、开发未利用地等措施，对土地资源进行开发整理。建议产业园区加大对未利用地的复垦、开发，增加后备耕地面积，实现耕地“先补后占、占补平衡”，确保耕地总量不减少，不突破土地资源利用上线；区域大气环境容量可承载规划的实施；规划通过配建再生水装置，提高再生水回用率，废水集中收集处理净化后回用，规划近期主要废水污染物COD和氨氮排放总量相对现状均有一定削减，有利于地表水体环境质量进一步改善。</w:t>
                  </w:r>
                </w:p>
              </w:tc>
              <w:tc>
                <w:tcPr>
                  <w:tcW w:w="1849" w:type="dxa"/>
                  <w:tcBorders>
                    <w:left w:val="single" w:sz="2" w:space="0" w:color="000000"/>
                  </w:tcBorders>
                  <w:vAlign w:val="center"/>
                </w:tcPr>
                <w:p>
                  <w:pPr>
                    <w:pStyle w:val="39"/>
                    <w:rPr>
                      <w:rFonts w:eastAsia="宋体" w:hint="eastAsia"/>
                      <w:color w:val="auto"/>
                      <w:lang w:eastAsia="zh-CN"/>
                    </w:rPr>
                  </w:pPr>
                  <w:r>
                    <w:rPr>
                      <w:rFonts w:hint="eastAsia"/>
                      <w:color w:val="auto"/>
                      <w:lang w:val="en-US" w:eastAsia="zh-CN"/>
                    </w:rPr>
                    <w:t>本项目不新增用水，现有工程用水由园区供水管网统一供应</w:t>
                  </w:r>
                  <w:r>
                    <w:rPr>
                      <w:rFonts w:hint="eastAsia"/>
                      <w:color w:val="auto"/>
                    </w:rPr>
                    <w:t>；</w:t>
                  </w:r>
                  <w:r>
                    <w:rPr>
                      <w:rFonts w:hint="eastAsia"/>
                      <w:color w:val="auto"/>
                      <w:lang w:val="en-US" w:eastAsia="zh-CN"/>
                    </w:rPr>
                    <w:t>项目在现有厂区内</w:t>
                  </w:r>
                  <w:r>
                    <w:rPr>
                      <w:rFonts w:hint="eastAsia"/>
                      <w:color w:val="auto"/>
                    </w:rPr>
                    <w:t>，不新增占地</w:t>
                  </w:r>
                  <w:r>
                    <w:rPr>
                      <w:rFonts w:hint="eastAsia"/>
                      <w:color w:val="auto"/>
                      <w:lang w:eastAsia="zh-CN"/>
                    </w:rPr>
                    <w:t>。</w:t>
                  </w:r>
                </w:p>
              </w:tc>
              <w:tc>
                <w:tcPr>
                  <w:tcW w:w="426" w:type="dxa"/>
                  <w:tcBorders>
                    <w:left w:val="single" w:sz="2" w:space="0" w:color="000000"/>
                  </w:tcBorders>
                  <w:vAlign w:val="center"/>
                </w:tcPr>
                <w:p>
                  <w:pPr>
                    <w:pStyle w:val="39"/>
                    <w:rPr>
                      <w:rFonts w:hint="eastAsia"/>
                      <w:color w:val="auto"/>
                    </w:rPr>
                  </w:pPr>
                  <w:r>
                    <w:rPr>
                      <w:rFonts w:hint="eastAsia"/>
                      <w:color w:val="auto"/>
                    </w:rPr>
                    <w:t>符合</w:t>
                  </w:r>
                </w:p>
              </w:tc>
            </w:tr>
            <w:tr>
              <w:trPr>
                <w:trHeight w:val="319"/>
              </w:trPr>
              <w:tc>
                <w:tcPr>
                  <w:tcW w:w="333" w:type="dxa"/>
                  <w:vAlign w:val="center"/>
                </w:tcPr>
                <w:p>
                  <w:pPr>
                    <w:pStyle w:val="39"/>
                    <w:rPr>
                      <w:color w:val="auto"/>
                      <w:lang w:val="en-US" w:eastAsia="zh-CN"/>
                    </w:rPr>
                  </w:pPr>
                  <w:r>
                    <w:rPr>
                      <w:rFonts w:hint="eastAsia"/>
                      <w:color w:val="auto"/>
                      <w:lang w:val="en-US" w:eastAsia="zh-CN"/>
                    </w:rPr>
                    <w:t>6</w:t>
                  </w:r>
                </w:p>
              </w:tc>
              <w:tc>
                <w:tcPr>
                  <w:tcW w:w="4237" w:type="dxa"/>
                  <w:tcBorders>
                    <w:left w:val="single" w:sz="2" w:space="0" w:color="000000"/>
                  </w:tcBorders>
                  <w:vAlign w:val="center"/>
                </w:tcPr>
                <w:p>
                  <w:pPr>
                    <w:pStyle w:val="39"/>
                    <w:jc w:val="both"/>
                    <w:rPr>
                      <w:rFonts w:hint="eastAsia"/>
                      <w:color w:val="auto"/>
                    </w:rPr>
                  </w:pPr>
                  <w:r>
                    <w:rPr>
                      <w:rFonts w:hint="eastAsia"/>
                      <w:color w:val="auto"/>
                      <w:lang w:val="en-US" w:eastAsia="zh-CN"/>
                    </w:rPr>
                    <w:t>规划实施制约因素及优化调整建议：开发区与国家、河北省、石家庄市和栾城区的“相关法律法规及政策”、“上层位‘十四五’规划”、“相关主体功能区划”相符合或协调。同时，评价要求开发区规划严格在区域“三线一单”框架要求下实施，不占用生态保护红线及生态空间，不突破环境质量底线、资源利用上线，严格遵守开发区所在区域生态环境准入清单确定的相关环境管控要求。规划目标和发展定位合理，区域资源环境能够支撑规划实施，规划布局、能源结构和产业结构设置合理，环境目标和评价指标通过落实规划文本和本评价提出的各项措施之后是可以达到的。另外，从维护生态功能、改善环境质量、提高资源利用率、保障人居健康、优化区域格局和产业结构等方面进行综合分析，规划的实施环境效益明显。</w:t>
                  </w:r>
                </w:p>
              </w:tc>
              <w:tc>
                <w:tcPr>
                  <w:tcW w:w="1849" w:type="dxa"/>
                  <w:tcBorders>
                    <w:left w:val="single" w:sz="2" w:space="0" w:color="000000"/>
                  </w:tcBorders>
                  <w:vAlign w:val="center"/>
                </w:tcPr>
                <w:p>
                  <w:pPr>
                    <w:pStyle w:val="39"/>
                    <w:rPr>
                      <w:color w:val="auto"/>
                    </w:rPr>
                  </w:pPr>
                  <w:r>
                    <w:rPr>
                      <w:rFonts w:hint="eastAsia"/>
                      <w:color w:val="auto"/>
                      <w:lang w:val="en-US" w:eastAsia="zh-CN"/>
                    </w:rPr>
                    <w:t>本项目在区域“三线一单”框架要求下实施，不占用生态保护红线及生态空间，不突破环境质量底线、资源利用上线。本项目属于C2624复混肥料制造，对照《产业结构调整指导目录》（2024年本），本项目不属于所列的限制类和淘汰类项目，占地是工业用地，符合园区河北省装备制造产业聚集区的规划定位、土地利用规划以及装备制造产业园区产业发展规划。项目在采取有效环保治理措施后，污染物达标排放，对环境影响较小。</w:t>
                  </w:r>
                </w:p>
              </w:tc>
              <w:tc>
                <w:tcPr>
                  <w:tcW w:w="426" w:type="dxa"/>
                  <w:tcBorders>
                    <w:left w:val="single" w:sz="2" w:space="0" w:color="000000"/>
                  </w:tcBorders>
                  <w:vAlign w:val="center"/>
                </w:tcPr>
                <w:p>
                  <w:pPr>
                    <w:pStyle w:val="39"/>
                    <w:rPr>
                      <w:rFonts w:hint="eastAsia"/>
                      <w:color w:val="auto"/>
                    </w:rPr>
                  </w:pPr>
                  <w:r>
                    <w:rPr>
                      <w:rFonts w:hint="eastAsia"/>
                      <w:color w:val="auto"/>
                    </w:rPr>
                    <w:t>符合</w:t>
                  </w:r>
                </w:p>
              </w:tc>
            </w:tr>
          </w:tbl>
          <w:p>
            <w:pPr>
              <w:keepNext w:val="0"/>
              <w:keepLines w:val="0"/>
              <w:pageBreakBefore w:val="0"/>
              <w:widowControl w:val="0"/>
              <w:kinsoku/>
              <w:wordWrap/>
              <w:overflowPunct/>
              <w:topLinePunct w:val="0"/>
              <w:autoSpaceDE/>
              <w:autoSpaceDN/>
              <w:bidi w:val="0"/>
              <w:adjustRightInd/>
              <w:snapToGrid/>
              <w:ind w:left="0" w:firstLineChars="0" w:firstLine="0"/>
              <w:jc w:val="both"/>
              <w:textAlignment w:val="auto"/>
              <w:rPr>
                <w:rFonts w:hint="eastAsia"/>
                <w:color w:val="auto"/>
                <w:lang w:val="en-US" w:eastAsia="zh-CN"/>
              </w:rPr>
            </w:pPr>
            <w:r>
              <w:rPr>
                <w:rFonts w:hint="eastAsia"/>
                <w:color w:val="auto"/>
                <w:lang w:val="en-US" w:eastAsia="zh-CN"/>
              </w:rPr>
              <w:t>4、项目与河北石家庄装备制造产业园准入要求符合性分析</w:t>
            </w:r>
          </w:p>
          <w:p>
            <w:pPr>
              <w:keepNext w:val="0"/>
              <w:keepLines w:val="0"/>
              <w:pageBreakBefore w:val="0"/>
              <w:widowControl w:val="0"/>
              <w:kinsoku/>
              <w:wordWrap/>
              <w:overflowPunct/>
              <w:topLinePunct w:val="0"/>
              <w:autoSpaceDE/>
              <w:autoSpaceDN/>
              <w:bidi w:val="0"/>
              <w:adjustRightInd/>
              <w:snapToGrid/>
              <w:ind w:firstLineChars="200" w:firstLine="480"/>
              <w:jc w:val="both"/>
              <w:textAlignment w:val="auto"/>
              <w:rPr>
                <w:rFonts w:hint="eastAsia"/>
                <w:color w:val="auto"/>
                <w:lang w:val="en-US" w:eastAsia="zh-CN"/>
              </w:rPr>
            </w:pPr>
            <w:r>
              <w:rPr>
                <w:rFonts w:ascii="Times New Roman" w:eastAsia="宋体" w:cs="Times New Roman" w:hAnsi="Times New Roman" w:hint="eastAsia"/>
                <w:b/>
                <w:color w:val="auto"/>
                <w:kern w:val="2"/>
                <w:sz w:val="24"/>
                <w:szCs w:val="21"/>
                <w:lang w:val="en-US" w:eastAsia="zh-CN" w:bidi="ar-SA"/>
              </w:rPr>
              <w:t>表1-2项目与河北石家庄装备制造产业园准入要求符合性分析</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266"/>
              <w:gridCol w:w="266"/>
              <w:gridCol w:w="4233"/>
              <w:gridCol w:w="1994"/>
              <w:gridCol w:w="275"/>
            </w:tblGrid>
            <w:tr>
              <w:trPr>
                <w:trHeight w:val="86"/>
                <w:tblHeader/>
              </w:trPr>
              <w:tc>
                <w:tcPr>
                  <w:tcW w:w="147" w:type="pct"/>
                  <w:vAlign w:val="center"/>
                </w:tcPr>
                <w:p>
                  <w:pPr>
                    <w:keepNext w:val="0"/>
                    <w:keepLines w:val="0"/>
                    <w:pageBreakBefore w:val="0"/>
                    <w:kinsoku/>
                    <w:wordWrap/>
                    <w:overflowPunct/>
                    <w:topLinePunct w:val="0"/>
                    <w:autoSpaceDE/>
                    <w:autoSpaceDN/>
                    <w:bidi w:val="0"/>
                    <w:adjustRightInd/>
                    <w:snapToGrid/>
                    <w:spacing w:line="280" w:lineRule="exact"/>
                    <w:ind w:left="0" w:firstLineChars="0" w:firstLine="0"/>
                    <w:jc w:val="center"/>
                    <w:textAlignment w:val="auto"/>
                    <w:rPr>
                      <w:rFonts w:ascii="Times New Roman" w:eastAsia="宋体" w:cs="Times New Roman" w:hAnsi="Times New Roman"/>
                      <w:b/>
                      <w:bCs/>
                      <w:color w:val="auto"/>
                      <w:spacing w:val="-10"/>
                      <w:sz w:val="21"/>
                      <w:szCs w:val="21"/>
                      <w:lang w:val="en-US" w:eastAsia="zh-CN"/>
                    </w:rPr>
                  </w:pPr>
                  <w:r>
                    <w:rPr>
                      <w:rFonts w:ascii="Times New Roman" w:eastAsia="宋体" w:cs="Times New Roman" w:hAnsi="Times New Roman"/>
                      <w:b/>
                      <w:bCs/>
                      <w:color w:val="auto"/>
                      <w:spacing w:val="-10"/>
                      <w:sz w:val="21"/>
                      <w:szCs w:val="21"/>
                      <w:lang w:val="en-US" w:eastAsia="zh-CN"/>
                    </w:rPr>
                    <w:t>项目</w:t>
                  </w:r>
                </w:p>
              </w:tc>
              <w:tc>
                <w:tcPr>
                  <w:tcW w:w="3217" w:type="pct"/>
                  <w:gridSpan w:val="2"/>
                  <w:vAlign w:val="center"/>
                </w:tcPr>
                <w:p>
                  <w:pPr>
                    <w:keepNext w:val="0"/>
                    <w:keepLines w:val="0"/>
                    <w:pageBreakBefore w:val="0"/>
                    <w:kinsoku/>
                    <w:wordWrap/>
                    <w:overflowPunct/>
                    <w:topLinePunct w:val="0"/>
                    <w:autoSpaceDE/>
                    <w:autoSpaceDN/>
                    <w:bidi w:val="0"/>
                    <w:adjustRightInd/>
                    <w:snapToGrid/>
                    <w:spacing w:line="280" w:lineRule="exact"/>
                    <w:ind w:left="0" w:firstLineChars="0" w:firstLine="0"/>
                    <w:jc w:val="center"/>
                    <w:textAlignment w:val="auto"/>
                    <w:rPr>
                      <w:rFonts w:ascii="Times New Roman" w:eastAsia="宋体" w:cs="Times New Roman" w:hAnsi="Times New Roman"/>
                      <w:b/>
                      <w:bCs/>
                      <w:color w:val="auto"/>
                      <w:spacing w:val="-10"/>
                      <w:sz w:val="21"/>
                      <w:szCs w:val="21"/>
                    </w:rPr>
                  </w:pPr>
                  <w:r>
                    <w:rPr>
                      <w:rFonts w:ascii="Times New Roman" w:eastAsia="宋体" w:cs="Times New Roman" w:hAnsi="Times New Roman"/>
                      <w:b/>
                      <w:bCs/>
                      <w:color w:val="auto"/>
                      <w:spacing w:val="-10"/>
                      <w:sz w:val="21"/>
                      <w:szCs w:val="21"/>
                    </w:rPr>
                    <w:t>准入要求</w:t>
                  </w:r>
                </w:p>
              </w:tc>
              <w:tc>
                <w:tcPr>
                  <w:tcW w:w="1436" w:type="pct"/>
                  <w:shd w:val="clear" w:color="auto" w:fill="auto"/>
                  <w:vAlign w:val="center"/>
                </w:tcPr>
                <w:p>
                  <w:pPr>
                    <w:pStyle w:val="46"/>
                    <w:keepNext w:val="0"/>
                    <w:keepLines w:val="0"/>
                    <w:pageBreakBefore w:val="0"/>
                    <w:widowControl w:val="0"/>
                    <w:kinsoku/>
                    <w:wordWrap/>
                    <w:overflowPunct/>
                    <w:topLinePunct w:val="0"/>
                    <w:autoSpaceDE/>
                    <w:autoSpaceDN/>
                    <w:bidi w:val="0"/>
                    <w:spacing w:line="280" w:lineRule="exact"/>
                    <w:ind w:left="0" w:right="0" w:firstLineChars="0" w:firstLine="0"/>
                    <w:jc w:val="center"/>
                    <w:textAlignment w:val="auto"/>
                    <w:rPr>
                      <w:rFonts w:ascii="Times New Roman" w:eastAsia="宋体" w:cs="Times New Roman" w:hAnsi="Times New Roman"/>
                      <w:b/>
                      <w:bCs/>
                      <w:snapToGrid w:val="0"/>
                      <w:color w:val="auto"/>
                      <w:spacing w:val="0"/>
                      <w:kern w:val="0"/>
                      <w:position w:val="0"/>
                      <w:sz w:val="21"/>
                      <w:szCs w:val="21"/>
                      <w:lang w:val="en-US" w:eastAsia="zh-CN" w:bidi="ar-SA"/>
                    </w:rPr>
                  </w:pPr>
                  <w:r>
                    <w:rPr>
                      <w:b/>
                      <w:bCs/>
                      <w:color w:val="auto"/>
                      <w:spacing w:val="0"/>
                      <w:position w:val="0"/>
                      <w:sz w:val="21"/>
                      <w:szCs w:val="21"/>
                    </w:rPr>
                    <w:t>项目情况</w:t>
                  </w:r>
                </w:p>
              </w:tc>
              <w:tc>
                <w:tcPr>
                  <w:tcW w:w="198" w:type="pct"/>
                  <w:shd w:val="clear" w:color="auto" w:fill="auto"/>
                  <w:vAlign w:val="center"/>
                </w:tcPr>
                <w:p>
                  <w:pPr>
                    <w:pStyle w:val="46"/>
                    <w:keepNext w:val="0"/>
                    <w:keepLines w:val="0"/>
                    <w:pageBreakBefore w:val="0"/>
                    <w:widowControl w:val="0"/>
                    <w:kinsoku/>
                    <w:wordWrap/>
                    <w:overflowPunct/>
                    <w:topLinePunct w:val="0"/>
                    <w:autoSpaceDE/>
                    <w:autoSpaceDN/>
                    <w:bidi w:val="0"/>
                    <w:spacing w:line="280" w:lineRule="exact"/>
                    <w:ind w:left="0" w:right="0" w:firstLineChars="0" w:firstLine="0"/>
                    <w:jc w:val="center"/>
                    <w:textAlignment w:val="auto"/>
                    <w:rPr>
                      <w:rFonts w:ascii="Times New Roman" w:eastAsia="宋体" w:cs="Times New Roman" w:hAnsi="Times New Roman"/>
                      <w:b/>
                      <w:bCs/>
                      <w:snapToGrid w:val="0"/>
                      <w:color w:val="auto"/>
                      <w:spacing w:val="0"/>
                      <w:kern w:val="0"/>
                      <w:position w:val="0"/>
                      <w:sz w:val="21"/>
                      <w:szCs w:val="21"/>
                      <w:lang w:val="en-US" w:eastAsia="zh-CN" w:bidi="ar-SA"/>
                    </w:rPr>
                  </w:pPr>
                  <w:r>
                    <w:rPr>
                      <w:b/>
                      <w:bCs/>
                      <w:color w:val="auto"/>
                      <w:spacing w:val="0"/>
                      <w:position w:val="0"/>
                      <w:sz w:val="21"/>
                      <w:szCs w:val="21"/>
                    </w:rPr>
                    <w:t>结论</w:t>
                  </w:r>
                </w:p>
              </w:tc>
            </w:tr>
            <w:tr>
              <w:trPr>
                <w:trHeight w:val="1637"/>
              </w:trPr>
              <w:tc>
                <w:tcPr>
                  <w:tcW w:w="147" w:type="pct"/>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both"/>
                    <w:textAlignment w:val="auto"/>
                    <w:rPr>
                      <w:rFonts w:ascii="Times New Roman" w:cs="Times New Roman" w:hAnsi="Times New Roman"/>
                      <w:color w:val="auto"/>
                      <w:sz w:val="21"/>
                      <w:szCs w:val="21"/>
                    </w:rPr>
                  </w:pPr>
                  <w:r>
                    <w:rPr>
                      <w:rFonts w:ascii="Times New Roman" w:cs="Times New Roman" w:hAnsi="Times New Roman"/>
                      <w:color w:val="auto"/>
                      <w:sz w:val="21"/>
                      <w:szCs w:val="21"/>
                    </w:rPr>
                    <w:t>总体要求</w:t>
                  </w:r>
                </w:p>
              </w:tc>
              <w:tc>
                <w:tcPr>
                  <w:tcW w:w="3217" w:type="pct"/>
                  <w:gridSpan w:val="2"/>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cs="Times New Roman" w:hAnsi="Times New Roman"/>
                      <w:color w:val="auto"/>
                      <w:sz w:val="21"/>
                      <w:szCs w:val="21"/>
                    </w:rPr>
                  </w:pPr>
                  <w:r>
                    <w:rPr>
                      <w:rFonts w:ascii="Times New Roman" w:cs="Times New Roman" w:hAnsi="Times New Roman"/>
                      <w:color w:val="auto"/>
                      <w:sz w:val="21"/>
                      <w:szCs w:val="21"/>
                    </w:rPr>
                    <w:t>1</w:t>
                  </w:r>
                  <w:r>
                    <w:rPr>
                      <w:rFonts w:ascii="Times New Roman" w:cs="Times New Roman" w:hAnsi="Times New Roman" w:hint="eastAsia"/>
                      <w:color w:val="auto"/>
                      <w:sz w:val="21"/>
                      <w:szCs w:val="21"/>
                      <w:lang w:eastAsia="zh-CN"/>
                    </w:rPr>
                    <w:t>、</w:t>
                  </w:r>
                  <w:r>
                    <w:rPr>
                      <w:rFonts w:ascii="Times New Roman" w:cs="Times New Roman" w:hAnsi="Times New Roman"/>
                      <w:color w:val="auto"/>
                      <w:sz w:val="21"/>
                      <w:szCs w:val="21"/>
                    </w:rPr>
                    <w:t>符合</w:t>
                  </w:r>
                  <w:r>
                    <w:rPr>
                      <w:rFonts w:ascii="Times New Roman" w:cs="Times New Roman" w:hAnsi="Times New Roman" w:hint="eastAsia"/>
                      <w:color w:val="auto"/>
                      <w:sz w:val="21"/>
                      <w:szCs w:val="21"/>
                      <w:lang w:eastAsia="zh-CN"/>
                    </w:rPr>
                    <w:t>“</w:t>
                  </w:r>
                  <w:r>
                    <w:rPr>
                      <w:rFonts w:ascii="Times New Roman" w:cs="Times New Roman" w:hAnsi="Times New Roman"/>
                      <w:color w:val="auto"/>
                      <w:sz w:val="21"/>
                      <w:szCs w:val="21"/>
                    </w:rPr>
                    <w:t>石家庄市“三线一单”生态环境分区管控</w:t>
                  </w:r>
                  <w:r>
                    <w:rPr>
                      <w:rFonts w:ascii="Times New Roman" w:cs="Times New Roman" w:hAnsi="Times New Roman"/>
                      <w:color w:val="auto"/>
                      <w:sz w:val="21"/>
                      <w:szCs w:val="21"/>
                      <w:lang w:val="en-US" w:eastAsia="zh-CN"/>
                    </w:rPr>
                    <w:t>意见</w:t>
                  </w:r>
                  <w:r>
                    <w:rPr>
                      <w:rFonts w:ascii="Times New Roman" w:cs="Times New Roman" w:hAnsi="Times New Roman" w:hint="eastAsia"/>
                      <w:color w:val="auto"/>
                      <w:sz w:val="21"/>
                      <w:szCs w:val="21"/>
                      <w:lang w:eastAsia="zh-CN"/>
                    </w:rPr>
                    <w:t>”</w:t>
                  </w:r>
                  <w:r>
                    <w:rPr>
                      <w:rFonts w:ascii="Times New Roman" w:cs="Times New Roman" w:hAnsi="Times New Roman" w:hint="eastAsia"/>
                      <w:color w:val="auto"/>
                      <w:sz w:val="21"/>
                      <w:szCs w:val="21"/>
                      <w:lang w:val="en-US" w:eastAsia="zh-CN"/>
                    </w:rPr>
                    <w:t>的</w:t>
                  </w:r>
                  <w:r>
                    <w:rPr>
                      <w:rFonts w:ascii="Times New Roman" w:cs="Times New Roman" w:hAnsi="Times New Roman"/>
                      <w:color w:val="auto"/>
                      <w:sz w:val="21"/>
                      <w:szCs w:val="21"/>
                    </w:rPr>
                    <w:t>动态更新成果中全市总体准入要求，具体内容不再列出；</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cs="Times New Roman" w:hAnsi="Times New Roman"/>
                      <w:color w:val="auto"/>
                      <w:sz w:val="21"/>
                      <w:szCs w:val="21"/>
                    </w:rPr>
                  </w:pPr>
                  <w:r>
                    <w:rPr>
                      <w:rFonts w:ascii="Times New Roman" w:cs="Times New Roman" w:hAnsi="Times New Roman"/>
                      <w:color w:val="auto"/>
                      <w:sz w:val="21"/>
                      <w:szCs w:val="21"/>
                    </w:rPr>
                    <w:t>2</w:t>
                  </w:r>
                  <w:r>
                    <w:rPr>
                      <w:rFonts w:ascii="Times New Roman" w:cs="Times New Roman" w:hAnsi="Times New Roman" w:hint="eastAsia"/>
                      <w:color w:val="auto"/>
                      <w:sz w:val="21"/>
                      <w:szCs w:val="21"/>
                      <w:lang w:eastAsia="zh-CN"/>
                    </w:rPr>
                    <w:t>、</w:t>
                  </w:r>
                  <w:r>
                    <w:rPr>
                      <w:rFonts w:ascii="Times New Roman" w:cs="Times New Roman" w:hAnsi="Times New Roman"/>
                      <w:color w:val="auto"/>
                      <w:sz w:val="21"/>
                      <w:szCs w:val="21"/>
                    </w:rPr>
                    <w:t>新建、改建、扩建项目需符合生态环境保护相关规划，满足重点污染物排放总量控制要求</w:t>
                  </w:r>
                  <w:r>
                    <w:rPr>
                      <w:rFonts w:ascii="Times New Roman" w:cs="Times New Roman" w:hAnsi="Times New Roman" w:hint="eastAsia"/>
                      <w:color w:val="auto"/>
                      <w:sz w:val="21"/>
                      <w:szCs w:val="21"/>
                      <w:lang w:val="en-US" w:eastAsia="zh-CN"/>
                    </w:rPr>
                    <w:t>实施倍量替代</w:t>
                  </w:r>
                  <w:r>
                    <w:rPr>
                      <w:rFonts w:ascii="Times New Roman" w:cs="Times New Roman" w:hAnsi="Times New Roman"/>
                      <w:color w:val="auto"/>
                      <w:sz w:val="21"/>
                      <w:szCs w:val="21"/>
                    </w:rPr>
                    <w:t>，生态环境准入清单和相应行业建设项目环境准入要求、环评审批原则。</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cs="Times New Roman" w:hAnsi="Times New Roman"/>
                      <w:color w:val="auto"/>
                      <w:sz w:val="21"/>
                      <w:szCs w:val="21"/>
                    </w:rPr>
                  </w:pPr>
                  <w:r>
                    <w:rPr>
                      <w:rFonts w:ascii="Times New Roman" w:eastAsia="宋体" w:cs="Times New Roman" w:hAnsi="Times New Roman" w:hint="eastAsia"/>
                      <w:color w:val="auto"/>
                      <w:sz w:val="21"/>
                      <w:szCs w:val="21"/>
                      <w:lang w:val="en-US" w:eastAsia="zh-CN"/>
                    </w:rPr>
                    <w:t>3、规划区禁止建设《河北省发展和改革委员会关于加强新建“两高”项目管理的通知》</w:t>
                  </w:r>
                  <w:r>
                    <w:rPr>
                      <w:rFonts w:ascii="宋体" w:eastAsia="宋体" w:cs="Times New Roman" w:hAnsi="宋体" w:hint="eastAsia"/>
                      <w:color w:val="auto"/>
                      <w:sz w:val="21"/>
                      <w:szCs w:val="21"/>
                      <w:lang w:val="en-US" w:eastAsia="zh-CN"/>
                    </w:rPr>
                    <w:t>（</w:t>
                  </w:r>
                  <w:r>
                    <w:rPr>
                      <w:rFonts w:ascii="Times New Roman" w:eastAsia="宋体" w:cs="Times New Roman" w:hAnsi="Times New Roman" w:hint="eastAsia"/>
                      <w:color w:val="auto"/>
                      <w:sz w:val="21"/>
                      <w:szCs w:val="21"/>
                      <w:lang w:val="en-US" w:eastAsia="zh-CN"/>
                    </w:rPr>
                    <w:t>冀发改环资[2022]691号</w:t>
                  </w:r>
                  <w:r>
                    <w:rPr>
                      <w:rFonts w:ascii="宋体" w:eastAsia="宋体" w:cs="Times New Roman" w:hAnsi="宋体" w:hint="eastAsia"/>
                      <w:color w:val="auto"/>
                      <w:sz w:val="21"/>
                      <w:szCs w:val="21"/>
                      <w:lang w:val="en-US" w:eastAsia="zh-CN"/>
                    </w:rPr>
                    <w:t>）</w:t>
                  </w:r>
                  <w:r>
                    <w:rPr>
                      <w:rFonts w:ascii="Times New Roman" w:eastAsia="宋体" w:cs="Times New Roman" w:hAnsi="Times New Roman" w:hint="eastAsia"/>
                      <w:color w:val="auto"/>
                      <w:sz w:val="21"/>
                      <w:szCs w:val="21"/>
                      <w:lang w:val="en-US" w:eastAsia="zh-CN"/>
                    </w:rPr>
                    <w:t>中的“两高”项目。</w:t>
                  </w:r>
                </w:p>
              </w:tc>
              <w:tc>
                <w:tcPr>
                  <w:tcW w:w="1436"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Chars="0" w:firstLine="0"/>
                    <w:jc w:val="both"/>
                    <w:textAlignment w:val="auto"/>
                    <w:rPr>
                      <w:rFonts w:ascii="Times New Roman" w:cs="Times New Roman" w:hAnsi="Times New Roman" w:hint="eastAsia"/>
                      <w:color w:val="auto"/>
                      <w:sz w:val="21"/>
                      <w:szCs w:val="21"/>
                      <w:lang w:eastAsia="zh-CN"/>
                    </w:rPr>
                  </w:pPr>
                  <w:r>
                    <w:rPr>
                      <w:rFonts w:ascii="Times New Roman" w:eastAsia="宋体" w:cs="Times New Roman" w:hAnsi="Times New Roman" w:hint="eastAsia"/>
                      <w:color w:val="auto"/>
                      <w:sz w:val="21"/>
                      <w:szCs w:val="21"/>
                      <w:lang w:val="en-US" w:eastAsia="zh-CN"/>
                    </w:rPr>
                    <w:t>1、项目</w:t>
                  </w:r>
                  <w:r>
                    <w:rPr>
                      <w:rFonts w:ascii="Times New Roman" w:cs="Times New Roman" w:hAnsi="Times New Roman"/>
                      <w:color w:val="auto"/>
                      <w:sz w:val="21"/>
                      <w:szCs w:val="21"/>
                    </w:rPr>
                    <w:t>符合</w:t>
                  </w:r>
                  <w:r>
                    <w:rPr>
                      <w:rFonts w:ascii="Times New Roman" w:cs="Times New Roman" w:hAnsi="Times New Roman" w:hint="eastAsia"/>
                      <w:color w:val="auto"/>
                      <w:sz w:val="21"/>
                      <w:szCs w:val="21"/>
                      <w:lang w:eastAsia="zh-CN"/>
                    </w:rPr>
                    <w:t>“</w:t>
                  </w:r>
                  <w:r>
                    <w:rPr>
                      <w:rFonts w:ascii="Times New Roman" w:cs="Times New Roman" w:hAnsi="Times New Roman"/>
                      <w:color w:val="auto"/>
                      <w:sz w:val="21"/>
                      <w:szCs w:val="21"/>
                    </w:rPr>
                    <w:t>石家庄市“三线一单”生态环境分区管控</w:t>
                  </w:r>
                  <w:r>
                    <w:rPr>
                      <w:rFonts w:ascii="Times New Roman" w:cs="Times New Roman" w:hAnsi="Times New Roman"/>
                      <w:color w:val="auto"/>
                      <w:sz w:val="21"/>
                      <w:szCs w:val="21"/>
                      <w:lang w:val="en-US" w:eastAsia="zh-CN"/>
                    </w:rPr>
                    <w:t>意见</w:t>
                  </w:r>
                  <w:r>
                    <w:rPr>
                      <w:rFonts w:ascii="Times New Roman" w:cs="Times New Roman" w:hAnsi="Times New Roman" w:hint="eastAsia"/>
                      <w:color w:val="auto"/>
                      <w:sz w:val="21"/>
                      <w:szCs w:val="21"/>
                      <w:lang w:eastAsia="zh-CN"/>
                    </w:rPr>
                    <w:t>”</w:t>
                  </w:r>
                  <w:r>
                    <w:rPr>
                      <w:rFonts w:ascii="Times New Roman" w:cs="Times New Roman" w:hAnsi="Times New Roman" w:hint="eastAsia"/>
                      <w:color w:val="auto"/>
                      <w:sz w:val="21"/>
                      <w:szCs w:val="21"/>
                      <w:lang w:val="en-US" w:eastAsia="zh-CN"/>
                    </w:rPr>
                    <w:t>的</w:t>
                  </w:r>
                  <w:r>
                    <w:rPr>
                      <w:rFonts w:ascii="Times New Roman" w:cs="Times New Roman" w:hAnsi="Times New Roman"/>
                      <w:color w:val="auto"/>
                      <w:sz w:val="21"/>
                      <w:szCs w:val="21"/>
                    </w:rPr>
                    <w:t>动态更新成果中全市总体准入要求</w:t>
                  </w:r>
                  <w:r>
                    <w:rPr>
                      <w:rFonts w:ascii="Times New Roman" w:cs="Times New Roman" w:hAnsi="Times New Roman" w:hint="eastAsia"/>
                      <w:color w:val="auto"/>
                      <w:sz w:val="21"/>
                      <w:szCs w:val="21"/>
                      <w:lang w:eastAsia="zh-CN"/>
                    </w:rPr>
                    <w:t>；</w:t>
                  </w:r>
                </w:p>
                <w:p>
                  <w:pPr>
                    <w:pStyle w:val="2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80" w:lineRule="exact"/>
                    <w:ind w:left="0" w:right="0" w:firstLineChars="0" w:firstLine="0"/>
                    <w:jc w:val="both"/>
                    <w:textAlignment w:val="auto"/>
                    <w:rPr>
                      <w:rFonts w:ascii="Times New Roman" w:cs="Times New Roman" w:hAnsi="Times New Roman" w:hint="eastAsia"/>
                      <w:color w:val="auto"/>
                      <w:sz w:val="21"/>
                      <w:szCs w:val="21"/>
                      <w:lang w:eastAsia="zh-CN"/>
                    </w:rPr>
                  </w:pPr>
                  <w:r>
                    <w:rPr>
                      <w:rFonts w:ascii="Times New Roman" w:cs="Times New Roman" w:hAnsi="Times New Roman" w:hint="eastAsia"/>
                      <w:color w:val="auto"/>
                      <w:sz w:val="21"/>
                      <w:szCs w:val="21"/>
                      <w:lang w:val="en-US" w:eastAsia="zh-CN"/>
                    </w:rPr>
                    <w:t>2、本项目为</w:t>
                  </w:r>
                  <w:r>
                    <w:rPr>
                      <w:rFonts w:cs="Times New Roman" w:hint="eastAsia"/>
                      <w:color w:val="auto"/>
                      <w:sz w:val="21"/>
                      <w:szCs w:val="21"/>
                      <w:lang w:val="en-US" w:eastAsia="zh-CN"/>
                    </w:rPr>
                    <w:t>技改</w:t>
                  </w:r>
                  <w:r>
                    <w:rPr>
                      <w:rFonts w:ascii="Times New Roman" w:cs="Times New Roman" w:hAnsi="Times New Roman" w:hint="eastAsia"/>
                      <w:color w:val="auto"/>
                      <w:sz w:val="21"/>
                      <w:szCs w:val="21"/>
                      <w:lang w:val="en-US" w:eastAsia="zh-CN"/>
                    </w:rPr>
                    <w:t>项目，</w:t>
                  </w:r>
                  <w:r>
                    <w:rPr>
                      <w:rFonts w:ascii="Times New Roman" w:cs="Times New Roman" w:hAnsi="Times New Roman"/>
                      <w:color w:val="auto"/>
                      <w:sz w:val="21"/>
                      <w:szCs w:val="21"/>
                      <w:highlight w:val="none"/>
                    </w:rPr>
                    <w:t>重点污染物排放</w:t>
                  </w:r>
                  <w:r>
                    <w:rPr>
                      <w:rFonts w:ascii="Times New Roman" w:cs="Times New Roman" w:hAnsi="Times New Roman" w:hint="eastAsia"/>
                      <w:color w:val="auto"/>
                      <w:sz w:val="21"/>
                      <w:szCs w:val="21"/>
                      <w:lang w:val="en-US" w:eastAsia="zh-CN"/>
                      <w:highlight w:val="none"/>
                    </w:rPr>
                    <w:t>总量控制要求实施倍量替代</w:t>
                  </w:r>
                  <w:r>
                    <w:rPr>
                      <w:rFonts w:ascii="Times New Roman" w:cs="Times New Roman" w:hAnsi="Times New Roman" w:hint="eastAsia"/>
                      <w:color w:val="auto"/>
                      <w:sz w:val="21"/>
                      <w:szCs w:val="21"/>
                      <w:lang w:eastAsia="zh-CN"/>
                      <w:highlight w:val="none"/>
                    </w:rPr>
                    <w:t>，满足</w:t>
                  </w:r>
                  <w:r>
                    <w:rPr>
                      <w:rFonts w:ascii="Times New Roman" w:cs="Times New Roman" w:hAnsi="Times New Roman"/>
                      <w:color w:val="auto"/>
                      <w:sz w:val="21"/>
                      <w:szCs w:val="21"/>
                      <w:highlight w:val="none"/>
                    </w:rPr>
                    <w:t>生态环境准入清单和相应行业建设项目环境准入要求</w:t>
                  </w:r>
                  <w:r>
                    <w:rPr>
                      <w:rFonts w:ascii="Times New Roman" w:cs="Times New Roman" w:hAnsi="Times New Roman" w:hint="eastAsia"/>
                      <w:color w:val="auto"/>
                      <w:sz w:val="21"/>
                      <w:szCs w:val="21"/>
                      <w:lang w:eastAsia="zh-CN"/>
                    </w:rPr>
                    <w:t>；</w:t>
                  </w:r>
                </w:p>
                <w:p>
                  <w:pPr>
                    <w:pStyle w:val="25"/>
                    <w:keepNext w:val="0"/>
                    <w:keepLines w:val="0"/>
                    <w:pageBreakBefore w:val="0"/>
                    <w:kinsoku/>
                    <w:wordWrap/>
                    <w:overflowPunct/>
                    <w:topLinePunct w:val="0"/>
                    <w:autoSpaceDE/>
                    <w:autoSpaceDN/>
                    <w:bidi w:val="0"/>
                    <w:adjustRightInd w:val="0"/>
                    <w:snapToGrid w:val="0"/>
                    <w:spacing w:line="280" w:lineRule="exact"/>
                    <w:ind w:leftChars="0" w:left="0" w:firstLineChars="0" w:firstLine="0"/>
                    <w:jc w:val="both"/>
                    <w:textAlignment w:val="auto"/>
                    <w:rPr>
                      <w:rFonts w:hint="eastAsia"/>
                      <w:color w:val="auto"/>
                      <w:sz w:val="21"/>
                      <w:szCs w:val="21"/>
                      <w:lang w:val="en-US" w:eastAsia="zh-CN"/>
                    </w:rPr>
                  </w:pPr>
                  <w:r>
                    <w:rPr>
                      <w:rFonts w:hint="eastAsia"/>
                      <w:color w:val="auto"/>
                      <w:sz w:val="21"/>
                      <w:szCs w:val="21"/>
                      <w:lang w:val="en-US" w:eastAsia="zh-CN"/>
                    </w:rPr>
                    <w:t>3、本项目不属于“两高”项目</w:t>
                  </w:r>
                </w:p>
              </w:tc>
              <w:tc>
                <w:tcPr>
                  <w:tcW w:w="198"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center"/>
                    <w:textAlignment w:val="auto"/>
                    <w:rPr>
                      <w:rFonts w:ascii="Times New Roman" w:eastAsia="宋体" w:cs="Times New Roman" w:hAnsi="Times New Roman" w:hint="eastAsia"/>
                      <w:color w:val="auto"/>
                      <w:sz w:val="21"/>
                      <w:szCs w:val="21"/>
                      <w:lang w:val="en-US" w:eastAsia="zh-CN"/>
                    </w:rPr>
                  </w:pPr>
                  <w:r>
                    <w:rPr>
                      <w:rFonts w:ascii="Times New Roman" w:eastAsia="宋体" w:cs="Times New Roman" w:hAnsi="Times New Roman" w:hint="eastAsia"/>
                      <w:color w:val="auto"/>
                      <w:sz w:val="21"/>
                      <w:szCs w:val="21"/>
                      <w:lang w:val="en-US" w:eastAsia="zh-CN"/>
                    </w:rPr>
                    <w:t>符合</w:t>
                  </w:r>
                </w:p>
              </w:tc>
            </w:tr>
            <w:tr>
              <w:trPr>
                <w:trHeight w:val="234"/>
              </w:trPr>
              <w:tc>
                <w:tcPr>
                  <w:tcW w:w="147" w:type="pct"/>
                  <w:vMerge w:val="restart"/>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both"/>
                    <w:textAlignment w:val="auto"/>
                    <w:rPr>
                      <w:rFonts w:ascii="Times New Roman" w:eastAsia="宋体" w:cs="Times New Roman" w:hAnsi="Times New Roman"/>
                      <w:color w:val="auto"/>
                      <w:sz w:val="21"/>
                      <w:szCs w:val="21"/>
                      <w:lang w:val="en-US" w:eastAsia="zh-CN"/>
                    </w:rPr>
                  </w:pPr>
                  <w:r>
                    <w:rPr>
                      <w:rFonts w:ascii="Times New Roman" w:eastAsia="宋体" w:cs="Times New Roman" w:hAnsi="Times New Roman" w:hint="eastAsia"/>
                      <w:color w:val="auto"/>
                      <w:kern w:val="0"/>
                      <w:sz w:val="21"/>
                      <w:szCs w:val="21"/>
                      <w:lang w:val="en-US" w:eastAsia="zh-CN"/>
                    </w:rPr>
                    <w:t>河北石家庄装备制造产业园</w:t>
                  </w:r>
                </w:p>
              </w:tc>
              <w:tc>
                <w:tcPr>
                  <w:tcW w:w="169"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both"/>
                    <w:textAlignment w:val="auto"/>
                    <w:rPr>
                      <w:rFonts w:ascii="Times New Roman" w:cs="Times New Roman" w:hAnsi="Times New Roman"/>
                      <w:color w:val="auto"/>
                      <w:sz w:val="21"/>
                      <w:szCs w:val="21"/>
                    </w:rPr>
                  </w:pPr>
                  <w:r>
                    <w:rPr>
                      <w:rFonts w:ascii="Times New Roman" w:cs="Times New Roman" w:hAnsi="Times New Roman"/>
                      <w:color w:val="auto"/>
                      <w:sz w:val="21"/>
                      <w:szCs w:val="21"/>
                    </w:rPr>
                    <w:t>产业及政策准入管理要求</w:t>
                  </w:r>
                </w:p>
              </w:tc>
              <w:tc>
                <w:tcPr>
                  <w:tcW w:w="3048"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cs="Times New Roman" w:hAnsi="Times New Roman"/>
                      <w:color w:val="auto"/>
                      <w:sz w:val="21"/>
                      <w:szCs w:val="21"/>
                      <w:lang w:val="en-US"/>
                    </w:rPr>
                  </w:pPr>
                  <w:r>
                    <w:rPr>
                      <w:rFonts w:ascii="Times New Roman" w:cs="Times New Roman" w:hAnsi="Times New Roman"/>
                      <w:color w:val="auto"/>
                      <w:sz w:val="21"/>
                      <w:szCs w:val="21"/>
                    </w:rPr>
                    <w:t>1</w:t>
                  </w:r>
                  <w:r>
                    <w:rPr>
                      <w:rFonts w:ascii="Times New Roman" w:cs="Times New Roman" w:hAnsi="Times New Roman" w:hint="eastAsia"/>
                      <w:color w:val="auto"/>
                      <w:sz w:val="21"/>
                      <w:szCs w:val="21"/>
                      <w:lang w:eastAsia="zh-CN"/>
                    </w:rPr>
                    <w:t>、</w:t>
                  </w:r>
                  <w:r>
                    <w:rPr>
                      <w:rFonts w:ascii="Times New Roman" w:cs="Times New Roman" w:hAnsi="Times New Roman" w:hint="eastAsia"/>
                      <w:color w:val="auto"/>
                      <w:sz w:val="21"/>
                      <w:szCs w:val="21"/>
                      <w:lang w:val="en-US" w:eastAsia="zh-CN"/>
                    </w:rPr>
                    <w:t>满足《产业结构调整指导目录》、《产业发展与转移指导目录》的要求。</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color w:val="auto"/>
                      <w:kern w:val="0"/>
                      <w:sz w:val="21"/>
                      <w:szCs w:val="21"/>
                      <w:lang w:val="en-US" w:eastAsia="zh-CN"/>
                    </w:rPr>
                  </w:pPr>
                  <w:r>
                    <w:rPr>
                      <w:rFonts w:ascii="Times New Roman" w:cs="Times New Roman" w:hAnsi="Times New Roman" w:hint="eastAsia"/>
                      <w:color w:val="auto"/>
                      <w:kern w:val="0"/>
                      <w:sz w:val="21"/>
                      <w:szCs w:val="21"/>
                      <w:lang w:val="en-US" w:eastAsia="zh-CN"/>
                    </w:rPr>
                    <w:t>2</w:t>
                  </w:r>
                  <w:r>
                    <w:rPr>
                      <w:rFonts w:ascii="Times New Roman" w:eastAsia="宋体" w:cs="Times New Roman" w:hAnsi="Times New Roman" w:hint="eastAsia"/>
                      <w:color w:val="auto"/>
                      <w:kern w:val="0"/>
                      <w:sz w:val="21"/>
                      <w:szCs w:val="21"/>
                      <w:lang w:val="en-US" w:eastAsia="zh-CN"/>
                    </w:rPr>
                    <w:t>、入区项目各污染物排放指标必须满足清洁生产指标国内先进水平要求</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如有</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color w:val="auto"/>
                      <w:kern w:val="0"/>
                      <w:sz w:val="21"/>
                      <w:szCs w:val="21"/>
                      <w:lang w:val="en-US" w:eastAsia="zh-CN"/>
                    </w:rPr>
                  </w:pPr>
                  <w:r>
                    <w:rPr>
                      <w:rFonts w:ascii="Times New Roman" w:cs="Times New Roman" w:hAnsi="Times New Roman" w:hint="eastAsia"/>
                      <w:color w:val="auto"/>
                      <w:kern w:val="0"/>
                      <w:sz w:val="21"/>
                      <w:szCs w:val="21"/>
                      <w:lang w:val="en-US" w:eastAsia="zh-CN"/>
                    </w:rPr>
                    <w:t>3</w:t>
                  </w:r>
                  <w:r>
                    <w:rPr>
                      <w:rFonts w:ascii="Times New Roman" w:eastAsia="宋体" w:cs="Times New Roman" w:hAnsi="Times New Roman" w:hint="eastAsia"/>
                      <w:color w:val="auto"/>
                      <w:kern w:val="0"/>
                      <w:sz w:val="21"/>
                      <w:szCs w:val="21"/>
                      <w:lang w:val="en-US" w:eastAsia="zh-CN"/>
                    </w:rPr>
                    <w:t>、</w:t>
                  </w:r>
                  <w:r>
                    <w:rPr>
                      <w:rFonts w:ascii="Times New Roman" w:eastAsia="宋体" w:cs="Times New Roman" w:hAnsi="Times New Roman"/>
                      <w:color w:val="auto"/>
                      <w:kern w:val="0"/>
                      <w:sz w:val="21"/>
                      <w:szCs w:val="21"/>
                      <w:lang w:val="en-US" w:eastAsia="zh-CN"/>
                    </w:rPr>
                    <w:t>严格限制工业涂装、包装印刷等</w:t>
                  </w:r>
                  <w:r>
                    <w:rPr>
                      <w:rFonts w:ascii="Times New Roman" w:eastAsia="宋体" w:cs="Times New Roman" w:hAnsi="Times New Roman" w:hint="eastAsia"/>
                      <w:color w:val="auto"/>
                      <w:kern w:val="0"/>
                      <w:sz w:val="21"/>
                      <w:szCs w:val="21"/>
                      <w:lang w:val="en-US" w:eastAsia="zh-CN"/>
                    </w:rPr>
                    <w:t>使用</w:t>
                  </w:r>
                  <w:r>
                    <w:rPr>
                      <w:rFonts w:ascii="Times New Roman" w:eastAsia="宋体" w:cs="Times New Roman" w:hAnsi="Times New Roman"/>
                      <w:color w:val="auto"/>
                      <w:kern w:val="0"/>
                      <w:sz w:val="21"/>
                      <w:szCs w:val="21"/>
                      <w:lang w:val="en-US" w:eastAsia="zh-CN"/>
                    </w:rPr>
                    <w:t>高VOCs排放</w:t>
                  </w:r>
                  <w:r>
                    <w:rPr>
                      <w:rFonts w:ascii="Times New Roman" w:eastAsia="宋体" w:cs="Times New Roman" w:hAnsi="Times New Roman" w:hint="eastAsia"/>
                      <w:color w:val="auto"/>
                      <w:kern w:val="0"/>
                      <w:sz w:val="21"/>
                      <w:szCs w:val="21"/>
                      <w:lang w:val="en-US" w:eastAsia="zh-CN"/>
                    </w:rPr>
                    <w:t>的涂料、胶粘剂等。</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4</w:t>
                  </w:r>
                  <w:r>
                    <w:rPr>
                      <w:rFonts w:ascii="Times New Roman" w:eastAsia="宋体" w:cs="Times New Roman" w:hAnsi="Times New Roman" w:hint="eastAsia"/>
                      <w:color w:val="auto"/>
                      <w:kern w:val="0"/>
                      <w:sz w:val="21"/>
                      <w:szCs w:val="21"/>
                      <w:lang w:val="en-US" w:eastAsia="zh-CN"/>
                    </w:rPr>
                    <w:t>、铸造企业应满足《</w:t>
                  </w:r>
                  <w:r>
                    <w:rPr>
                      <w:rFonts w:ascii="Times New Roman" w:eastAsia="宋体" w:cs="Times New Roman" w:hAnsi="Times New Roman"/>
                      <w:color w:val="auto"/>
                      <w:kern w:val="0"/>
                      <w:sz w:val="21"/>
                      <w:szCs w:val="21"/>
                      <w:lang w:val="en-US" w:eastAsia="zh-CN"/>
                    </w:rPr>
                    <w:t>&lt;关于推动铸造和锻压行业高质量发展的若干措施&gt;的通知》</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color w:val="auto"/>
                      <w:kern w:val="0"/>
                      <w:sz w:val="21"/>
                      <w:szCs w:val="21"/>
                      <w:lang w:val="en-US" w:eastAsia="zh-CN"/>
                    </w:rPr>
                    <w:t>冀工信装</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color w:val="auto"/>
                      <w:kern w:val="0"/>
                      <w:sz w:val="21"/>
                      <w:szCs w:val="21"/>
                      <w:lang w:val="en-US" w:eastAsia="zh-CN"/>
                    </w:rPr>
                    <w:t>2023</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color w:val="auto"/>
                      <w:kern w:val="0"/>
                      <w:sz w:val="21"/>
                      <w:szCs w:val="21"/>
                      <w:lang w:val="en-US" w:eastAsia="zh-CN"/>
                    </w:rPr>
                    <w:t>127号</w:t>
                  </w:r>
                  <w:r>
                    <w:rPr>
                      <w:rFonts w:ascii="宋体" w:eastAsia="宋体" w:cs="Times New Roman" w:hAnsi="宋体" w:hint="eastAsia"/>
                      <w:color w:val="auto"/>
                      <w:kern w:val="0"/>
                      <w:sz w:val="21"/>
                      <w:szCs w:val="21"/>
                      <w:lang w:val="en-US" w:eastAsia="zh-CN"/>
                    </w:rPr>
                    <w:t>）</w:t>
                  </w:r>
                  <w:r>
                    <w:rPr>
                      <w:rFonts w:ascii="Times New Roman" w:cs="Times New Roman" w:hAnsi="Times New Roman" w:hint="eastAsia"/>
                      <w:color w:val="auto"/>
                      <w:kern w:val="0"/>
                      <w:sz w:val="21"/>
                      <w:szCs w:val="21"/>
                      <w:lang w:val="en-US" w:eastAsia="zh-CN"/>
                    </w:rPr>
                    <w:t>等动态更新文件的要求。</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5、禁燃区内任何单位不得新建、扩建高污染燃料燃用设施，不得将其他燃料设施改造为高污染燃料燃用设施。</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hint="eastAsia"/>
                      <w:color w:val="auto"/>
                      <w:sz w:val="21"/>
                      <w:szCs w:val="21"/>
                      <w:lang w:val="en-US" w:eastAsia="zh-CN"/>
                    </w:rPr>
                  </w:pPr>
                  <w:r>
                    <w:rPr>
                      <w:rFonts w:hint="eastAsia"/>
                      <w:color w:val="auto"/>
                      <w:sz w:val="21"/>
                      <w:szCs w:val="21"/>
                      <w:lang w:val="en-US" w:eastAsia="zh-CN"/>
                    </w:rPr>
                    <w:t>6</w:t>
                  </w:r>
                  <w:r>
                    <w:rPr>
                      <w:rFonts w:ascii="Times New Roman" w:eastAsia="宋体" w:cs="Times New Roman" w:hAnsi="Times New Roman" w:hint="eastAsia"/>
                      <w:color w:val="auto"/>
                      <w:sz w:val="21"/>
                      <w:szCs w:val="21"/>
                      <w:lang w:val="en-US" w:eastAsia="zh-CN"/>
                    </w:rPr>
                    <w:t>、按照《河北省化工重点监控点认定办法》、《石家庄市化工重点监控点认定程序和管理办法</w:t>
                  </w:r>
                  <w:r>
                    <w:rPr>
                      <w:rFonts w:ascii="宋体" w:eastAsia="宋体" w:cs="Times New Roman" w:hAnsi="宋体" w:hint="eastAsia"/>
                      <w:color w:val="auto"/>
                      <w:sz w:val="21"/>
                      <w:szCs w:val="21"/>
                      <w:lang w:val="en-US" w:eastAsia="zh-CN"/>
                    </w:rPr>
                    <w:t>（</w:t>
                  </w:r>
                  <w:r>
                    <w:rPr>
                      <w:rFonts w:ascii="Times New Roman" w:eastAsia="宋体" w:cs="Times New Roman" w:hAnsi="Times New Roman" w:hint="eastAsia"/>
                      <w:color w:val="auto"/>
                      <w:sz w:val="21"/>
                      <w:szCs w:val="21"/>
                      <w:lang w:val="en-US" w:eastAsia="zh-CN"/>
                    </w:rPr>
                    <w:t>试行</w:t>
                  </w:r>
                  <w:r>
                    <w:rPr>
                      <w:rFonts w:ascii="宋体" w:eastAsia="宋体" w:cs="Times New Roman" w:hAnsi="宋体" w:hint="eastAsia"/>
                      <w:color w:val="auto"/>
                      <w:sz w:val="21"/>
                      <w:szCs w:val="21"/>
                      <w:lang w:val="en-US" w:eastAsia="zh-CN"/>
                    </w:rPr>
                    <w:t>）</w:t>
                  </w:r>
                  <w:r>
                    <w:rPr>
                      <w:rFonts w:ascii="Times New Roman" w:eastAsia="宋体" w:cs="Times New Roman" w:hAnsi="Times New Roman" w:hint="eastAsia"/>
                      <w:color w:val="auto"/>
                      <w:sz w:val="21"/>
                      <w:szCs w:val="21"/>
                      <w:lang w:val="en-US" w:eastAsia="zh-CN"/>
                    </w:rPr>
                    <w:t>》要求执行。列入重点化工监控点的企业，</w:t>
                  </w:r>
                  <w:r>
                    <w:rPr>
                      <w:rFonts w:ascii="Times New Roman" w:eastAsia="宋体" w:cs="Times New Roman" w:hAnsi="Times New Roman"/>
                      <w:color w:val="auto"/>
                      <w:sz w:val="21"/>
                      <w:szCs w:val="21"/>
                      <w:lang w:val="en-US" w:eastAsia="zh-CN"/>
                    </w:rPr>
                    <w:t>在项目审批、建设和管理方面参照化工园区内企业执行。</w:t>
                  </w:r>
                  <w:r>
                    <w:rPr>
                      <w:rFonts w:ascii="Times New Roman" w:eastAsia="宋体" w:cs="Times New Roman" w:hAnsi="Times New Roman" w:hint="eastAsia"/>
                      <w:color w:val="auto"/>
                      <w:sz w:val="21"/>
                      <w:szCs w:val="21"/>
                      <w:lang w:val="en-US" w:eastAsia="zh-CN"/>
                    </w:rPr>
                    <w:t>化工重点监控点现状产品中百草枯、可可碱、</w:t>
                  </w:r>
                  <w:r>
                    <w:rPr>
                      <w:rFonts w:ascii="Times New Roman" w:eastAsia="宋体" w:cs="Times New Roman" w:hAnsi="Times New Roman"/>
                      <w:color w:val="auto"/>
                      <w:sz w:val="21"/>
                      <w:szCs w:val="21"/>
                      <w:lang w:val="en-US" w:eastAsia="zh-CN"/>
                    </w:rPr>
                    <w:t>咖啡因</w:t>
                  </w:r>
                  <w:r>
                    <w:rPr>
                      <w:rFonts w:ascii="Times New Roman" w:eastAsia="宋体" w:cs="Times New Roman" w:hAnsi="Times New Roman" w:hint="eastAsia"/>
                      <w:color w:val="auto"/>
                      <w:sz w:val="21"/>
                      <w:szCs w:val="21"/>
                      <w:lang w:val="en-US" w:eastAsia="zh-CN"/>
                    </w:rPr>
                    <w:t>属于《产业结构调整指导目录》</w:t>
                  </w:r>
                  <w:r>
                    <w:rPr>
                      <w:rFonts w:ascii="宋体" w:eastAsia="宋体" w:cs="Times New Roman" w:hAnsi="宋体" w:hint="eastAsia"/>
                      <w:color w:val="auto"/>
                      <w:sz w:val="21"/>
                      <w:szCs w:val="21"/>
                      <w:lang w:val="en-US" w:eastAsia="zh-CN"/>
                    </w:rPr>
                    <w:t>（</w:t>
                  </w:r>
                  <w:r>
                    <w:rPr>
                      <w:rFonts w:ascii="Times New Roman" w:eastAsia="宋体" w:cs="Times New Roman" w:hAnsi="Times New Roman" w:hint="eastAsia"/>
                      <w:color w:val="auto"/>
                      <w:sz w:val="21"/>
                      <w:szCs w:val="21"/>
                      <w:lang w:val="en-US" w:eastAsia="zh-CN"/>
                    </w:rPr>
                    <w:t>2024版</w:t>
                  </w:r>
                  <w:r>
                    <w:rPr>
                      <w:rFonts w:ascii="宋体" w:eastAsia="宋体" w:cs="Times New Roman" w:hAnsi="宋体" w:hint="eastAsia"/>
                      <w:color w:val="auto"/>
                      <w:sz w:val="21"/>
                      <w:szCs w:val="21"/>
                      <w:lang w:val="en-US" w:eastAsia="zh-CN"/>
                    </w:rPr>
                    <w:t>）</w:t>
                  </w:r>
                  <w:r>
                    <w:rPr>
                      <w:rFonts w:ascii="Times New Roman" w:eastAsia="宋体" w:cs="Times New Roman" w:hAnsi="Times New Roman" w:hint="eastAsia"/>
                      <w:color w:val="auto"/>
                      <w:sz w:val="21"/>
                      <w:szCs w:val="21"/>
                      <w:lang w:val="en-US" w:eastAsia="zh-CN"/>
                    </w:rPr>
                    <w:t>限制类产品。</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hint="eastAsia"/>
                      <w:color w:val="auto"/>
                      <w:sz w:val="21"/>
                      <w:szCs w:val="21"/>
                      <w:lang w:val="en-US" w:eastAsia="zh-CN"/>
                    </w:rPr>
                  </w:pPr>
                  <w:r>
                    <w:rPr>
                      <w:rFonts w:ascii="Times New Roman" w:eastAsia="宋体" w:cs="Times New Roman" w:hAnsi="Times New Roman" w:hint="eastAsia"/>
                      <w:color w:val="auto"/>
                      <w:sz w:val="21"/>
                      <w:szCs w:val="21"/>
                      <w:lang w:val="en-US" w:eastAsia="zh-CN"/>
                    </w:rPr>
                    <w:t>①石家庄杰克化工有限公司、河北圣泰材料股份有限公司、石家庄驰远化工有限公司（及第一分公司）、河北三农农用化工有限公司、石家庄宝丰化工有限公司、石药创新制药股份有限公司、河北科硕化工有限公司周边无可发展用地，在无用地指标前，用地规模及范围控制在现有厂区内，可根据《石家庄市化工重点监控点认定程序和管理办法》，依法依规在厂区内新建、改建、扩建现有装备产品和产业链上下游项目。</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hint="eastAsia"/>
                      <w:color w:val="auto"/>
                      <w:sz w:val="21"/>
                      <w:szCs w:val="21"/>
                      <w:lang w:val="en-US" w:eastAsia="zh-CN"/>
                    </w:rPr>
                  </w:pPr>
                  <w:r>
                    <w:rPr>
                      <w:rFonts w:ascii="Times New Roman" w:eastAsia="宋体" w:cs="Times New Roman" w:hAnsi="Times New Roman" w:hint="eastAsia"/>
                      <w:color w:val="auto"/>
                      <w:sz w:val="21"/>
                      <w:szCs w:val="21"/>
                      <w:lang w:val="en-US" w:eastAsia="zh-CN"/>
                    </w:rPr>
                    <w:t>②河北圣泰材料股份有限公司子公司河北圣泰锂化新材料科技有限公司周边有闲置用地，在无用地指标前，用地规模及范围控制在现有厂区内，用地指标落实后可根据《石家庄市化工重点监控点认定程序和管理办法》，可依法依规在厂区内或紧邻厂区新建、改建、扩建现有装备产品和产业链上下游项目。</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ascii="Times New Roman" w:eastAsia="宋体" w:cs="Times New Roman" w:hAnsi="Times New Roman"/>
                      <w:color w:val="auto"/>
                      <w:sz w:val="21"/>
                      <w:szCs w:val="21"/>
                      <w:lang w:val="en-US" w:eastAsia="zh-CN"/>
                    </w:rPr>
                  </w:pPr>
                  <w:r>
                    <w:rPr>
                      <w:rFonts w:ascii="Times New Roman" w:eastAsia="宋体" w:cs="Times New Roman" w:hAnsi="Times New Roman" w:hint="eastAsia"/>
                      <w:color w:val="auto"/>
                      <w:sz w:val="21"/>
                      <w:szCs w:val="21"/>
                      <w:lang w:val="en-US" w:eastAsia="zh-CN"/>
                    </w:rPr>
                    <w:t>7、严格建设用地土壤环境准入。在永久基本农田集中区域禁止新建重金属、持久性有机污染物类项目。装备制造行业禁止</w:t>
                  </w:r>
                  <w:r>
                    <w:rPr>
                      <w:rFonts w:cs="Times New Roman" w:hint="eastAsia"/>
                      <w:color w:val="auto"/>
                      <w:spacing w:val="0"/>
                      <w:sz w:val="21"/>
                      <w:szCs w:val="21"/>
                      <w:lang w:val="en-US" w:eastAsia="zh-CN"/>
                    </w:rPr>
                    <w:t>建设集中电镀、镀层、阳极氧化的金属表面处理及热处理加工企业。</w:t>
                  </w:r>
                  <w:r>
                    <w:rPr>
                      <w:rFonts w:ascii="Times New Roman" w:eastAsia="宋体" w:cs="Times New Roman" w:hAnsi="Times New Roman" w:hint="eastAsia"/>
                      <w:color w:val="auto"/>
                      <w:spacing w:val="0"/>
                      <w:kern w:val="2"/>
                      <w:sz w:val="21"/>
                      <w:szCs w:val="21"/>
                      <w:lang w:val="en-US" w:eastAsia="zh-CN" w:bidi="ar-SA"/>
                    </w:rPr>
                    <w:t>战略性新兴产业和高新技术产业，新、改、扩建项目包括少量电镀、涂装、酸洗等表面处理工艺，但不属于主要生产工序的，不视为表面处理建设项目，新增少量电镀工序企业，不排放含重金属的废水（采用无氰电镀，禁止采用剧毒的氰化物电解液）。</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ascii="Times New Roman" w:eastAsia="宋体" w:cs="Times New Roman" w:hAnsi="Times New Roman"/>
                      <w:color w:val="auto"/>
                      <w:sz w:val="21"/>
                      <w:szCs w:val="21"/>
                      <w:lang w:val="en-US" w:eastAsia="zh-CN"/>
                    </w:rPr>
                  </w:pPr>
                  <w:r>
                    <w:rPr>
                      <w:rFonts w:ascii="Times New Roman" w:eastAsia="宋体" w:cs="Times New Roman" w:hAnsi="Times New Roman" w:hint="eastAsia"/>
                      <w:color w:val="auto"/>
                      <w:sz w:val="21"/>
                      <w:szCs w:val="21"/>
                      <w:lang w:val="en-US" w:eastAsia="zh-CN"/>
                    </w:rPr>
                    <w:t>8、现状化工企业（非化工重点监控点）禁止新建、改扩建</w:t>
                  </w:r>
                  <w:r>
                    <w:rPr>
                      <w:rFonts w:ascii="宋体" w:eastAsia="宋体" w:cs="Times New Roman" w:hAnsi="宋体" w:hint="eastAsia"/>
                      <w:color w:val="auto"/>
                      <w:sz w:val="21"/>
                      <w:szCs w:val="21"/>
                      <w:lang w:val="en-US" w:eastAsia="zh-CN"/>
                    </w:rPr>
                    <w:t>（</w:t>
                  </w:r>
                  <w:r>
                    <w:rPr>
                      <w:rFonts w:ascii="Times New Roman" w:eastAsia="宋体" w:cs="Times New Roman" w:hAnsi="Times New Roman" w:hint="eastAsia"/>
                      <w:color w:val="auto"/>
                      <w:sz w:val="21"/>
                      <w:szCs w:val="21"/>
                      <w:lang w:val="en-US" w:eastAsia="zh-CN"/>
                    </w:rPr>
                    <w:t>安全、环保、节能和智能化改造项目除外</w:t>
                  </w:r>
                  <w:r>
                    <w:rPr>
                      <w:rFonts w:ascii="宋体" w:eastAsia="宋体" w:cs="Times New Roman" w:hAnsi="宋体" w:hint="eastAsia"/>
                      <w:color w:val="auto"/>
                      <w:sz w:val="21"/>
                      <w:szCs w:val="21"/>
                      <w:lang w:val="en-US" w:eastAsia="zh-CN"/>
                    </w:rPr>
                    <w:t>）。</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ascii="Times New Roman" w:eastAsia="宋体" w:cs="Times New Roman" w:hAnsi="Times New Roman"/>
                      <w:color w:val="auto"/>
                      <w:sz w:val="21"/>
                      <w:szCs w:val="21"/>
                      <w:lang w:val="en-US" w:eastAsia="zh-CN"/>
                    </w:rPr>
                  </w:pPr>
                  <w:r>
                    <w:rPr>
                      <w:rFonts w:ascii="Times New Roman" w:eastAsia="宋体" w:cs="Times New Roman" w:hAnsi="Times New Roman" w:hint="eastAsia"/>
                      <w:color w:val="auto"/>
                      <w:sz w:val="21"/>
                      <w:szCs w:val="21"/>
                      <w:lang w:val="en-US" w:eastAsia="zh-CN"/>
                    </w:rPr>
                    <w:t>9、</w:t>
                  </w:r>
                  <w:r>
                    <w:rPr>
                      <w:rFonts w:ascii="宋体" w:eastAsia="宋体" w:cs="宋体" w:hAnsi="宋体" w:hint="eastAsia"/>
                      <w:color w:val="auto"/>
                      <w:kern w:val="0"/>
                      <w:sz w:val="21"/>
                      <w:szCs w:val="21"/>
                      <w:lang w:val="en-US" w:eastAsia="zh-CN"/>
                    </w:rPr>
                    <w:t>根据《河北省生态环境分区管控更新成果（</w:t>
                  </w:r>
                  <w:r>
                    <w:rPr>
                      <w:rFonts w:ascii="Times New Roman" w:eastAsia="宋体" w:cs="Times New Roman" w:hAnsi="Times New Roman"/>
                      <w:color w:val="auto"/>
                      <w:kern w:val="0"/>
                      <w:sz w:val="21"/>
                      <w:szCs w:val="21"/>
                      <w:lang w:val="en-US" w:eastAsia="zh-CN"/>
                    </w:rPr>
                    <w:t>2023</w:t>
                  </w:r>
                  <w:r>
                    <w:rPr>
                      <w:rFonts w:ascii="宋体" w:eastAsia="宋体" w:cs="宋体" w:hAnsi="宋体" w:hint="eastAsia"/>
                      <w:color w:val="auto"/>
                      <w:kern w:val="0"/>
                      <w:sz w:val="21"/>
                      <w:szCs w:val="21"/>
                      <w:lang w:val="en-US" w:eastAsia="zh-CN"/>
                    </w:rPr>
                    <w:t>版）》、《</w:t>
                  </w:r>
                  <w:r>
                    <w:rPr>
                      <w:rFonts w:ascii="宋体" w:eastAsia="宋体" w:cs="宋体" w:hAnsi="宋体"/>
                      <w:color w:val="auto"/>
                      <w:kern w:val="0"/>
                      <w:sz w:val="21"/>
                      <w:szCs w:val="21"/>
                      <w:lang w:val="en-US" w:eastAsia="zh-CN"/>
                    </w:rPr>
                    <w:t>石家庄市生态环境准入清单</w:t>
                  </w:r>
                  <w:r>
                    <w:rPr>
                      <w:rFonts w:ascii="宋体" w:eastAsia="宋体" w:cs="宋体" w:hAnsi="宋体" w:hint="eastAsia"/>
                      <w:color w:val="auto"/>
                      <w:kern w:val="0"/>
                      <w:sz w:val="21"/>
                      <w:szCs w:val="21"/>
                      <w:lang w:val="en-US" w:eastAsia="zh-CN"/>
                    </w:rPr>
                    <w:t>（</w:t>
                  </w:r>
                  <w:r>
                    <w:rPr>
                      <w:rFonts w:ascii="Times New Roman" w:eastAsia="宋体" w:cs="Times New Roman" w:hAnsi="Times New Roman"/>
                      <w:color w:val="auto"/>
                      <w:kern w:val="0"/>
                      <w:sz w:val="21"/>
                      <w:szCs w:val="21"/>
                      <w:lang w:val="en-US" w:eastAsia="zh-CN"/>
                    </w:rPr>
                    <w:t>2023版</w:t>
                  </w:r>
                  <w:r>
                    <w:rPr>
                      <w:rFonts w:ascii="宋体" w:eastAsia="宋体" w:cs="宋体" w:hAnsi="宋体" w:hint="eastAsia"/>
                      <w:color w:val="auto"/>
                      <w:kern w:val="0"/>
                      <w:sz w:val="21"/>
                      <w:szCs w:val="21"/>
                      <w:lang w:val="en-US" w:eastAsia="zh-CN"/>
                    </w:rPr>
                    <w:t>）》中地表水环境总体管控要求，严格控制高污染、高耗水行业新增产能。食品加工业根据《关于印发钢铁等十八项工业用水定额的通知》，禁止建设高耗水项目。</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color w:val="auto"/>
                      <w:sz w:val="21"/>
                      <w:szCs w:val="21"/>
                      <w:lang w:val="en-US" w:eastAsia="zh-CN"/>
                    </w:rPr>
                  </w:pPr>
                  <w:r>
                    <w:rPr>
                      <w:rFonts w:ascii="Times New Roman" w:eastAsia="宋体" w:cs="Times New Roman" w:hAnsi="Times New Roman"/>
                      <w:color w:val="auto"/>
                      <w:sz w:val="21"/>
                      <w:szCs w:val="21"/>
                      <w:lang w:val="en-US" w:eastAsia="zh-CN"/>
                    </w:rPr>
                    <w:t>10、医药制造业：结合产业规划及《石家庄市人民政府关于认定石家庄市第二批化工重点监控点的通知》（石政函[2023]10号）要求，本次评价提出河北科硕化工有限公司、神威药业集团有限公司、石药创新制药股份有限公司新建、扩建化学药品原料药制造项目应满足以下条件：a、建设范围控制在现有厂区内部。b、距离居住用地、教育用地0～50m范围内禁止新上涉及废气排放的工序；50～100m范围内新上涉及废气排放的工序应执行A级企业管控要求，并严格控制恶臭异味物质排放，以减少工业活动对居民生活的影响。</w:t>
                  </w:r>
                </w:p>
              </w:tc>
              <w:tc>
                <w:tcPr>
                  <w:tcW w:w="1436"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hint="eastAsia"/>
                      <w:color w:val="auto"/>
                      <w:spacing w:val="0"/>
                      <w:position w:val="0"/>
                      <w:sz w:val="21"/>
                      <w:szCs w:val="21"/>
                      <w:lang w:eastAsia="zh-CN"/>
                    </w:rPr>
                  </w:pPr>
                  <w:r>
                    <w:rPr>
                      <w:rFonts w:ascii="Times New Roman" w:eastAsia="宋体" w:cs="Times New Roman" w:hAnsi="Times New Roman" w:hint="eastAsia"/>
                      <w:color w:val="auto"/>
                      <w:sz w:val="21"/>
                      <w:szCs w:val="21"/>
                      <w:lang w:val="en-US" w:eastAsia="zh-CN"/>
                    </w:rPr>
                    <w:t>1、</w:t>
                  </w:r>
                  <w:r>
                    <w:rPr>
                      <w:rFonts w:ascii="Times New Roman" w:cs="Times New Roman" w:hAnsi="Times New Roman" w:hint="eastAsia"/>
                      <w:color w:val="auto"/>
                      <w:sz w:val="21"/>
                      <w:szCs w:val="21"/>
                      <w:lang w:val="en-US" w:eastAsia="zh-CN"/>
                    </w:rPr>
                    <w:t>本项目</w:t>
                  </w:r>
                  <w:r>
                    <w:rPr>
                      <w:rFonts w:hint="eastAsia"/>
                      <w:color w:val="auto"/>
                      <w:spacing w:val="0"/>
                      <w:position w:val="0"/>
                      <w:sz w:val="21"/>
                      <w:szCs w:val="21"/>
                      <w:lang w:eastAsia="zh-CN"/>
                    </w:rPr>
                    <w:t>不属于</w:t>
                  </w:r>
                  <w:r>
                    <w:rPr>
                      <w:color w:val="auto"/>
                      <w:spacing w:val="0"/>
                      <w:position w:val="0"/>
                      <w:sz w:val="21"/>
                      <w:szCs w:val="21"/>
                    </w:rPr>
                    <w:t>《产业结构调整指导目录（</w:t>
                  </w:r>
                  <w:r>
                    <w:rPr>
                      <w:rFonts w:ascii="Times New Roman" w:eastAsia="Times New Roman" w:cs="Times New Roman" w:hAnsi="Times New Roman"/>
                      <w:color w:val="auto"/>
                      <w:spacing w:val="0"/>
                      <w:position w:val="0"/>
                      <w:sz w:val="21"/>
                      <w:szCs w:val="21"/>
                    </w:rPr>
                    <w:t>2024</w:t>
                  </w:r>
                  <w:r>
                    <w:rPr>
                      <w:color w:val="auto"/>
                      <w:spacing w:val="0"/>
                      <w:position w:val="0"/>
                      <w:sz w:val="21"/>
                      <w:szCs w:val="21"/>
                    </w:rPr>
                    <w:t>年本）》中</w:t>
                  </w:r>
                  <w:r>
                    <w:rPr>
                      <w:rFonts w:hint="eastAsia"/>
                      <w:color w:val="auto"/>
                      <w:spacing w:val="0"/>
                      <w:position w:val="0"/>
                      <w:sz w:val="21"/>
                      <w:szCs w:val="21"/>
                      <w:lang w:val="en-US" w:eastAsia="zh-CN"/>
                    </w:rPr>
                    <w:t>限制类、淘汰类</w:t>
                  </w:r>
                  <w:r>
                    <w:rPr>
                      <w:color w:val="auto"/>
                      <w:spacing w:val="0"/>
                      <w:position w:val="0"/>
                      <w:sz w:val="21"/>
                      <w:szCs w:val="21"/>
                    </w:rPr>
                    <w:t>项目</w:t>
                  </w:r>
                  <w:r>
                    <w:rPr>
                      <w:rFonts w:hint="eastAsia"/>
                      <w:color w:val="auto"/>
                      <w:spacing w:val="0"/>
                      <w:position w:val="0"/>
                      <w:sz w:val="21"/>
                      <w:szCs w:val="21"/>
                      <w:lang w:eastAsia="zh-CN"/>
                    </w:rPr>
                    <w:t>；</w:t>
                  </w:r>
                </w:p>
                <w:p>
                  <w:pPr>
                    <w:pStyle w:val="25"/>
                    <w:keepNext w:val="0"/>
                    <w:keepLines w:val="0"/>
                    <w:pageBreakBefore w:val="0"/>
                    <w:kinsoku/>
                    <w:wordWrap/>
                    <w:overflowPunct/>
                    <w:topLinePunct w:val="0"/>
                    <w:autoSpaceDE/>
                    <w:autoSpaceDN/>
                    <w:bidi w:val="0"/>
                    <w:spacing w:line="280" w:lineRule="exact"/>
                    <w:ind w:leftChars="0" w:left="0" w:firstLineChars="0" w:firstLine="0"/>
                    <w:textAlignment w:val="auto"/>
                    <w:rPr>
                      <w:rFonts w:hint="eastAsia"/>
                      <w:color w:val="auto"/>
                      <w:spacing w:val="0"/>
                      <w:position w:val="0"/>
                      <w:sz w:val="21"/>
                      <w:szCs w:val="21"/>
                      <w:lang w:val="en-US" w:eastAsia="zh-CN"/>
                    </w:rPr>
                  </w:pPr>
                  <w:r>
                    <w:rPr>
                      <w:rFonts w:hint="eastAsia"/>
                      <w:color w:val="auto"/>
                      <w:spacing w:val="0"/>
                      <w:position w:val="0"/>
                      <w:sz w:val="21"/>
                      <w:szCs w:val="21"/>
                      <w:lang w:val="en-US" w:eastAsia="zh-CN"/>
                    </w:rPr>
                    <w:t>2、不涉及；</w:t>
                  </w:r>
                </w:p>
                <w:p>
                  <w:pPr>
                    <w:keepNext w:val="0"/>
                    <w:keepLines w:val="0"/>
                    <w:pageBreakBefore w:val="0"/>
                    <w:kinsoku/>
                    <w:wordWrap/>
                    <w:overflowPunct/>
                    <w:topLinePunct w:val="0"/>
                    <w:autoSpaceDE/>
                    <w:autoSpaceDN/>
                    <w:bidi w:val="0"/>
                    <w:spacing w:line="280" w:lineRule="exact"/>
                    <w:ind w:left="0" w:firstLineChars="0" w:firstLine="0"/>
                    <w:textAlignment w:val="auto"/>
                    <w:rPr>
                      <w:rFonts w:ascii="Times New Roman" w:eastAsia="宋体" w:cs="Times New Roman" w:hAnsi="Times New Roman" w:hint="eastAsia"/>
                      <w:color w:val="auto"/>
                      <w:kern w:val="0"/>
                      <w:sz w:val="21"/>
                      <w:szCs w:val="21"/>
                      <w:lang w:val="en-US" w:eastAsia="zh-CN"/>
                    </w:rPr>
                  </w:pPr>
                  <w:r>
                    <w:rPr>
                      <w:rFonts w:hint="eastAsia"/>
                      <w:color w:val="auto"/>
                      <w:spacing w:val="0"/>
                      <w:position w:val="0"/>
                      <w:sz w:val="21"/>
                      <w:szCs w:val="21"/>
                      <w:lang w:val="en-US" w:eastAsia="zh-CN"/>
                    </w:rPr>
                    <w:t>3、不涉及</w:t>
                  </w:r>
                  <w:r>
                    <w:rPr>
                      <w:rFonts w:ascii="Times New Roman" w:eastAsia="宋体" w:cs="Times New Roman" w:hAnsi="Times New Roman" w:hint="eastAsia"/>
                      <w:color w:val="auto"/>
                      <w:kern w:val="0"/>
                      <w:sz w:val="21"/>
                      <w:szCs w:val="21"/>
                      <w:lang w:val="en-US" w:eastAsia="zh-CN"/>
                    </w:rPr>
                    <w:t>；</w:t>
                  </w:r>
                </w:p>
                <w:p>
                  <w:pPr>
                    <w:keepNext w:val="0"/>
                    <w:keepLines w:val="0"/>
                    <w:pageBreakBefore w:val="0"/>
                    <w:kinsoku/>
                    <w:wordWrap/>
                    <w:overflowPunct/>
                    <w:topLinePunct w:val="0"/>
                    <w:autoSpaceDE/>
                    <w:autoSpaceDN/>
                    <w:bidi w:val="0"/>
                    <w:spacing w:line="280" w:lineRule="exact"/>
                    <w:ind w:left="0" w:firstLineChars="0" w:firstLine="0"/>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4、不涉及；</w:t>
                  </w:r>
                </w:p>
                <w:p>
                  <w:pPr>
                    <w:keepNext w:val="0"/>
                    <w:keepLines w:val="0"/>
                    <w:pageBreakBefore w:val="0"/>
                    <w:kinsoku/>
                    <w:wordWrap/>
                    <w:overflowPunct/>
                    <w:topLinePunct w:val="0"/>
                    <w:autoSpaceDE/>
                    <w:autoSpaceDN/>
                    <w:bidi w:val="0"/>
                    <w:spacing w:line="280" w:lineRule="exact"/>
                    <w:ind w:left="0" w:firstLineChars="0" w:firstLine="0"/>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5、本项目使用天然气且不在禁燃区内；</w:t>
                  </w:r>
                </w:p>
                <w:p>
                  <w:pPr>
                    <w:keepNext w:val="0"/>
                    <w:keepLines w:val="0"/>
                    <w:pageBreakBefore w:val="0"/>
                    <w:kinsoku/>
                    <w:wordWrap/>
                    <w:overflowPunct/>
                    <w:topLinePunct w:val="0"/>
                    <w:autoSpaceDE/>
                    <w:autoSpaceDN/>
                    <w:bidi w:val="0"/>
                    <w:spacing w:line="280" w:lineRule="exact"/>
                    <w:ind w:left="0" w:firstLineChars="0" w:firstLine="0"/>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6、不涉及；</w:t>
                  </w:r>
                </w:p>
                <w:p>
                  <w:pPr>
                    <w:keepNext w:val="0"/>
                    <w:keepLines w:val="0"/>
                    <w:pageBreakBefore w:val="0"/>
                    <w:kinsoku/>
                    <w:wordWrap/>
                    <w:overflowPunct/>
                    <w:topLinePunct w:val="0"/>
                    <w:autoSpaceDE/>
                    <w:autoSpaceDN/>
                    <w:bidi w:val="0"/>
                    <w:spacing w:line="280" w:lineRule="exact"/>
                    <w:ind w:left="0" w:firstLineChars="0" w:firstLine="0"/>
                    <w:textAlignment w:val="auto"/>
                    <w:rPr>
                      <w:rFonts w:cs="Times New Roman" w:hint="eastAsia"/>
                      <w:color w:val="auto"/>
                      <w:spacing w:val="0"/>
                      <w:sz w:val="21"/>
                      <w:szCs w:val="21"/>
                      <w:lang w:val="en-US" w:eastAsia="zh-CN"/>
                    </w:rPr>
                  </w:pPr>
                  <w:r>
                    <w:rPr>
                      <w:rFonts w:ascii="Times New Roman" w:eastAsia="宋体" w:cs="Times New Roman" w:hAnsi="Times New Roman" w:hint="eastAsia"/>
                      <w:color w:val="auto"/>
                      <w:kern w:val="0"/>
                      <w:sz w:val="21"/>
                      <w:szCs w:val="21"/>
                      <w:lang w:val="en-US" w:eastAsia="zh-CN"/>
                    </w:rPr>
                    <w:t>7、</w:t>
                  </w:r>
                  <w:r>
                    <w:rPr>
                      <w:rFonts w:ascii="Times New Roman" w:cs="Times New Roman" w:hAnsi="Times New Roman"/>
                      <w:color w:val="auto"/>
                      <w:spacing w:val="0"/>
                      <w:position w:val="0"/>
                      <w:sz w:val="21"/>
                      <w:szCs w:val="21"/>
                    </w:rPr>
                    <w:t>项目</w:t>
                  </w:r>
                  <w:r>
                    <w:rPr>
                      <w:rFonts w:ascii="Times New Roman" w:cs="Times New Roman" w:hAnsi="Times New Roman"/>
                      <w:color w:val="auto"/>
                      <w:spacing w:val="0"/>
                      <w:position w:val="0"/>
                      <w:sz w:val="21"/>
                      <w:szCs w:val="21"/>
                      <w:lang w:eastAsia="zh-CN"/>
                    </w:rPr>
                    <w:t>在现有厂区内建设</w:t>
                  </w:r>
                  <w:r>
                    <w:rPr>
                      <w:rFonts w:ascii="Times New Roman" w:cs="Times New Roman" w:hAnsi="Times New Roman"/>
                      <w:color w:val="auto"/>
                      <w:spacing w:val="0"/>
                      <w:position w:val="0"/>
                      <w:sz w:val="21"/>
                      <w:szCs w:val="21"/>
                    </w:rPr>
                    <w:t>，</w:t>
                  </w:r>
                  <w:r>
                    <w:rPr>
                      <w:rFonts w:ascii="Times New Roman" w:cs="Times New Roman" w:hAnsi="Times New Roman" w:hint="eastAsia"/>
                      <w:color w:val="auto"/>
                      <w:spacing w:val="0"/>
                      <w:position w:val="0"/>
                      <w:sz w:val="21"/>
                      <w:szCs w:val="21"/>
                      <w:lang w:eastAsia="zh-CN"/>
                    </w:rPr>
                    <w:t>不新增占地，现有占地为工业用地，不占用</w:t>
                  </w:r>
                  <w:r>
                    <w:rPr>
                      <w:rFonts w:ascii="Times New Roman" w:eastAsia="宋体" w:cs="Times New Roman" w:hAnsi="Times New Roman" w:hint="eastAsia"/>
                      <w:color w:val="auto"/>
                      <w:sz w:val="21"/>
                      <w:szCs w:val="21"/>
                      <w:lang w:val="en-US" w:eastAsia="zh-CN"/>
                    </w:rPr>
                    <w:t>永久基本农田，本项目不属于</w:t>
                  </w:r>
                  <w:r>
                    <w:rPr>
                      <w:rFonts w:cs="Times New Roman" w:hint="eastAsia"/>
                      <w:color w:val="auto"/>
                      <w:spacing w:val="0"/>
                      <w:sz w:val="21"/>
                      <w:szCs w:val="21"/>
                      <w:lang w:val="en-US" w:eastAsia="zh-CN"/>
                    </w:rPr>
                    <w:t>电镀、镀层、阳极氧化的金属表面处理及热处理加工项目；</w:t>
                  </w:r>
                </w:p>
                <w:p>
                  <w:pPr>
                    <w:keepNext w:val="0"/>
                    <w:keepLines w:val="0"/>
                    <w:pageBreakBefore w:val="0"/>
                    <w:kinsoku/>
                    <w:wordWrap/>
                    <w:overflowPunct/>
                    <w:topLinePunct w:val="0"/>
                    <w:autoSpaceDE/>
                    <w:autoSpaceDN/>
                    <w:bidi w:val="0"/>
                    <w:spacing w:line="280" w:lineRule="exact"/>
                    <w:ind w:left="0" w:firstLineChars="0" w:firstLine="0"/>
                    <w:textAlignment w:val="auto"/>
                    <w:rPr>
                      <w:rFonts w:cs="Times New Roman" w:hint="eastAsia"/>
                      <w:color w:val="auto"/>
                      <w:spacing w:val="0"/>
                      <w:sz w:val="21"/>
                      <w:szCs w:val="21"/>
                      <w:lang w:val="en-US" w:eastAsia="zh-CN"/>
                    </w:rPr>
                  </w:pPr>
                  <w:r>
                    <w:rPr>
                      <w:rFonts w:cs="Times New Roman" w:hint="eastAsia"/>
                      <w:color w:val="auto"/>
                      <w:spacing w:val="0"/>
                      <w:sz w:val="21"/>
                      <w:szCs w:val="21"/>
                      <w:lang w:val="en-US" w:eastAsia="zh-CN"/>
                    </w:rPr>
                    <w:t>8、不涉及；</w:t>
                  </w:r>
                </w:p>
                <w:p>
                  <w:pPr>
                    <w:keepNext w:val="0"/>
                    <w:keepLines w:val="0"/>
                    <w:pageBreakBefore w:val="0"/>
                    <w:kinsoku/>
                    <w:wordWrap/>
                    <w:overflowPunct/>
                    <w:topLinePunct w:val="0"/>
                    <w:autoSpaceDE/>
                    <w:autoSpaceDN/>
                    <w:bidi w:val="0"/>
                    <w:spacing w:line="280" w:lineRule="exact"/>
                    <w:ind w:left="0" w:firstLineChars="0" w:firstLine="0"/>
                    <w:textAlignment w:val="auto"/>
                    <w:rPr>
                      <w:rFonts w:ascii="宋体" w:eastAsia="宋体" w:cs="宋体" w:hAnsi="宋体" w:hint="eastAsia"/>
                      <w:color w:val="auto"/>
                      <w:kern w:val="0"/>
                      <w:sz w:val="21"/>
                      <w:szCs w:val="21"/>
                      <w:lang w:val="en-US" w:eastAsia="zh-CN"/>
                    </w:rPr>
                  </w:pPr>
                  <w:r>
                    <w:rPr>
                      <w:rFonts w:cs="Times New Roman" w:hint="eastAsia"/>
                      <w:color w:val="auto"/>
                      <w:spacing w:val="0"/>
                      <w:sz w:val="21"/>
                      <w:szCs w:val="21"/>
                      <w:lang w:val="en-US" w:eastAsia="zh-CN"/>
                    </w:rPr>
                    <w:t>9、本项目不属于</w:t>
                  </w:r>
                  <w:r>
                    <w:rPr>
                      <w:rFonts w:ascii="宋体" w:eastAsia="宋体" w:cs="宋体" w:hAnsi="宋体" w:hint="eastAsia"/>
                      <w:color w:val="auto"/>
                      <w:kern w:val="0"/>
                      <w:sz w:val="21"/>
                      <w:szCs w:val="21"/>
                      <w:lang w:val="en-US" w:eastAsia="zh-CN"/>
                    </w:rPr>
                    <w:t>高耗水项目；</w:t>
                  </w:r>
                </w:p>
                <w:p>
                  <w:pPr>
                    <w:keepNext w:val="0"/>
                    <w:keepLines w:val="0"/>
                    <w:pageBreakBefore w:val="0"/>
                    <w:kinsoku/>
                    <w:wordWrap/>
                    <w:overflowPunct/>
                    <w:topLinePunct w:val="0"/>
                    <w:autoSpaceDE/>
                    <w:autoSpaceDN/>
                    <w:bidi w:val="0"/>
                    <w:spacing w:line="280" w:lineRule="exact"/>
                    <w:ind w:left="0" w:firstLineChars="0" w:firstLine="0"/>
                    <w:textAlignment w:val="auto"/>
                    <w:rPr>
                      <w:rFonts w:ascii="宋体" w:eastAsia="宋体" w:cs="宋体" w:hAnsi="宋体"/>
                      <w:color w:val="auto"/>
                      <w:kern w:val="0"/>
                      <w:sz w:val="21"/>
                      <w:szCs w:val="21"/>
                      <w:lang w:val="en-US" w:eastAsia="zh-CN"/>
                    </w:rPr>
                  </w:pPr>
                  <w:r>
                    <w:rPr>
                      <w:rFonts w:ascii="宋体" w:eastAsia="宋体" w:cs="宋体" w:hAnsi="宋体" w:hint="eastAsia"/>
                      <w:color w:val="auto"/>
                      <w:kern w:val="0"/>
                      <w:sz w:val="21"/>
                      <w:szCs w:val="21"/>
                      <w:lang w:val="en-US" w:eastAsia="zh-CN"/>
                    </w:rPr>
                    <w:t>10、不涉及</w:t>
                  </w:r>
                </w:p>
              </w:tc>
              <w:tc>
                <w:tcPr>
                  <w:tcW w:w="198"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center"/>
                    <w:textAlignment w:val="auto"/>
                    <w:rPr>
                      <w:rFonts w:ascii="Times New Roman" w:eastAsia="宋体" w:cs="Times New Roman" w:hAnsi="Times New Roman"/>
                      <w:color w:val="auto"/>
                      <w:sz w:val="21"/>
                      <w:szCs w:val="21"/>
                      <w:lang w:val="en-US" w:eastAsia="zh-CN"/>
                    </w:rPr>
                  </w:pPr>
                  <w:r>
                    <w:rPr>
                      <w:rFonts w:ascii="Times New Roman" w:eastAsia="宋体" w:cs="Times New Roman" w:hAnsi="Times New Roman" w:hint="eastAsia"/>
                      <w:color w:val="auto"/>
                      <w:sz w:val="21"/>
                      <w:szCs w:val="21"/>
                      <w:lang w:val="en-US" w:eastAsia="zh-CN"/>
                    </w:rPr>
                    <w:t>符合</w:t>
                  </w:r>
                </w:p>
              </w:tc>
            </w:tr>
            <w:tr>
              <w:trPr>
                <w:trHeight w:val="264"/>
              </w:trPr>
              <w:tc>
                <w:tcPr>
                  <w:tcW w:w="147" w:type="pct"/>
                  <w:vMerge/>
                  <w:vAlign w:val="center"/>
                </w:tcPr>
                <w:p/>
              </w:tc>
              <w:tc>
                <w:tcPr>
                  <w:tcW w:w="169"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both"/>
                    <w:textAlignment w:val="auto"/>
                    <w:rPr>
                      <w:rFonts w:ascii="Times New Roman" w:cs="Times New Roman" w:hAnsi="Times New Roman"/>
                      <w:color w:val="auto"/>
                      <w:sz w:val="21"/>
                      <w:szCs w:val="21"/>
                    </w:rPr>
                  </w:pPr>
                  <w:r>
                    <w:rPr>
                      <w:rFonts w:ascii="Times New Roman" w:cs="Times New Roman" w:hAnsi="Times New Roman"/>
                      <w:color w:val="auto"/>
                      <w:sz w:val="21"/>
                      <w:szCs w:val="21"/>
                    </w:rPr>
                    <w:t>空间布局约束</w:t>
                  </w:r>
                </w:p>
              </w:tc>
              <w:tc>
                <w:tcPr>
                  <w:tcW w:w="3048"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color w:val="auto"/>
                      <w:kern w:val="0"/>
                      <w:sz w:val="21"/>
                      <w:szCs w:val="21"/>
                      <w:lang w:val="en-US" w:eastAsia="zh-CN"/>
                    </w:rPr>
                  </w:pPr>
                  <w:r>
                    <w:rPr>
                      <w:rFonts w:ascii="Times New Roman" w:eastAsia="宋体" w:cs="Times New Roman" w:hAnsi="Times New Roman"/>
                      <w:color w:val="auto"/>
                      <w:kern w:val="0"/>
                      <w:sz w:val="21"/>
                      <w:szCs w:val="21"/>
                      <w:lang w:val="en-US" w:eastAsia="zh-CN"/>
                    </w:rPr>
                    <w:t>1</w:t>
                  </w:r>
                  <w:r>
                    <w:rPr>
                      <w:rFonts w:ascii="Times New Roman" w:eastAsia="宋体" w:cs="Times New Roman" w:hAnsi="Times New Roman" w:hint="eastAsia"/>
                      <w:color w:val="auto"/>
                      <w:kern w:val="0"/>
                      <w:sz w:val="21"/>
                      <w:szCs w:val="21"/>
                      <w:lang w:val="en-US" w:eastAsia="zh-CN"/>
                    </w:rPr>
                    <w:t>、禁止在公园绿地、防护绿地等规划绿地范围内开展与绿地无关的建设活动。</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2、禁止占用公路用地红线，在公路两侧建筑控制线范围内，禁止建设除公路附属设施外的其他永久性建筑物、构筑物和设施。</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3、产业园区及周边划定了2处饮用水源地一级保护区，石家庄市栾城区水利局第一供水厂水源地一级保护区、交通公园水源井（1#）一级保护区。</w:t>
                  </w:r>
                  <w:r>
                    <w:rPr>
                      <w:rFonts w:ascii="Times New Roman" w:eastAsia="宋体" w:cs="Times New Roman" w:hAnsi="Times New Roman" w:hint="eastAsia"/>
                      <w:color w:val="auto"/>
                      <w:spacing w:val="0"/>
                      <w:sz w:val="21"/>
                      <w:szCs w:val="21"/>
                      <w:lang w:val="en-US" w:eastAsia="zh-CN"/>
                    </w:rPr>
                    <w:t>①在饮用水水源保护区内，禁止设置排污口。②禁止在饮用水水源一级保护区内新建、改建、扩建与供水设施和保护水源无关的建设项目；已建成的与供水设施和保护水源无关的建设项目，由县级以上人民政府责令拆除或者关闭。③禁止在饮用水水源一级保护区内从事网箱养殖、旅游、游泳、垂钓或者其他可能污染饮用水水体的活动。④禁止建设工业、生活排污口。⑤禁止新增农业种植和经济林。</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spacing w:val="0"/>
                      <w:sz w:val="21"/>
                      <w:szCs w:val="21"/>
                      <w:lang w:val="en-US" w:eastAsia="zh-CN"/>
                    </w:rPr>
                  </w:pPr>
                  <w:r>
                    <w:rPr>
                      <w:rFonts w:ascii="Times New Roman" w:eastAsia="宋体" w:cs="Times New Roman" w:hAnsi="Times New Roman" w:hint="eastAsia"/>
                      <w:color w:val="auto"/>
                      <w:kern w:val="0"/>
                      <w:sz w:val="21"/>
                      <w:szCs w:val="21"/>
                      <w:lang w:val="en-US" w:eastAsia="zh-CN"/>
                    </w:rPr>
                    <w:t>4、产业园区及周边划定了1处饮用水源地准保护区，</w:t>
                  </w:r>
                  <w:r>
                    <w:rPr>
                      <w:rFonts w:ascii="Times New Roman" w:eastAsia="宋体" w:cs="Times New Roman" w:hAnsi="Times New Roman"/>
                      <w:color w:val="auto"/>
                      <w:kern w:val="0"/>
                      <w:sz w:val="21"/>
                      <w:szCs w:val="21"/>
                      <w:lang w:val="en-US" w:eastAsia="zh-CN"/>
                    </w:rPr>
                    <w:t>交通公园水源井</w:t>
                  </w:r>
                  <w:r>
                    <w:rPr>
                      <w:rFonts w:ascii="Times New Roman" w:eastAsia="宋体" w:cs="Times New Roman" w:hAnsi="Times New Roman" w:hint="eastAsia"/>
                      <w:color w:val="auto"/>
                      <w:kern w:val="0"/>
                      <w:sz w:val="21"/>
                      <w:szCs w:val="21"/>
                      <w:lang w:val="en-US" w:eastAsia="zh-CN"/>
                    </w:rPr>
                    <w:t>（</w:t>
                  </w:r>
                  <w:r>
                    <w:rPr>
                      <w:rFonts w:ascii="Times New Roman" w:eastAsia="宋体" w:cs="Times New Roman" w:hAnsi="Times New Roman"/>
                      <w:color w:val="auto"/>
                      <w:kern w:val="0"/>
                      <w:sz w:val="21"/>
                      <w:szCs w:val="21"/>
                      <w:lang w:val="en-US" w:eastAsia="zh-CN"/>
                    </w:rPr>
                    <w:t>1#</w:t>
                  </w:r>
                  <w:r>
                    <w:rPr>
                      <w:rFonts w:ascii="Times New Roman" w:eastAsia="宋体" w:cs="Times New Roman" w:hAnsi="Times New Roman" w:hint="eastAsia"/>
                      <w:color w:val="auto"/>
                      <w:kern w:val="0"/>
                      <w:sz w:val="21"/>
                      <w:szCs w:val="21"/>
                      <w:lang w:val="en-US" w:eastAsia="zh-CN"/>
                    </w:rPr>
                    <w:t>）准</w:t>
                  </w:r>
                  <w:r>
                    <w:rPr>
                      <w:rFonts w:ascii="Times New Roman" w:eastAsia="宋体" w:cs="Times New Roman" w:hAnsi="Times New Roman"/>
                      <w:color w:val="auto"/>
                      <w:kern w:val="0"/>
                      <w:sz w:val="21"/>
                      <w:szCs w:val="21"/>
                      <w:lang w:val="en-US" w:eastAsia="zh-CN"/>
                    </w:rPr>
                    <w:t>保护区</w:t>
                  </w:r>
                  <w:r>
                    <w:rPr>
                      <w:rFonts w:ascii="Times New Roman" w:eastAsia="宋体" w:cs="Times New Roman" w:hAnsi="Times New Roman" w:hint="eastAsia"/>
                      <w:color w:val="auto"/>
                      <w:kern w:val="0"/>
                      <w:sz w:val="21"/>
                      <w:szCs w:val="21"/>
                      <w:lang w:val="en-US" w:eastAsia="zh-CN"/>
                    </w:rPr>
                    <w:t>。</w:t>
                  </w:r>
                  <w:r>
                    <w:rPr>
                      <w:rFonts w:ascii="Times New Roman" w:eastAsia="宋体" w:cs="Times New Roman" w:hAnsi="Times New Roman" w:hint="eastAsia"/>
                      <w:color w:val="auto"/>
                      <w:spacing w:val="0"/>
                      <w:sz w:val="21"/>
                      <w:szCs w:val="21"/>
                      <w:lang w:val="en-US" w:eastAsia="zh-CN"/>
                    </w:rPr>
                    <w:t>①禁止在饮用水水源准保护区内新建、扩建对水体污染严重的建设项目；②改建建设项目，不得增加排污量。③禁止新建、扩建制药、化工、造纸、制革、印染、染料、炼焦、炼硫、炼砷、炼油、电镀、农药等对水体污染严重的建设项目。④禁止建设易溶性、有毒有害废弃物暂存和转运站，严格控制采矿、采砂等活动。⑤禁止毁林开荒行为。</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5、栾武台保护范围：以栾武台台基边线为基线，向东150米至栾城镇加油站西侧，向南100米至内营村农田，向西150米至小裴村农田，向北100米至小裴村农田。建设控制地带：以栾武台保护范围边线为基线，向东150米至308国道，向南100米至内营村农田，向西150米至小裴村村中，向北100米至小裴村农田。栾武台遗址为省级重点文物保护单位。</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6</w:t>
                  </w:r>
                  <w:r>
                    <w:rPr>
                      <w:rFonts w:ascii="Times New Roman" w:eastAsia="宋体" w:cs="Times New Roman" w:hAnsi="Times New Roman" w:hint="eastAsia"/>
                      <w:color w:val="auto"/>
                      <w:kern w:val="0"/>
                      <w:sz w:val="21"/>
                      <w:szCs w:val="21"/>
                      <w:lang w:val="en-US" w:eastAsia="zh-CN"/>
                    </w:rPr>
                    <w:t>、入区企业应优先</w:t>
                  </w:r>
                  <w:r>
                    <w:rPr>
                      <w:rFonts w:ascii="Times New Roman" w:cs="Times New Roman" w:hAnsi="Times New Roman" w:hint="eastAsia"/>
                      <w:color w:val="auto"/>
                      <w:kern w:val="0"/>
                      <w:sz w:val="21"/>
                      <w:szCs w:val="21"/>
                      <w:lang w:val="en-US" w:eastAsia="zh-CN"/>
                    </w:rPr>
                    <w:t>选址于距离居住区等环境敏感点较远区域；选址于居住区等环境敏感点周边的应</w:t>
                  </w:r>
                  <w:r>
                    <w:rPr>
                      <w:rFonts w:ascii="Times New Roman" w:eastAsia="宋体" w:cs="Times New Roman" w:hAnsi="Times New Roman" w:hint="eastAsia"/>
                      <w:color w:val="auto"/>
                      <w:kern w:val="0"/>
                      <w:sz w:val="21"/>
                      <w:szCs w:val="21"/>
                      <w:lang w:val="en-US" w:eastAsia="zh-CN"/>
                    </w:rPr>
                    <w:t>设置绿化隔离带，工业用地靠近居住区一侧在布置工业项目时重点考虑对居住区的环境影响分析，需满足大气环境防护距离和风险防护距离要求。</w:t>
                  </w:r>
                  <w:r>
                    <w:rPr>
                      <w:rFonts w:ascii="Times New Roman" w:eastAsia="宋体" w:cs="Times New Roman" w:hAnsi="Times New Roman"/>
                      <w:color w:val="auto"/>
                      <w:sz w:val="21"/>
                      <w:szCs w:val="21"/>
                      <w:lang w:val="en-US" w:eastAsia="zh-CN"/>
                    </w:rPr>
                    <w:t>距离居住用地、教育用地0～50m范围内禁止新上涉及废气排放的工序；50～100m范围内新上涉及废气排放的工序应执行A级企业管控要求，并严格控制恶臭异味物质排放，以减少工业活动对居民生活的影响。新上企业应将污染物产生量少、环境影响轻的建筑物</w:t>
                  </w:r>
                  <w:r>
                    <w:rPr>
                      <w:rFonts w:ascii="宋体" w:eastAsia="宋体" w:cs="Times New Roman" w:hAnsi="宋体" w:hint="eastAsia"/>
                      <w:color w:val="auto"/>
                      <w:sz w:val="21"/>
                      <w:szCs w:val="21"/>
                      <w:lang w:val="en-US" w:eastAsia="zh-CN"/>
                    </w:rPr>
                    <w:t>（</w:t>
                  </w:r>
                  <w:r>
                    <w:rPr>
                      <w:rFonts w:ascii="Times New Roman" w:eastAsia="宋体" w:cs="Times New Roman" w:hAnsi="Times New Roman"/>
                      <w:color w:val="auto"/>
                      <w:sz w:val="21"/>
                      <w:szCs w:val="21"/>
                      <w:lang w:val="en-US" w:eastAsia="zh-CN"/>
                    </w:rPr>
                    <w:t>如包装车间、仓库等</w:t>
                  </w:r>
                  <w:r>
                    <w:rPr>
                      <w:rFonts w:ascii="宋体" w:eastAsia="宋体" w:cs="Times New Roman" w:hAnsi="宋体" w:hint="eastAsia"/>
                      <w:color w:val="auto"/>
                      <w:sz w:val="21"/>
                      <w:szCs w:val="21"/>
                      <w:lang w:val="en-US" w:eastAsia="zh-CN"/>
                    </w:rPr>
                    <w:t>）</w:t>
                  </w:r>
                  <w:r>
                    <w:rPr>
                      <w:rFonts w:ascii="Times New Roman" w:eastAsia="宋体" w:cs="Times New Roman" w:hAnsi="Times New Roman"/>
                      <w:color w:val="auto"/>
                      <w:sz w:val="21"/>
                      <w:szCs w:val="21"/>
                      <w:lang w:val="en-US" w:eastAsia="zh-CN"/>
                    </w:rPr>
                    <w:t>、办公楼等靠近居住区布置；强化废气处理设施，加强车间密闭，确保达标排放</w:t>
                  </w:r>
                  <w:r>
                    <w:rPr>
                      <w:rFonts w:ascii="Times New Roman" w:eastAsia="宋体" w:cs="Times New Roman" w:hAnsi="Times New Roman" w:hint="eastAsia"/>
                      <w:color w:val="auto"/>
                      <w:sz w:val="21"/>
                      <w:szCs w:val="21"/>
                      <w:lang w:val="en-US" w:eastAsia="zh-CN"/>
                    </w:rPr>
                    <w:t>。新规划居住用地、教育用地与工业用地之间至少保留50m防护绿地。</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color w:val="auto"/>
                      <w:kern w:val="0"/>
                      <w:sz w:val="21"/>
                      <w:szCs w:val="21"/>
                      <w:lang w:val="en-US" w:eastAsia="zh-CN"/>
                    </w:rPr>
                  </w:pPr>
                  <w:r>
                    <w:rPr>
                      <w:rFonts w:ascii="Times New Roman" w:cs="Times New Roman" w:hAnsi="Times New Roman" w:hint="eastAsia"/>
                      <w:color w:val="auto"/>
                      <w:kern w:val="0"/>
                      <w:sz w:val="21"/>
                      <w:szCs w:val="21"/>
                      <w:lang w:val="en-US" w:eastAsia="zh-CN"/>
                    </w:rPr>
                    <w:t>7</w:t>
                  </w:r>
                  <w:r>
                    <w:rPr>
                      <w:rFonts w:ascii="Times New Roman" w:eastAsia="宋体" w:cs="Times New Roman" w:hAnsi="Times New Roman" w:hint="eastAsia"/>
                      <w:color w:val="auto"/>
                      <w:kern w:val="0"/>
                      <w:sz w:val="21"/>
                      <w:szCs w:val="21"/>
                      <w:lang w:val="en-US" w:eastAsia="zh-CN"/>
                    </w:rPr>
                    <w:t>、入区项目按照规划</w:t>
                  </w:r>
                  <w:r>
                    <w:rPr>
                      <w:rFonts w:ascii="Times New Roman" w:eastAsia="宋体" w:cs="Times New Roman" w:hAnsi="Times New Roman"/>
                      <w:color w:val="auto"/>
                      <w:kern w:val="0"/>
                      <w:sz w:val="21"/>
                      <w:szCs w:val="21"/>
                      <w:lang w:val="en-US" w:eastAsia="zh-CN"/>
                    </w:rPr>
                    <w:t>产业定位和</w:t>
                  </w:r>
                  <w:r>
                    <w:rPr>
                      <w:rFonts w:ascii="Times New Roman" w:eastAsia="宋体" w:cs="Times New Roman" w:hAnsi="Times New Roman" w:hint="eastAsia"/>
                      <w:color w:val="auto"/>
                      <w:kern w:val="0"/>
                      <w:sz w:val="21"/>
                      <w:szCs w:val="21"/>
                      <w:lang w:val="en-US" w:eastAsia="zh-CN"/>
                    </w:rPr>
                    <w:t>布局进行选址；不符合产业规划的现有企业在不影响规划产业园区主导功能的情况下可在现有厂区范围内改扩建，强化污染物排放控制要求；对于污染轻微附加值</w:t>
                  </w:r>
                  <w:r>
                    <w:rPr>
                      <w:rFonts w:ascii="Times New Roman" w:eastAsia="宋体" w:cs="Times New Roman" w:hAnsi="Times New Roman"/>
                      <w:color w:val="auto"/>
                      <w:kern w:val="0"/>
                      <w:sz w:val="21"/>
                      <w:szCs w:val="21"/>
                      <w:lang w:val="en-US" w:eastAsia="zh-CN"/>
                    </w:rPr>
                    <w:t>高</w:t>
                  </w:r>
                  <w:r>
                    <w:rPr>
                      <w:rFonts w:ascii="Times New Roman" w:eastAsia="宋体" w:cs="Times New Roman" w:hAnsi="Times New Roman" w:hint="eastAsia"/>
                      <w:color w:val="auto"/>
                      <w:kern w:val="0"/>
                      <w:sz w:val="21"/>
                      <w:szCs w:val="21"/>
                      <w:lang w:val="en-US" w:eastAsia="zh-CN"/>
                    </w:rPr>
                    <w:t>且符合相关产业政策要求的项目在不影响规划产业园区主导功能的情况下可适度入驻。</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cs="Times New Roman" w:hAnsi="Times New Roman"/>
                      <w:color w:val="auto"/>
                      <w:sz w:val="21"/>
                      <w:szCs w:val="21"/>
                    </w:rPr>
                  </w:pPr>
                  <w:r>
                    <w:rPr>
                      <w:rFonts w:ascii="Times New Roman" w:cs="Times New Roman" w:hAnsi="Times New Roman" w:hint="eastAsia"/>
                      <w:color w:val="auto"/>
                      <w:sz w:val="21"/>
                      <w:szCs w:val="21"/>
                      <w:lang w:val="en-US" w:eastAsia="zh-CN"/>
                    </w:rPr>
                    <w:t>8、</w:t>
                  </w:r>
                  <w:r>
                    <w:rPr>
                      <w:rFonts w:ascii="Times New Roman" w:cs="Times New Roman" w:hAnsi="Times New Roman"/>
                      <w:color w:val="auto"/>
                      <w:sz w:val="21"/>
                      <w:szCs w:val="21"/>
                    </w:rPr>
                    <w:t>保留的与规划不符现有企业应严格落实排污许可、国家及地方环保要求，达标排放，通过不断提升环保措施及管理水平，最大限度降低环境污染影响，鼓励其通过技术革新，实现经济效益和环境效益的双赢，促进</w:t>
                  </w:r>
                  <w:r>
                    <w:rPr>
                      <w:rFonts w:ascii="Times New Roman" w:cs="Times New Roman" w:hAnsi="Times New Roman" w:hint="eastAsia"/>
                      <w:color w:val="auto"/>
                      <w:sz w:val="21"/>
                      <w:szCs w:val="21"/>
                      <w:lang w:val="en-US" w:eastAsia="zh-CN"/>
                    </w:rPr>
                    <w:t>产业园区</w:t>
                  </w:r>
                  <w:r>
                    <w:rPr>
                      <w:rFonts w:ascii="Times New Roman" w:cs="Times New Roman" w:hAnsi="Times New Roman"/>
                      <w:color w:val="auto"/>
                      <w:sz w:val="21"/>
                      <w:szCs w:val="21"/>
                    </w:rPr>
                    <w:t>绿色发展。</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color w:val="auto"/>
                      <w:sz w:val="21"/>
                      <w:szCs w:val="21"/>
                      <w:lang w:val="en-US" w:eastAsia="zh-CN"/>
                    </w:rPr>
                  </w:pPr>
                  <w:r>
                    <w:rPr>
                      <w:rFonts w:ascii="Times New Roman" w:cs="Times New Roman" w:hAnsi="Times New Roman" w:hint="eastAsia"/>
                      <w:color w:val="auto"/>
                      <w:sz w:val="21"/>
                      <w:szCs w:val="21"/>
                      <w:lang w:val="en-US" w:eastAsia="zh-CN"/>
                    </w:rPr>
                    <w:t>9、</w:t>
                  </w:r>
                  <w:r>
                    <w:rPr>
                      <w:rFonts w:ascii="Times New Roman" w:eastAsia="宋体" w:cs="Times New Roman" w:hAnsi="Times New Roman" w:hint="eastAsia"/>
                      <w:color w:val="auto"/>
                      <w:kern w:val="0"/>
                      <w:sz w:val="21"/>
                      <w:szCs w:val="21"/>
                      <w:lang w:val="en-US" w:eastAsia="zh-CN"/>
                    </w:rPr>
                    <w:t>对于现有工业企业后续退出的遗留用地，应按照《中华人民共和国土壤污染防治法》《关于贯彻落实土壤污染防治法推动解决突出土壤污染问题的实施意见》</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环办土壤</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2019</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47号</w:t>
                  </w:r>
                  <w:r>
                    <w:rPr>
                      <w:rFonts w:ascii="宋体" w:eastAsia="宋体" w:cs="Times New Roman" w:hAnsi="宋体"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要求，土地用途变更为住宅、公共管理与公共服务用地的，变更前应当按照规定进行土壤污染状况调查，编制土壤污染状况调查报告。</w:t>
                  </w:r>
                </w:p>
              </w:tc>
              <w:tc>
                <w:tcPr>
                  <w:tcW w:w="1436"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hint="eastAsia"/>
                      <w:color w:val="auto"/>
                      <w:sz w:val="21"/>
                      <w:szCs w:val="21"/>
                      <w:lang w:val="en-US" w:eastAsia="zh-CN"/>
                    </w:rPr>
                  </w:pPr>
                  <w:r>
                    <w:rPr>
                      <w:rFonts w:ascii="Times New Roman" w:cs="Times New Roman" w:hAnsi="Times New Roman" w:hint="eastAsia"/>
                      <w:color w:val="auto"/>
                      <w:sz w:val="21"/>
                      <w:szCs w:val="21"/>
                      <w:lang w:val="en-US" w:eastAsia="zh-CN"/>
                    </w:rPr>
                    <w:t>本项目为</w:t>
                  </w:r>
                  <w:r>
                    <w:rPr>
                      <w:rFonts w:cs="Times New Roman" w:hint="eastAsia"/>
                      <w:color w:val="auto"/>
                      <w:sz w:val="21"/>
                      <w:szCs w:val="21"/>
                      <w:lang w:val="en-US" w:eastAsia="zh-CN"/>
                    </w:rPr>
                    <w:t>技改</w:t>
                  </w:r>
                  <w:r>
                    <w:rPr>
                      <w:rFonts w:ascii="Times New Roman" w:cs="Times New Roman" w:hAnsi="Times New Roman" w:hint="eastAsia"/>
                      <w:color w:val="auto"/>
                      <w:sz w:val="21"/>
                      <w:szCs w:val="21"/>
                      <w:lang w:val="en-US" w:eastAsia="zh-CN"/>
                    </w:rPr>
                    <w:t>项目，在现有厂区内建设，不新增占地</w:t>
                  </w:r>
                  <w:r>
                    <w:rPr>
                      <w:rFonts w:eastAsia="宋体" w:hint="eastAsia"/>
                      <w:color w:val="auto"/>
                      <w:sz w:val="21"/>
                      <w:szCs w:val="21"/>
                      <w:lang w:eastAsia="zh-CN"/>
                    </w:rPr>
                    <w:t>，</w:t>
                  </w:r>
                  <w:r>
                    <w:rPr>
                      <w:rFonts w:eastAsia="宋体" w:hint="eastAsia"/>
                      <w:color w:val="auto"/>
                      <w:sz w:val="21"/>
                      <w:szCs w:val="21"/>
                      <w:lang w:val="en-US" w:eastAsia="zh-CN"/>
                      <w:highlight w:val="none"/>
                    </w:rPr>
                    <w:t>位于产业转型升级示范区，</w:t>
                  </w:r>
                  <w:r>
                    <w:rPr>
                      <w:rFonts w:eastAsia="宋体" w:hint="eastAsia"/>
                      <w:color w:val="auto"/>
                      <w:sz w:val="21"/>
                      <w:szCs w:val="21"/>
                    </w:rPr>
                    <w:t>占地是工业用地</w:t>
                  </w:r>
                  <w:r>
                    <w:rPr>
                      <w:rFonts w:eastAsia="宋体" w:hint="eastAsia"/>
                      <w:color w:val="auto"/>
                      <w:sz w:val="21"/>
                      <w:szCs w:val="21"/>
                      <w:lang w:eastAsia="zh-CN"/>
                    </w:rPr>
                    <w:t>，项目</w:t>
                  </w:r>
                  <w:r>
                    <w:rPr>
                      <w:rFonts w:eastAsia="宋体"/>
                      <w:color w:val="auto"/>
                      <w:sz w:val="21"/>
                      <w:szCs w:val="21"/>
                    </w:rPr>
                    <w:t>区域内无自然保护区、风景点及重点保护文物等重点保护对象。项目周边地势平坦，厂址周围环境敏感</w:t>
                  </w:r>
                  <w:r>
                    <w:rPr>
                      <w:rFonts w:eastAsia="宋体" w:hint="eastAsia"/>
                      <w:color w:val="auto"/>
                      <w:sz w:val="21"/>
                      <w:szCs w:val="21"/>
                    </w:rPr>
                    <w:t>度一般。</w:t>
                  </w:r>
                  <w:r>
                    <w:rPr>
                      <w:rFonts w:eastAsia="宋体" w:hint="eastAsia"/>
                      <w:color w:val="auto"/>
                      <w:sz w:val="21"/>
                      <w:szCs w:val="21"/>
                      <w:lang w:eastAsia="zh-CN"/>
                    </w:rPr>
                    <w:t>本次</w:t>
                  </w:r>
                  <w:r>
                    <w:rPr>
                      <w:rFonts w:eastAsia="宋体" w:hint="eastAsia"/>
                      <w:color w:val="auto"/>
                      <w:sz w:val="21"/>
                      <w:szCs w:val="21"/>
                      <w:lang w:val="en-US" w:eastAsia="zh-CN"/>
                    </w:rPr>
                    <w:t>改</w:t>
                  </w:r>
                  <w:r>
                    <w:rPr>
                      <w:rFonts w:eastAsia="宋体" w:hint="eastAsia"/>
                      <w:color w:val="auto"/>
                      <w:sz w:val="21"/>
                      <w:szCs w:val="21"/>
                      <w:lang w:eastAsia="zh-CN"/>
                    </w:rPr>
                    <w:t>扩建项目</w:t>
                  </w:r>
                  <w:r>
                    <w:rPr>
                      <w:rFonts w:eastAsia="宋体" w:hint="eastAsia"/>
                      <w:color w:val="auto"/>
                      <w:sz w:val="21"/>
                      <w:szCs w:val="21"/>
                    </w:rPr>
                    <w:t>不在生态保护红线规划范围之内</w:t>
                  </w:r>
                </w:p>
              </w:tc>
              <w:tc>
                <w:tcPr>
                  <w:tcW w:w="198"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center"/>
                    <w:textAlignment w:val="auto"/>
                    <w:rPr>
                      <w:rFonts w:ascii="Times New Roman" w:cs="Times New Roman" w:hAnsi="Times New Roman" w:hint="eastAsia"/>
                      <w:color w:val="auto"/>
                      <w:sz w:val="21"/>
                      <w:szCs w:val="21"/>
                      <w:lang w:val="en-US" w:eastAsia="zh-CN"/>
                    </w:rPr>
                  </w:pPr>
                  <w:r>
                    <w:rPr>
                      <w:rFonts w:ascii="Times New Roman" w:cs="Times New Roman" w:hAnsi="Times New Roman" w:hint="eastAsia"/>
                      <w:color w:val="auto"/>
                      <w:sz w:val="21"/>
                      <w:szCs w:val="21"/>
                      <w:lang w:val="en-US" w:eastAsia="zh-CN"/>
                    </w:rPr>
                    <w:t>符合</w:t>
                  </w:r>
                </w:p>
              </w:tc>
            </w:tr>
            <w:tr>
              <w:trPr>
                <w:trHeight w:val="919"/>
              </w:trPr>
              <w:tc>
                <w:tcPr>
                  <w:tcW w:w="147" w:type="pct"/>
                  <w:vMerge/>
                  <w:vAlign w:val="center"/>
                </w:tcPr>
                <w:p/>
              </w:tc>
              <w:tc>
                <w:tcPr>
                  <w:tcW w:w="169"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both"/>
                    <w:textAlignment w:val="auto"/>
                    <w:rPr>
                      <w:rFonts w:ascii="Times New Roman" w:eastAsia="宋体" w:cs="Times New Roman" w:hAnsi="Times New Roman"/>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污染物排放管控</w:t>
                  </w:r>
                </w:p>
              </w:tc>
              <w:tc>
                <w:tcPr>
                  <w:tcW w:w="3048"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1</w:t>
                  </w:r>
                  <w:r>
                    <w:rPr>
                      <w:rFonts w:ascii="Times New Roman" w:cs="Times New Roman" w:hAnsi="Times New Roman"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鼓励优先引入集中式环保治理工程；入区项目需满足建设项目主要污污染物排放削减替代和总量控制要求。</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2</w:t>
                  </w:r>
                  <w:r>
                    <w:rPr>
                      <w:rFonts w:ascii="Times New Roman" w:cs="Times New Roman" w:hAnsi="Times New Roman"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强化VOCs大气特征污染物管控，新建具有绩效评级要求的涉气建设项目，应达到B级及以上水平。</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2"/>
                      <w:sz w:val="21"/>
                      <w:szCs w:val="21"/>
                      <w:vertAlign w:val="baseline"/>
                      <w:lang w:val="en-US" w:eastAsia="zh-CN" w:bidi="ar-SA"/>
                    </w:rPr>
                  </w:pPr>
                  <w:r>
                    <w:rPr>
                      <w:rFonts w:ascii="Times New Roman" w:eastAsia="宋体" w:cs="Times New Roman" w:hAnsi="Times New Roman" w:hint="eastAsia"/>
                      <w:color w:val="auto"/>
                      <w:kern w:val="0"/>
                      <w:sz w:val="21"/>
                      <w:szCs w:val="21"/>
                      <w:lang w:val="en-US" w:eastAsia="zh-CN"/>
                    </w:rPr>
                    <w:t>3</w:t>
                  </w:r>
                  <w:r>
                    <w:rPr>
                      <w:rFonts w:ascii="Times New Roman" w:cs="Times New Roman" w:hAnsi="Times New Roman"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废气污染物近期排放总量：</w:t>
                  </w:r>
                  <w:r>
                    <w:rPr>
                      <w:rFonts w:ascii="Times New Roman" w:cs="Times New Roman" w:hAnsi="Times New Roman"/>
                      <w:color w:val="auto"/>
                      <w:kern w:val="2"/>
                      <w:sz w:val="21"/>
                      <w:szCs w:val="21"/>
                      <w:vertAlign w:val="baseline"/>
                      <w:lang w:val="en-US" w:eastAsia="zh-CN" w:bidi="ar-SA"/>
                    </w:rPr>
                    <w:t>颗粒物</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81.696t/a，</w:t>
                  </w:r>
                  <w:r>
                    <w:rPr>
                      <w:rFonts w:ascii="Times New Roman" w:cs="Times New Roman" w:hAnsi="Times New Roman"/>
                      <w:color w:val="auto"/>
                      <w:kern w:val="2"/>
                      <w:sz w:val="21"/>
                      <w:szCs w:val="21"/>
                      <w:vertAlign w:val="baseline"/>
                      <w:lang w:val="en-US" w:eastAsia="zh-CN" w:bidi="ar-SA"/>
                    </w:rPr>
                    <w:t>SO</w:t>
                  </w:r>
                  <w:r>
                    <w:rPr>
                      <w:rFonts w:ascii="Times New Roman" w:cs="Times New Roman" w:hAnsi="Times New Roman"/>
                      <w:color w:val="auto"/>
                      <w:kern w:val="2"/>
                      <w:sz w:val="21"/>
                      <w:szCs w:val="21"/>
                      <w:vertAlign w:val="subscript"/>
                      <w:lang w:val="en-US" w:eastAsia="zh-CN" w:bidi="ar-SA"/>
                    </w:rPr>
                    <w:t>2</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99.369t/a，</w:t>
                  </w:r>
                  <w:r>
                    <w:rPr>
                      <w:rFonts w:ascii="Times New Roman" w:cs="Times New Roman" w:hAnsi="Times New Roman"/>
                      <w:color w:val="auto"/>
                      <w:kern w:val="2"/>
                      <w:sz w:val="21"/>
                      <w:szCs w:val="21"/>
                      <w:vertAlign w:val="baseline"/>
                      <w:lang w:val="en-US" w:eastAsia="zh-CN" w:bidi="ar-SA"/>
                    </w:rPr>
                    <w:t>NOx</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196.372t/a，</w:t>
                  </w:r>
                  <w:r>
                    <w:rPr>
                      <w:rFonts w:ascii="Times New Roman" w:cs="Times New Roman" w:hAnsi="Times New Roman"/>
                      <w:color w:val="auto"/>
                      <w:kern w:val="2"/>
                      <w:sz w:val="21"/>
                      <w:szCs w:val="21"/>
                      <w:vertAlign w:val="baseline"/>
                      <w:lang w:val="en-US" w:eastAsia="zh-CN" w:bidi="ar-SA"/>
                    </w:rPr>
                    <w:t>VOCs</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101.608t/a。</w:t>
                  </w:r>
                  <w:r>
                    <w:rPr>
                      <w:rFonts w:ascii="Times New Roman" w:eastAsia="宋体" w:cs="Times New Roman" w:hAnsi="Times New Roman" w:hint="eastAsia"/>
                      <w:color w:val="auto"/>
                      <w:kern w:val="0"/>
                      <w:sz w:val="21"/>
                      <w:szCs w:val="21"/>
                      <w:lang w:val="en-US" w:eastAsia="zh-CN"/>
                    </w:rPr>
                    <w:t>废气污染物远期排放总量量：</w:t>
                  </w:r>
                  <w:r>
                    <w:rPr>
                      <w:rFonts w:ascii="Times New Roman" w:cs="Times New Roman" w:hAnsi="Times New Roman"/>
                      <w:color w:val="auto"/>
                      <w:kern w:val="2"/>
                      <w:sz w:val="21"/>
                      <w:szCs w:val="21"/>
                      <w:vertAlign w:val="baseline"/>
                      <w:lang w:val="en-US" w:eastAsia="zh-CN" w:bidi="ar-SA"/>
                    </w:rPr>
                    <w:t>颗粒物</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103.447t/a，</w:t>
                  </w:r>
                  <w:r>
                    <w:rPr>
                      <w:rFonts w:ascii="Times New Roman" w:cs="Times New Roman" w:hAnsi="Times New Roman"/>
                      <w:color w:val="auto"/>
                      <w:kern w:val="2"/>
                      <w:sz w:val="21"/>
                      <w:szCs w:val="21"/>
                      <w:vertAlign w:val="baseline"/>
                      <w:lang w:val="en-US" w:eastAsia="zh-CN" w:bidi="ar-SA"/>
                    </w:rPr>
                    <w:t>SO</w:t>
                  </w:r>
                  <w:r>
                    <w:rPr>
                      <w:rFonts w:ascii="Times New Roman" w:cs="Times New Roman" w:hAnsi="Times New Roman"/>
                      <w:color w:val="auto"/>
                      <w:kern w:val="2"/>
                      <w:sz w:val="21"/>
                      <w:szCs w:val="21"/>
                      <w:vertAlign w:val="subscript"/>
                      <w:lang w:val="en-US" w:eastAsia="zh-CN" w:bidi="ar-SA"/>
                    </w:rPr>
                    <w:t>2</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95.374t/a，</w:t>
                  </w:r>
                  <w:r>
                    <w:rPr>
                      <w:rFonts w:ascii="Times New Roman" w:cs="Times New Roman" w:hAnsi="Times New Roman"/>
                      <w:color w:val="auto"/>
                      <w:kern w:val="2"/>
                      <w:sz w:val="21"/>
                      <w:szCs w:val="21"/>
                      <w:vertAlign w:val="baseline"/>
                      <w:lang w:val="en-US" w:eastAsia="zh-CN" w:bidi="ar-SA"/>
                    </w:rPr>
                    <w:t>NOx</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195.47t/a，</w:t>
                  </w:r>
                  <w:r>
                    <w:rPr>
                      <w:rFonts w:ascii="Times New Roman" w:cs="Times New Roman" w:hAnsi="Times New Roman"/>
                      <w:color w:val="auto"/>
                      <w:kern w:val="2"/>
                      <w:sz w:val="21"/>
                      <w:szCs w:val="21"/>
                      <w:vertAlign w:val="baseline"/>
                      <w:lang w:val="en-US" w:eastAsia="zh-CN" w:bidi="ar-SA"/>
                    </w:rPr>
                    <w:t>VOCs</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132.481t/a。</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2"/>
                      <w:sz w:val="21"/>
                      <w:szCs w:val="21"/>
                      <w:vertAlign w:val="baseline"/>
                      <w:lang w:val="en-US" w:eastAsia="zh-CN" w:bidi="ar-SA"/>
                    </w:rPr>
                  </w:pPr>
                  <w:r>
                    <w:rPr>
                      <w:rFonts w:ascii="Times New Roman" w:eastAsia="宋体" w:cs="Times New Roman" w:hAnsi="Times New Roman" w:hint="eastAsia"/>
                      <w:color w:val="auto"/>
                      <w:kern w:val="0"/>
                      <w:sz w:val="21"/>
                      <w:szCs w:val="21"/>
                      <w:lang w:val="en-US" w:eastAsia="zh-CN"/>
                    </w:rPr>
                    <w:t>4</w:t>
                  </w:r>
                  <w:r>
                    <w:rPr>
                      <w:rFonts w:ascii="Times New Roman" w:cs="Times New Roman" w:hAnsi="Times New Roman"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废气污染物近期新增排放量：</w:t>
                  </w:r>
                  <w:r>
                    <w:rPr>
                      <w:rFonts w:ascii="Times New Roman" w:cs="Times New Roman" w:hAnsi="Times New Roman"/>
                      <w:color w:val="auto"/>
                      <w:kern w:val="2"/>
                      <w:sz w:val="21"/>
                      <w:szCs w:val="21"/>
                      <w:vertAlign w:val="baseline"/>
                      <w:lang w:val="en-US" w:eastAsia="zh-CN" w:bidi="ar-SA"/>
                    </w:rPr>
                    <w:t>颗粒物</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8.563t/a，</w:t>
                  </w:r>
                  <w:r>
                    <w:rPr>
                      <w:rFonts w:ascii="Times New Roman" w:cs="Times New Roman" w:hAnsi="Times New Roman"/>
                      <w:color w:val="auto"/>
                      <w:kern w:val="2"/>
                      <w:sz w:val="21"/>
                      <w:szCs w:val="21"/>
                      <w:vertAlign w:val="baseline"/>
                      <w:lang w:val="en-US" w:eastAsia="zh-CN" w:bidi="ar-SA"/>
                    </w:rPr>
                    <w:t>SO</w:t>
                  </w:r>
                  <w:r>
                    <w:rPr>
                      <w:rFonts w:ascii="Times New Roman" w:cs="Times New Roman" w:hAnsi="Times New Roman"/>
                      <w:color w:val="auto"/>
                      <w:kern w:val="2"/>
                      <w:sz w:val="21"/>
                      <w:szCs w:val="21"/>
                      <w:vertAlign w:val="subscript"/>
                      <w:lang w:val="en-US" w:eastAsia="zh-CN" w:bidi="ar-SA"/>
                    </w:rPr>
                    <w:t>2</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0.167t/a，</w:t>
                  </w:r>
                  <w:r>
                    <w:rPr>
                      <w:rFonts w:ascii="Times New Roman" w:cs="Times New Roman" w:hAnsi="Times New Roman"/>
                      <w:color w:val="auto"/>
                      <w:kern w:val="2"/>
                      <w:sz w:val="21"/>
                      <w:szCs w:val="21"/>
                      <w:vertAlign w:val="baseline"/>
                      <w:lang w:val="en-US" w:eastAsia="zh-CN" w:bidi="ar-SA"/>
                    </w:rPr>
                    <w:t>NOx</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1.266t/a，</w:t>
                  </w:r>
                  <w:r>
                    <w:rPr>
                      <w:rFonts w:ascii="Times New Roman" w:cs="Times New Roman" w:hAnsi="Times New Roman"/>
                      <w:color w:val="auto"/>
                      <w:kern w:val="2"/>
                      <w:sz w:val="21"/>
                      <w:szCs w:val="21"/>
                      <w:vertAlign w:val="baseline"/>
                      <w:lang w:val="en-US" w:eastAsia="zh-CN" w:bidi="ar-SA"/>
                    </w:rPr>
                    <w:t>VOCs</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22.396t/a。</w:t>
                  </w:r>
                  <w:r>
                    <w:rPr>
                      <w:rFonts w:ascii="Times New Roman" w:eastAsia="宋体" w:cs="Times New Roman" w:hAnsi="Times New Roman" w:hint="eastAsia"/>
                      <w:color w:val="auto"/>
                      <w:kern w:val="0"/>
                      <w:sz w:val="21"/>
                      <w:szCs w:val="21"/>
                      <w:lang w:val="en-US" w:eastAsia="zh-CN"/>
                    </w:rPr>
                    <w:t>废气污染物远期排放总量量：</w:t>
                  </w:r>
                  <w:r>
                    <w:rPr>
                      <w:rFonts w:ascii="Times New Roman" w:cs="Times New Roman" w:hAnsi="Times New Roman"/>
                      <w:color w:val="auto"/>
                      <w:kern w:val="2"/>
                      <w:sz w:val="21"/>
                      <w:szCs w:val="21"/>
                      <w:vertAlign w:val="baseline"/>
                      <w:lang w:val="en-US" w:eastAsia="zh-CN" w:bidi="ar-SA"/>
                    </w:rPr>
                    <w:t>颗粒物</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31.4t/a，</w:t>
                  </w:r>
                  <w:r>
                    <w:rPr>
                      <w:rFonts w:ascii="Times New Roman" w:cs="Times New Roman" w:hAnsi="Times New Roman"/>
                      <w:color w:val="auto"/>
                      <w:kern w:val="2"/>
                      <w:sz w:val="21"/>
                      <w:szCs w:val="21"/>
                      <w:vertAlign w:val="baseline"/>
                      <w:lang w:val="en-US" w:eastAsia="zh-CN" w:bidi="ar-SA"/>
                    </w:rPr>
                    <w:t>SO</w:t>
                  </w:r>
                  <w:r>
                    <w:rPr>
                      <w:rFonts w:ascii="Times New Roman" w:cs="Times New Roman" w:hAnsi="Times New Roman"/>
                      <w:color w:val="auto"/>
                      <w:kern w:val="2"/>
                      <w:sz w:val="21"/>
                      <w:szCs w:val="21"/>
                      <w:vertAlign w:val="subscript"/>
                      <w:lang w:val="en-US" w:eastAsia="zh-CN" w:bidi="ar-SA"/>
                    </w:rPr>
                    <w:t>2</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0.959/a，</w:t>
                  </w:r>
                  <w:r>
                    <w:rPr>
                      <w:rFonts w:ascii="Times New Roman" w:cs="Times New Roman" w:hAnsi="Times New Roman"/>
                      <w:color w:val="auto"/>
                      <w:kern w:val="2"/>
                      <w:sz w:val="21"/>
                      <w:szCs w:val="21"/>
                      <w:vertAlign w:val="baseline"/>
                      <w:lang w:val="en-US" w:eastAsia="zh-CN" w:bidi="ar-SA"/>
                    </w:rPr>
                    <w:t>NOx</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7.261t/a，</w:t>
                  </w:r>
                  <w:r>
                    <w:rPr>
                      <w:rFonts w:ascii="Times New Roman" w:cs="Times New Roman" w:hAnsi="Times New Roman"/>
                      <w:color w:val="auto"/>
                      <w:kern w:val="2"/>
                      <w:sz w:val="21"/>
                      <w:szCs w:val="21"/>
                      <w:vertAlign w:val="baseline"/>
                      <w:lang w:val="en-US" w:eastAsia="zh-CN" w:bidi="ar-SA"/>
                    </w:rPr>
                    <w:t>VOCs</w:t>
                  </w:r>
                  <w:r>
                    <w:rPr>
                      <w:rFonts w:ascii="Times New Roman" w:cs="Times New Roman" w:hAnsi="Times New Roman" w:hint="eastAsia"/>
                      <w:color w:val="auto"/>
                      <w:kern w:val="2"/>
                      <w:sz w:val="21"/>
                      <w:szCs w:val="21"/>
                      <w:vertAlign w:val="baseline"/>
                      <w:lang w:val="en-US" w:eastAsia="zh-CN" w:bidi="ar-SA"/>
                    </w:rPr>
                    <w:t>：</w:t>
                  </w:r>
                  <w:r>
                    <w:rPr>
                      <w:rFonts w:ascii="Times New Roman" w:eastAsia="宋体" w:cs="Times New Roman" w:hAnsi="Times New Roman" w:hint="eastAsia"/>
                      <w:color w:val="auto"/>
                      <w:kern w:val="2"/>
                      <w:sz w:val="21"/>
                      <w:szCs w:val="21"/>
                      <w:vertAlign w:val="baseline"/>
                      <w:lang w:val="en-US" w:eastAsia="zh-CN" w:bidi="ar-SA"/>
                    </w:rPr>
                    <w:t>53.269t/a。</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5</w:t>
                  </w:r>
                  <w:r>
                    <w:rPr>
                      <w:rFonts w:ascii="Times New Roman" w:cs="Times New Roman" w:hAnsi="Times New Roman"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入区企业废水应全部纳入污水管网进入污水处理厂集中处理，严禁排入周边地表水体。近期排放量：COD：249.66</w:t>
                  </w:r>
                  <w:r>
                    <w:rPr>
                      <w:rFonts w:ascii="Times New Roman" w:eastAsia="宋体" w:cs="Times New Roman" w:hAnsi="Times New Roman" w:hint="eastAsia"/>
                      <w:color w:val="auto"/>
                      <w:kern w:val="2"/>
                      <w:sz w:val="21"/>
                      <w:szCs w:val="21"/>
                      <w:vertAlign w:val="baseline"/>
                      <w:lang w:val="en-US" w:eastAsia="zh-CN" w:bidi="ar-SA"/>
                    </w:rPr>
                    <w:t>t/a，氨氮：12.483t/a，</w:t>
                  </w:r>
                  <w:r>
                    <w:rPr>
                      <w:rFonts w:ascii="Times New Roman" w:eastAsia="宋体" w:cs="Times New Roman" w:hAnsi="Times New Roman" w:hint="eastAsia"/>
                      <w:color w:val="auto"/>
                      <w:kern w:val="0"/>
                      <w:sz w:val="21"/>
                      <w:szCs w:val="21"/>
                      <w:lang w:val="en-US" w:eastAsia="zh-CN"/>
                    </w:rPr>
                    <w:t>远期排放量：COD：361.35</w:t>
                  </w:r>
                  <w:r>
                    <w:rPr>
                      <w:rFonts w:ascii="Times New Roman" w:eastAsia="宋体" w:cs="Times New Roman" w:hAnsi="Times New Roman" w:hint="eastAsia"/>
                      <w:color w:val="auto"/>
                      <w:kern w:val="2"/>
                      <w:sz w:val="21"/>
                      <w:szCs w:val="21"/>
                      <w:vertAlign w:val="baseline"/>
                      <w:lang w:val="en-US" w:eastAsia="zh-CN" w:bidi="ar-SA"/>
                    </w:rPr>
                    <w:t>t/a，氨氮：18.068t/a。</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hint="eastAsia"/>
                      <w:color w:val="auto"/>
                      <w:kern w:val="2"/>
                      <w:sz w:val="21"/>
                      <w:szCs w:val="21"/>
                      <w:vertAlign w:val="baseline"/>
                      <w:lang w:val="en-US" w:eastAsia="zh-CN" w:bidi="ar-SA"/>
                    </w:rPr>
                  </w:pPr>
                  <w:r>
                    <w:rPr>
                      <w:rFonts w:ascii="Times New Roman" w:cs="Times New Roman" w:hAnsi="Times New Roman" w:hint="eastAsia"/>
                      <w:color w:val="auto"/>
                      <w:kern w:val="0"/>
                      <w:sz w:val="21"/>
                      <w:szCs w:val="21"/>
                      <w:lang w:val="en-US" w:eastAsia="zh-CN"/>
                    </w:rPr>
                    <w:t>6、</w:t>
                  </w:r>
                  <w:r>
                    <w:rPr>
                      <w:rFonts w:ascii="Times New Roman" w:eastAsia="宋体" w:cs="Times New Roman" w:hAnsi="Times New Roman" w:hint="eastAsia"/>
                      <w:color w:val="auto"/>
                      <w:kern w:val="2"/>
                      <w:sz w:val="21"/>
                      <w:szCs w:val="21"/>
                      <w:vertAlign w:val="baseline"/>
                      <w:lang w:val="en-US" w:eastAsia="zh-CN" w:bidi="ar-SA"/>
                    </w:rPr>
                    <w:t>一般工业固体废物：近期117.2918万吨/年，远期150.7986万吨/年。</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color w:val="auto"/>
                      <w:kern w:val="2"/>
                      <w:sz w:val="21"/>
                      <w:szCs w:val="21"/>
                      <w:vertAlign w:val="baseline"/>
                      <w:lang w:val="en-US" w:eastAsia="zh-CN" w:bidi="ar-SA"/>
                    </w:rPr>
                  </w:pPr>
                  <w:r>
                    <w:rPr>
                      <w:rFonts w:ascii="Times New Roman" w:eastAsia="宋体" w:cs="Times New Roman" w:hAnsi="Times New Roman"/>
                      <w:color w:val="auto"/>
                      <w:kern w:val="2"/>
                      <w:sz w:val="21"/>
                      <w:szCs w:val="21"/>
                      <w:vertAlign w:val="baseline"/>
                      <w:lang w:val="en-US" w:eastAsia="zh-CN" w:bidi="ar-SA"/>
                    </w:rPr>
                    <w:t>7、危险废物：近期9.2073万t/a，远期13.9646万t/a。</w:t>
                  </w:r>
                </w:p>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color w:val="auto"/>
                      <w:kern w:val="2"/>
                      <w:sz w:val="21"/>
                      <w:szCs w:val="21"/>
                      <w:vertAlign w:val="baseline"/>
                      <w:lang w:val="en-US" w:eastAsia="zh-CN" w:bidi="ar-SA"/>
                    </w:rPr>
                  </w:pPr>
                  <w:r>
                    <w:rPr>
                      <w:rFonts w:ascii="Times New Roman" w:eastAsia="宋体" w:cs="Times New Roman" w:hAnsi="Times New Roman"/>
                      <w:color w:val="auto"/>
                      <w:kern w:val="2"/>
                      <w:sz w:val="21"/>
                      <w:szCs w:val="21"/>
                      <w:vertAlign w:val="baseline"/>
                      <w:lang w:val="en-US" w:eastAsia="zh-CN" w:bidi="ar-SA"/>
                    </w:rPr>
                    <w:t>8、</w:t>
                  </w:r>
                  <w:r>
                    <w:rPr>
                      <w:rFonts w:ascii="Times New Roman" w:cs="Times New Roman" w:hAnsi="Times New Roman"/>
                      <w:color w:val="auto"/>
                      <w:spacing w:val="0"/>
                      <w:sz w:val="21"/>
                      <w:szCs w:val="21"/>
                    </w:rPr>
                    <w:t>单位工业</w:t>
                  </w:r>
                  <w:r>
                    <w:rPr>
                      <w:rFonts w:ascii="Times New Roman" w:cs="Times New Roman" w:hAnsi="Times New Roman"/>
                      <w:color w:val="auto"/>
                      <w:spacing w:val="0"/>
                      <w:sz w:val="21"/>
                      <w:szCs w:val="21"/>
                      <w:lang w:val="en-US" w:eastAsia="zh-CN"/>
                    </w:rPr>
                    <w:t>产值</w:t>
                  </w:r>
                  <w:r>
                    <w:rPr>
                      <w:rFonts w:ascii="Times New Roman" w:cs="Times New Roman" w:hAnsi="Times New Roman"/>
                      <w:color w:val="auto"/>
                      <w:spacing w:val="0"/>
                      <w:sz w:val="21"/>
                      <w:szCs w:val="21"/>
                    </w:rPr>
                    <w:t>二氧化碳排放量</w:t>
                  </w:r>
                  <w:r>
                    <w:rPr>
                      <w:rFonts w:ascii="Times New Roman" w:cs="Times New Roman" w:hAnsi="Times New Roman"/>
                      <w:color w:val="auto"/>
                      <w:spacing w:val="0"/>
                      <w:sz w:val="21"/>
                      <w:szCs w:val="21"/>
                      <w:lang w:eastAsia="zh-CN"/>
                    </w:rPr>
                    <w:t>：</w:t>
                  </w:r>
                  <w:r>
                    <w:rPr>
                      <w:rFonts w:ascii="Times New Roman" w:cs="Times New Roman" w:hAnsi="Times New Roman"/>
                      <w:color w:val="auto"/>
                      <w:spacing w:val="0"/>
                      <w:sz w:val="21"/>
                      <w:szCs w:val="21"/>
                      <w:lang w:val="en-US" w:eastAsia="zh-CN"/>
                    </w:rPr>
                    <w:t>近期：</w:t>
                  </w:r>
                  <w:r>
                    <w:rPr>
                      <w:rFonts w:ascii="Times New Roman" w:cs="Times New Roman" w:hAnsi="Times New Roman"/>
                      <w:color w:val="auto"/>
                      <w:kern w:val="0"/>
                      <w:sz w:val="21"/>
                      <w:szCs w:val="21"/>
                      <w:lang w:val="en-US" w:eastAsia="zh-CN"/>
                    </w:rPr>
                    <w:t>0.40</w:t>
                  </w:r>
                  <w:r>
                    <w:rPr>
                      <w:rFonts w:ascii="Times New Roman" w:cs="Times New Roman" w:hAnsi="Times New Roman"/>
                      <w:color w:val="auto"/>
                      <w:sz w:val="21"/>
                      <w:szCs w:val="21"/>
                    </w:rPr>
                    <w:t>tCO</w:t>
                  </w:r>
                  <w:r>
                    <w:rPr>
                      <w:rFonts w:ascii="Times New Roman" w:cs="Times New Roman" w:hAnsi="Times New Roman"/>
                      <w:color w:val="auto"/>
                      <w:sz w:val="21"/>
                      <w:szCs w:val="21"/>
                      <w:vertAlign w:val="subscript"/>
                    </w:rPr>
                    <w:t>2</w:t>
                  </w:r>
                  <w:r>
                    <w:rPr>
                      <w:rFonts w:ascii="Times New Roman" w:cs="Times New Roman" w:hAnsi="Times New Roman"/>
                      <w:color w:val="auto"/>
                      <w:sz w:val="21"/>
                      <w:szCs w:val="21"/>
                    </w:rPr>
                    <w:t>/万元</w:t>
                  </w:r>
                  <w:r>
                    <w:rPr>
                      <w:rFonts w:ascii="Times New Roman" w:cs="Times New Roman" w:hAnsi="Times New Roman"/>
                      <w:color w:val="auto"/>
                      <w:sz w:val="21"/>
                      <w:szCs w:val="21"/>
                      <w:lang w:val="en-US" w:eastAsia="zh-CN"/>
                    </w:rPr>
                    <w:t>产值，远期：</w:t>
                  </w:r>
                  <w:r>
                    <w:rPr>
                      <w:rFonts w:ascii="Times New Roman" w:cs="Times New Roman" w:hAnsi="Times New Roman"/>
                      <w:color w:val="auto"/>
                      <w:kern w:val="0"/>
                      <w:sz w:val="21"/>
                      <w:szCs w:val="21"/>
                      <w:lang w:val="en-US" w:eastAsia="zh-CN"/>
                    </w:rPr>
                    <w:t>0.233</w:t>
                  </w:r>
                  <w:r>
                    <w:rPr>
                      <w:rFonts w:ascii="Times New Roman" w:cs="Times New Roman" w:hAnsi="Times New Roman"/>
                      <w:color w:val="auto"/>
                      <w:sz w:val="21"/>
                      <w:szCs w:val="21"/>
                    </w:rPr>
                    <w:t>tCO</w:t>
                  </w:r>
                  <w:r>
                    <w:rPr>
                      <w:rFonts w:ascii="Times New Roman" w:cs="Times New Roman" w:hAnsi="Times New Roman"/>
                      <w:color w:val="auto"/>
                      <w:sz w:val="21"/>
                      <w:szCs w:val="21"/>
                      <w:vertAlign w:val="subscript"/>
                    </w:rPr>
                    <w:t>2</w:t>
                  </w:r>
                  <w:r>
                    <w:rPr>
                      <w:rFonts w:ascii="Times New Roman" w:cs="Times New Roman" w:hAnsi="Times New Roman"/>
                      <w:color w:val="auto"/>
                      <w:sz w:val="21"/>
                      <w:szCs w:val="21"/>
                    </w:rPr>
                    <w:t>/万元</w:t>
                  </w:r>
                  <w:r>
                    <w:rPr>
                      <w:rFonts w:ascii="Times New Roman" w:cs="Times New Roman" w:hAnsi="Times New Roman"/>
                      <w:color w:val="auto"/>
                      <w:sz w:val="21"/>
                      <w:szCs w:val="21"/>
                      <w:lang w:val="en-US" w:eastAsia="zh-CN"/>
                    </w:rPr>
                    <w:t>产值。</w:t>
                  </w:r>
                </w:p>
              </w:tc>
              <w:tc>
                <w:tcPr>
                  <w:tcW w:w="1436" w:type="pct"/>
                  <w:tcBorders>
                    <w:left w:val="single" w:sz="4" w:space="0" w:color="auto"/>
                  </w:tcBorders>
                  <w:vAlign w:val="center"/>
                </w:tcPr>
                <w:p>
                  <w:pPr>
                    <w:pStyle w:val="25"/>
                    <w:keepNext w:val="0"/>
                    <w:keepLines w:val="0"/>
                    <w:pageBreakBefore w:val="0"/>
                    <w:kinsoku/>
                    <w:wordWrap/>
                    <w:overflowPunct/>
                    <w:topLinePunct w:val="0"/>
                    <w:autoSpaceDE/>
                    <w:autoSpaceDN/>
                    <w:bidi w:val="0"/>
                    <w:adjustRightInd/>
                    <w:snapToGrid/>
                    <w:spacing w:line="280" w:lineRule="exact"/>
                    <w:ind w:leftChars="0" w:left="0" w:firstLineChars="0" w:firstLine="0"/>
                    <w:jc w:val="left"/>
                    <w:textAlignment w:val="auto"/>
                    <w:rPr>
                      <w:rFonts w:eastAsia="宋体" w:hint="eastAsia"/>
                      <w:color w:val="auto"/>
                      <w:sz w:val="21"/>
                      <w:szCs w:val="21"/>
                      <w:lang w:val="en-US" w:eastAsia="zh-CN"/>
                    </w:rPr>
                  </w:pPr>
                  <w:r>
                    <w:rPr>
                      <w:rFonts w:ascii="Times New Roman" w:eastAsia="宋体" w:cs="Times New Roman" w:hAnsi="Times New Roman" w:hint="eastAsia"/>
                      <w:color w:val="auto"/>
                      <w:kern w:val="0"/>
                      <w:sz w:val="21"/>
                      <w:szCs w:val="21"/>
                      <w:lang w:val="en-US" w:eastAsia="zh-CN"/>
                    </w:rPr>
                    <w:t>本项目需满足建设项目主要污染物排放削减替代和总量控制要求</w:t>
                  </w:r>
                  <w:r>
                    <w:rPr>
                      <w:color w:val="auto"/>
                      <w:spacing w:val="0"/>
                      <w:w w:val="100"/>
                      <w:kern w:val="0"/>
                      <w:position w:val="0"/>
                      <w:sz w:val="21"/>
                      <w:szCs w:val="21"/>
                    </w:rPr>
                    <w:t>；</w:t>
                  </w:r>
                  <w:r>
                    <w:rPr>
                      <w:rFonts w:hint="eastAsia"/>
                      <w:color w:val="auto"/>
                      <w:spacing w:val="0"/>
                      <w:w w:val="100"/>
                      <w:kern w:val="0"/>
                      <w:position w:val="0"/>
                      <w:sz w:val="21"/>
                      <w:szCs w:val="21"/>
                      <w:lang w:val="en-US" w:eastAsia="zh-CN"/>
                    </w:rPr>
                    <w:t>废气经</w:t>
                  </w:r>
                  <w:r>
                    <w:rPr>
                      <w:rFonts w:cs="Times New Roman" w:hint="eastAsia"/>
                      <w:color w:val="auto"/>
                      <w:spacing w:val="0"/>
                      <w:kern w:val="0"/>
                      <w:sz w:val="21"/>
                      <w:szCs w:val="21"/>
                      <w:lang w:val="en-US" w:eastAsia="zh-CN"/>
                    </w:rPr>
                    <w:t>处理后达标排放</w:t>
                  </w:r>
                  <w:r>
                    <w:rPr>
                      <w:rFonts w:ascii="Times New Roman" w:eastAsia="宋体" w:cs="Times New Roman" w:hAnsi="Times New Roman" w:hint="eastAsia"/>
                      <w:color w:val="auto"/>
                      <w:sz w:val="21"/>
                      <w:szCs w:val="21"/>
                      <w:lang w:eastAsia="zh-CN"/>
                    </w:rPr>
                    <w:t>；</w:t>
                  </w:r>
                  <w:r>
                    <w:rPr>
                      <w:rFonts w:ascii="Times New Roman" w:cs="Times New Roman" w:hAnsi="Times New Roman" w:hint="eastAsia"/>
                      <w:color w:val="auto"/>
                      <w:spacing w:val="0"/>
                      <w:position w:val="0"/>
                      <w:sz w:val="21"/>
                      <w:szCs w:val="21"/>
                      <w:lang w:val="en-US" w:eastAsia="zh-CN"/>
                    </w:rPr>
                    <w:t>不涉及</w:t>
                  </w:r>
                  <w:r>
                    <w:rPr>
                      <w:rFonts w:cs="Times New Roman" w:hint="eastAsia"/>
                      <w:color w:val="auto"/>
                      <w:spacing w:val="0"/>
                      <w:position w:val="0"/>
                      <w:sz w:val="21"/>
                      <w:szCs w:val="21"/>
                      <w:lang w:val="en-US" w:eastAsia="zh-CN"/>
                    </w:rPr>
                    <w:t>生产</w:t>
                  </w:r>
                  <w:r>
                    <w:rPr>
                      <w:rFonts w:ascii="Times New Roman" w:cs="Times New Roman" w:hAnsi="Times New Roman"/>
                      <w:color w:val="auto"/>
                      <w:spacing w:val="0"/>
                      <w:position w:val="0"/>
                      <w:sz w:val="21"/>
                      <w:szCs w:val="21"/>
                    </w:rPr>
                    <w:t>废水</w:t>
                  </w:r>
                  <w:r>
                    <w:rPr>
                      <w:rFonts w:cs="Times New Roman" w:hint="eastAsia"/>
                      <w:color w:val="auto"/>
                      <w:spacing w:val="0"/>
                      <w:position w:val="0"/>
                      <w:sz w:val="21"/>
                      <w:szCs w:val="21"/>
                      <w:lang w:val="en-US" w:eastAsia="zh-CN"/>
                    </w:rPr>
                    <w:t>排放</w:t>
                  </w:r>
                  <w:r>
                    <w:rPr>
                      <w:rFonts w:cs="Times New Roman" w:hint="eastAsia"/>
                      <w:color w:val="auto"/>
                      <w:spacing w:val="0"/>
                      <w:position w:val="0"/>
                      <w:sz w:val="21"/>
                      <w:szCs w:val="21"/>
                      <w:lang w:eastAsia="zh-CN"/>
                    </w:rPr>
                    <w:t>，</w:t>
                  </w:r>
                  <w:r>
                    <w:rPr>
                      <w:rFonts w:ascii="Times New Roman" w:cs="Times New Roman" w:hAnsi="Times New Roman"/>
                      <w:color w:val="auto"/>
                      <w:spacing w:val="0"/>
                      <w:position w:val="0"/>
                      <w:sz w:val="21"/>
                      <w:szCs w:val="21"/>
                      <w:lang w:val="en-US" w:eastAsia="zh-CN"/>
                    </w:rPr>
                    <w:t>生活污水经厂区多格生物化粪池处理后，经污水管网排入石家庄装备制造基地绿源污水处理有限公司处理</w:t>
                  </w:r>
                  <w:r>
                    <w:rPr>
                      <w:rFonts w:ascii="Times New Roman" w:cs="Times New Roman" w:hAnsi="Times New Roman" w:hint="eastAsia"/>
                      <w:color w:val="auto"/>
                      <w:spacing w:val="0"/>
                      <w:position w:val="0"/>
                      <w:sz w:val="21"/>
                      <w:szCs w:val="21"/>
                      <w:lang w:eastAsia="zh-CN"/>
                    </w:rPr>
                    <w:t>；</w:t>
                  </w:r>
                  <w:r>
                    <w:rPr>
                      <w:rFonts w:ascii="Times New Roman" w:cs="Times New Roman" w:hAnsi="Times New Roman"/>
                      <w:b w:val="0"/>
                      <w:bCs w:val="0"/>
                      <w:color w:val="auto"/>
                      <w:spacing w:val="0"/>
                      <w:position w:val="0"/>
                      <w:sz w:val="21"/>
                      <w:szCs w:val="21"/>
                    </w:rPr>
                    <w:t>固体废物全部妥善置</w:t>
                  </w:r>
                  <w:r>
                    <w:rPr>
                      <w:rFonts w:ascii="Times New Roman" w:cs="Times New Roman" w:hAnsi="Times New Roman" w:hint="eastAsia"/>
                      <w:b w:val="0"/>
                      <w:bCs w:val="0"/>
                      <w:color w:val="auto"/>
                      <w:spacing w:val="0"/>
                      <w:position w:val="0"/>
                      <w:sz w:val="21"/>
                      <w:szCs w:val="21"/>
                      <w:lang w:eastAsia="zh-CN"/>
                    </w:rPr>
                    <w:t>。</w:t>
                  </w:r>
                </w:p>
              </w:tc>
              <w:tc>
                <w:tcPr>
                  <w:tcW w:w="198" w:type="pct"/>
                  <w:tcBorders>
                    <w:left w:val="single" w:sz="4" w:space="0" w:color="auto"/>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firstLineChars="0" w:firstLine="0"/>
                    <w:jc w:val="left"/>
                    <w:textAlignment w:val="auto"/>
                    <w:rPr>
                      <w:rFonts w:ascii="Times New Roman" w:eastAsia="宋体" w:cs="Times New Roman" w:hAnsi="Times New Roman" w:hint="eastAsia"/>
                      <w:color w:val="auto"/>
                      <w:kern w:val="2"/>
                      <w:sz w:val="21"/>
                      <w:szCs w:val="21"/>
                      <w:vertAlign w:val="baseline"/>
                      <w:lang w:val="en-US" w:eastAsia="zh-CN" w:bidi="ar-SA"/>
                    </w:rPr>
                  </w:pPr>
                  <w:r>
                    <w:rPr>
                      <w:rFonts w:ascii="Times New Roman" w:eastAsia="宋体" w:cs="Times New Roman" w:hAnsi="Times New Roman" w:hint="eastAsia"/>
                      <w:color w:val="auto"/>
                      <w:kern w:val="2"/>
                      <w:sz w:val="21"/>
                      <w:szCs w:val="21"/>
                      <w:vertAlign w:val="baseline"/>
                      <w:lang w:val="en-US" w:eastAsia="zh-CN" w:bidi="ar-SA"/>
                    </w:rPr>
                    <w:t>符合</w:t>
                  </w:r>
                </w:p>
              </w:tc>
            </w:tr>
            <w:tr>
              <w:trPr>
                <w:trHeight w:val="1779"/>
              </w:trPr>
              <w:tc>
                <w:tcPr>
                  <w:tcW w:w="147" w:type="pct"/>
                  <w:vMerge/>
                  <w:vAlign w:val="center"/>
                </w:tcPr>
                <w:p/>
              </w:tc>
              <w:tc>
                <w:tcPr>
                  <w:tcW w:w="169"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center"/>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环境风险防控</w:t>
                  </w:r>
                </w:p>
              </w:tc>
              <w:tc>
                <w:tcPr>
                  <w:tcW w:w="3048"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1、重点监管企业和产业园区周边土壤环境定期开展监督性监测，重点监测重金属和持久性有机污染物。</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2、对于易导致环境风险的有毒有害和易燃易爆物质的生产、使用、排放、贮运等新建、改扩建项目，风险防控措施应满足本评价提出的环境风险管理要求。</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3、距离石家庄市栾城区水利局第一供水厂水源地水源地一级保护区较近的项目应重点关注水环境风险应急措施，确保突发事故情况水环境风险物质不进入地下水。</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4</w:t>
                  </w:r>
                  <w:r>
                    <w:rPr>
                      <w:rFonts w:ascii="Times New Roman" w:cs="Times New Roman" w:hAnsi="Times New Roman"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入区企业应按照相关要求，组织编制《环境风险应急预案》，成立应急组织机构，定期开展应急演练，提高区域环境风险防范能力。</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5</w:t>
                  </w:r>
                  <w:r>
                    <w:rPr>
                      <w:rFonts w:ascii="Times New Roman" w:cs="Times New Roman" w:hAnsi="Times New Roman" w:hint="eastAsia"/>
                      <w:color w:val="auto"/>
                      <w:kern w:val="0"/>
                      <w:sz w:val="21"/>
                      <w:szCs w:val="21"/>
                      <w:lang w:val="en-US" w:eastAsia="zh-CN"/>
                    </w:rPr>
                    <w:t>、</w:t>
                  </w:r>
                  <w:r>
                    <w:rPr>
                      <w:rFonts w:ascii="Times New Roman" w:eastAsia="宋体" w:cs="Times New Roman" w:hAnsi="Times New Roman" w:hint="eastAsia"/>
                      <w:color w:val="auto"/>
                      <w:kern w:val="0"/>
                      <w:sz w:val="21"/>
                      <w:szCs w:val="21"/>
                      <w:lang w:val="en-US" w:eastAsia="zh-CN"/>
                    </w:rPr>
                    <w:t>危险废物转移过程中应采取防扬散、防流失、防渗漏或者其他防止污染环境的措施，不得擅自倾倒、堆放、丢弃、遗撒危险废物。转移过程发生危险废物突发环境事件时，应立即采取有效措施消除或者减轻对环境的污染危害，并按相关规定向事故发生地有关部门报告。</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10、建设风险较大的储罐距离居住区等环境保护目标应满足以下距离要求：甲醛储罐＞100m，液氨储罐＞20m，甲醇储罐＞10m，液氯储罐＞500m，同时风险较大的储罐还应满足建设项目环评提出的要求。</w:t>
                  </w:r>
                </w:p>
              </w:tc>
              <w:tc>
                <w:tcPr>
                  <w:tcW w:w="1436" w:type="pct"/>
                  <w:tcBorders>
                    <w:left w:val="single" w:sz="4" w:space="0" w:color="auto"/>
                  </w:tcBorders>
                  <w:shd w:val="clear" w:color="auto" w:fill="auto"/>
                  <w:vAlign w:val="center"/>
                </w:tcPr>
                <w:p>
                  <w:pPr>
                    <w:pStyle w:val="46"/>
                    <w:keepNext w:val="0"/>
                    <w:keepLines w:val="0"/>
                    <w:pageBreakBefore w:val="0"/>
                    <w:widowControl w:val="0"/>
                    <w:kinsoku/>
                    <w:wordWrap/>
                    <w:overflowPunct/>
                    <w:topLinePunct w:val="0"/>
                    <w:autoSpaceDE/>
                    <w:autoSpaceDN/>
                    <w:bidi w:val="0"/>
                    <w:spacing w:line="280" w:lineRule="exact"/>
                    <w:ind w:left="0" w:right="0" w:firstLineChars="0" w:firstLine="0"/>
                    <w:jc w:val="center"/>
                    <w:textAlignment w:val="auto"/>
                    <w:rPr>
                      <w:rFonts w:ascii="宋体" w:eastAsia="宋体" w:cs="宋体" w:hAnsi="宋体" w:hint="eastAsia"/>
                      <w:color w:val="auto"/>
                      <w:spacing w:val="0"/>
                      <w:w w:val="100"/>
                      <w:kern w:val="0"/>
                      <w:position w:val="0"/>
                      <w:sz w:val="21"/>
                      <w:szCs w:val="21"/>
                      <w:lang w:val="en-US" w:eastAsia="zh-CN" w:bidi="ar-SA"/>
                    </w:rPr>
                  </w:pPr>
                  <w:r>
                    <w:rPr>
                      <w:color w:val="auto"/>
                      <w:spacing w:val="0"/>
                      <w:w w:val="100"/>
                      <w:kern w:val="0"/>
                      <w:position w:val="0"/>
                      <w:sz w:val="21"/>
                      <w:szCs w:val="21"/>
                    </w:rPr>
                    <w:t>按要求制定环境风险防范体系</w:t>
                  </w:r>
                </w:p>
              </w:tc>
              <w:tc>
                <w:tcPr>
                  <w:tcW w:w="198" w:type="pct"/>
                  <w:tcBorders>
                    <w:left w:val="single" w:sz="4" w:space="0" w:color="auto"/>
                  </w:tcBorders>
                  <w:shd w:val="clear" w:color="auto" w:fill="auto"/>
                  <w:vAlign w:val="center"/>
                </w:tcPr>
                <w:p>
                  <w:pPr>
                    <w:pStyle w:val="46"/>
                    <w:keepNext w:val="0"/>
                    <w:keepLines w:val="0"/>
                    <w:pageBreakBefore w:val="0"/>
                    <w:widowControl w:val="0"/>
                    <w:kinsoku/>
                    <w:wordWrap/>
                    <w:overflowPunct/>
                    <w:topLinePunct w:val="0"/>
                    <w:autoSpaceDE/>
                    <w:autoSpaceDN/>
                    <w:bidi w:val="0"/>
                    <w:spacing w:line="280" w:lineRule="exact"/>
                    <w:ind w:left="0" w:right="0" w:firstLineChars="0" w:firstLine="0"/>
                    <w:jc w:val="center"/>
                    <w:textAlignment w:val="auto"/>
                    <w:rPr>
                      <w:rFonts w:ascii="宋体" w:eastAsia="宋体" w:cs="宋体" w:hAnsi="宋体" w:hint="eastAsia"/>
                      <w:color w:val="auto"/>
                      <w:spacing w:val="0"/>
                      <w:w w:val="100"/>
                      <w:kern w:val="0"/>
                      <w:position w:val="0"/>
                      <w:sz w:val="21"/>
                      <w:szCs w:val="21"/>
                      <w:lang w:val="en-US" w:eastAsia="zh-CN" w:bidi="ar-SA"/>
                    </w:rPr>
                  </w:pPr>
                  <w:r>
                    <w:rPr>
                      <w:color w:val="auto"/>
                      <w:spacing w:val="0"/>
                      <w:w w:val="100"/>
                      <w:kern w:val="0"/>
                      <w:position w:val="0"/>
                      <w:sz w:val="21"/>
                      <w:szCs w:val="21"/>
                    </w:rPr>
                    <w:t>符合</w:t>
                  </w:r>
                </w:p>
              </w:tc>
            </w:tr>
            <w:tr>
              <w:trPr>
                <w:trHeight w:val="630"/>
              </w:trPr>
              <w:tc>
                <w:tcPr>
                  <w:tcW w:w="147" w:type="pct"/>
                  <w:vMerge/>
                  <w:vAlign w:val="center"/>
                </w:tcPr>
                <w:p/>
              </w:tc>
              <w:tc>
                <w:tcPr>
                  <w:tcW w:w="169"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center"/>
                    <w:textAlignment w:val="auto"/>
                    <w:rPr>
                      <w:rFonts w:ascii="Times New Roman" w:eastAsia="宋体" w:cs="Times New Roman" w:hAnsi="Times New Roman" w:hint="eastAsia"/>
                      <w:color w:val="auto"/>
                      <w:kern w:val="0"/>
                      <w:sz w:val="21"/>
                      <w:szCs w:val="21"/>
                      <w:lang w:val="en-US" w:eastAsia="zh-CN"/>
                    </w:rPr>
                  </w:pPr>
                  <w:r>
                    <w:rPr>
                      <w:rFonts w:ascii="Times New Roman" w:eastAsia="宋体" w:cs="Times New Roman" w:hAnsi="Times New Roman" w:hint="eastAsia"/>
                      <w:color w:val="auto"/>
                      <w:kern w:val="0"/>
                      <w:sz w:val="21"/>
                      <w:szCs w:val="21"/>
                      <w:lang w:val="en-US" w:eastAsia="zh-CN"/>
                    </w:rPr>
                    <w:t>资源利用效率</w:t>
                  </w:r>
                </w:p>
              </w:tc>
              <w:tc>
                <w:tcPr>
                  <w:tcW w:w="3048"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1.减少新鲜水用量，提高中水回用率。</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2.禁止新建、扩建采用非清洁燃料的项目和设施。</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3.生产用水全部采用南水北调水，禁止新增开采地下水。</w:t>
                  </w:r>
                </w:p>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eastAsia="宋体" w:cs="Times New Roman" w:hAnsi="Times New Roman"/>
                      <w:color w:val="auto"/>
                      <w:kern w:val="0"/>
                      <w:sz w:val="21"/>
                      <w:szCs w:val="21"/>
                      <w:lang w:val="en-US" w:eastAsia="zh-CN"/>
                    </w:rPr>
                  </w:pPr>
                  <w:r>
                    <w:rPr>
                      <w:rFonts w:ascii="Times New Roman" w:cs="Times New Roman" w:hAnsi="Times New Roman" w:hint="eastAsia"/>
                      <w:color w:val="auto"/>
                      <w:kern w:val="0"/>
                      <w:sz w:val="21"/>
                      <w:szCs w:val="21"/>
                      <w:lang w:val="en-US" w:eastAsia="zh-CN"/>
                    </w:rPr>
                    <w:t>4.项目实施后资源和能源消耗量应满足园区划定的土地、水、能源等主要资源能源可开发利用总量上线；</w:t>
                  </w:r>
                  <w:r>
                    <w:rPr>
                      <w:rFonts w:ascii="Times New Roman" w:eastAsia="宋体" w:cs="Times New Roman" w:hAnsi="Times New Roman" w:hint="eastAsia"/>
                      <w:color w:val="auto"/>
                      <w:kern w:val="0"/>
                      <w:sz w:val="21"/>
                      <w:szCs w:val="21"/>
                      <w:lang w:val="en-US" w:eastAsia="zh-CN"/>
                    </w:rPr>
                    <w:t>河北石家庄装备制造产业园</w:t>
                  </w:r>
                  <w:r>
                    <w:rPr>
                      <w:rFonts w:ascii="Times New Roman" w:cs="Times New Roman" w:hAnsi="Times New Roman" w:hint="eastAsia"/>
                      <w:color w:val="auto"/>
                      <w:kern w:val="0"/>
                      <w:sz w:val="21"/>
                      <w:szCs w:val="21"/>
                      <w:lang w:val="en-US" w:eastAsia="zh-CN"/>
                    </w:rPr>
                    <w:t>整体</w:t>
                  </w:r>
                  <w:r>
                    <w:rPr>
                      <w:rFonts w:ascii="Times New Roman" w:eastAsia="宋体" w:cs="Times New Roman" w:hAnsi="Times New Roman" w:hint="eastAsia"/>
                      <w:color w:val="auto"/>
                      <w:kern w:val="0"/>
                      <w:sz w:val="21"/>
                      <w:szCs w:val="21"/>
                      <w:lang w:val="en-US" w:eastAsia="zh-CN"/>
                    </w:rPr>
                    <w:t>能源利用上线</w:t>
                  </w:r>
                  <w:r>
                    <w:rPr>
                      <w:rFonts w:ascii="Times New Roman" w:cs="Times New Roman" w:hAnsi="Times New Roman" w:hint="eastAsia"/>
                      <w:color w:val="auto"/>
                      <w:kern w:val="0"/>
                      <w:sz w:val="21"/>
                      <w:szCs w:val="21"/>
                      <w:lang w:val="en-US" w:eastAsia="zh-CN"/>
                    </w:rPr>
                    <w:t>：近期52.5万tce，远期102万tce。</w:t>
                  </w:r>
                  <w:r>
                    <w:rPr>
                      <w:rFonts w:ascii="Times New Roman" w:eastAsia="宋体" w:cs="Times New Roman" w:hAnsi="Times New Roman" w:hint="eastAsia"/>
                      <w:color w:val="auto"/>
                      <w:kern w:val="0"/>
                      <w:sz w:val="21"/>
                      <w:szCs w:val="21"/>
                      <w:lang w:val="en-US" w:eastAsia="zh-CN"/>
                    </w:rPr>
                    <w:t>水资源利用</w:t>
                  </w:r>
                  <w:r>
                    <w:rPr>
                      <w:rFonts w:ascii="Times New Roman" w:cs="Times New Roman" w:hAnsi="Times New Roman" w:hint="eastAsia"/>
                      <w:color w:val="auto"/>
                      <w:kern w:val="0"/>
                      <w:sz w:val="21"/>
                      <w:szCs w:val="21"/>
                      <w:lang w:val="en-US" w:eastAsia="zh-CN"/>
                    </w:rPr>
                    <w:t>上线：近期</w:t>
                  </w:r>
                  <w:r>
                    <w:rPr>
                      <w:rFonts w:hint="eastAsia"/>
                      <w:color w:val="auto"/>
                      <w:kern w:val="0"/>
                      <w:sz w:val="21"/>
                      <w:szCs w:val="21"/>
                      <w:lang w:val="en-US" w:eastAsia="zh-CN"/>
                    </w:rPr>
                    <w:t>工业</w:t>
                  </w:r>
                  <w:r>
                    <w:rPr>
                      <w:color w:val="auto"/>
                      <w:kern w:val="0"/>
                      <w:sz w:val="21"/>
                      <w:szCs w:val="21"/>
                    </w:rPr>
                    <w:t>新鲜水耗</w:t>
                  </w:r>
                  <w:r>
                    <w:rPr>
                      <w:rFonts w:ascii="Times New Roman" w:cs="Times New Roman" w:hAnsi="Times New Roman" w:hint="eastAsia"/>
                      <w:color w:val="auto"/>
                      <w:kern w:val="0"/>
                      <w:sz w:val="21"/>
                      <w:szCs w:val="21"/>
                      <w:lang w:val="en-US" w:eastAsia="zh-CN"/>
                    </w:rPr>
                    <w:t>792</w:t>
                  </w:r>
                  <w:r>
                    <w:rPr>
                      <w:rFonts w:ascii="Times New Roman" w:cs="Times New Roman" w:hAnsi="Times New Roman"/>
                      <w:color w:val="auto"/>
                      <w:kern w:val="0"/>
                      <w:sz w:val="21"/>
                      <w:szCs w:val="21"/>
                      <w:lang w:val="en-US" w:eastAsia="zh-CN"/>
                    </w:rPr>
                    <w:t>万m</w:t>
                  </w:r>
                  <w:r>
                    <w:rPr>
                      <w:rFonts w:ascii="Times New Roman" w:cs="Times New Roman" w:hAnsi="Times New Roman"/>
                      <w:color w:val="auto"/>
                      <w:kern w:val="0"/>
                      <w:sz w:val="21"/>
                      <w:szCs w:val="21"/>
                      <w:vertAlign w:val="superscript"/>
                      <w:lang w:val="en-US" w:eastAsia="zh-CN"/>
                    </w:rPr>
                    <w:t>3</w:t>
                  </w:r>
                  <w:r>
                    <w:rPr>
                      <w:rFonts w:ascii="Times New Roman" w:cs="Times New Roman" w:hAnsi="Times New Roman"/>
                      <w:color w:val="auto"/>
                      <w:kern w:val="0"/>
                      <w:sz w:val="21"/>
                      <w:szCs w:val="21"/>
                      <w:lang w:val="en-US" w:eastAsia="zh-CN"/>
                    </w:rPr>
                    <w:t>/</w:t>
                  </w:r>
                  <w:r>
                    <w:rPr>
                      <w:rFonts w:ascii="Times New Roman" w:cs="Times New Roman" w:hAnsi="Times New Roman" w:hint="eastAsia"/>
                      <w:color w:val="auto"/>
                      <w:kern w:val="0"/>
                      <w:sz w:val="21"/>
                      <w:szCs w:val="21"/>
                      <w:lang w:val="en-US" w:eastAsia="zh-CN"/>
                    </w:rPr>
                    <w:t>a，远期为</w:t>
                  </w:r>
                  <w:r>
                    <w:rPr>
                      <w:rFonts w:hint="eastAsia"/>
                      <w:color w:val="auto"/>
                      <w:kern w:val="0"/>
                      <w:sz w:val="21"/>
                      <w:szCs w:val="21"/>
                      <w:lang w:val="en-US" w:eastAsia="zh-CN"/>
                    </w:rPr>
                    <w:t>1657.65</w:t>
                  </w:r>
                  <w:r>
                    <w:rPr>
                      <w:rFonts w:ascii="Times New Roman" w:cs="Times New Roman" w:hAnsi="Times New Roman"/>
                      <w:color w:val="auto"/>
                      <w:kern w:val="0"/>
                      <w:sz w:val="21"/>
                      <w:szCs w:val="21"/>
                      <w:lang w:val="en-US" w:eastAsia="zh-CN"/>
                    </w:rPr>
                    <w:t>万m</w:t>
                  </w:r>
                  <w:r>
                    <w:rPr>
                      <w:rFonts w:ascii="Times New Roman" w:cs="Times New Roman" w:hAnsi="Times New Roman"/>
                      <w:color w:val="auto"/>
                      <w:kern w:val="0"/>
                      <w:sz w:val="21"/>
                      <w:szCs w:val="21"/>
                      <w:vertAlign w:val="superscript"/>
                      <w:lang w:val="en-US" w:eastAsia="zh-CN"/>
                    </w:rPr>
                    <w:t>3</w:t>
                  </w:r>
                  <w:r>
                    <w:rPr>
                      <w:rFonts w:ascii="Times New Roman" w:cs="Times New Roman" w:hAnsi="Times New Roman"/>
                      <w:color w:val="auto"/>
                      <w:kern w:val="0"/>
                      <w:sz w:val="21"/>
                      <w:szCs w:val="21"/>
                      <w:lang w:val="en-US" w:eastAsia="zh-CN"/>
                    </w:rPr>
                    <w:t>/</w:t>
                  </w:r>
                  <w:r>
                    <w:rPr>
                      <w:rFonts w:ascii="Times New Roman" w:cs="Times New Roman" w:hAnsi="Times New Roman" w:hint="eastAsia"/>
                      <w:color w:val="auto"/>
                      <w:kern w:val="0"/>
                      <w:sz w:val="21"/>
                      <w:szCs w:val="21"/>
                      <w:lang w:val="en-US" w:eastAsia="zh-CN"/>
                    </w:rPr>
                    <w:t>a。</w:t>
                  </w:r>
                  <w:r>
                    <w:rPr>
                      <w:rFonts w:ascii="Times New Roman" w:eastAsia="宋体" w:cs="Times New Roman" w:hAnsi="Times New Roman" w:hint="eastAsia"/>
                      <w:color w:val="auto"/>
                      <w:kern w:val="0"/>
                      <w:sz w:val="21"/>
                      <w:szCs w:val="21"/>
                      <w:lang w:val="en-US" w:eastAsia="zh-CN"/>
                    </w:rPr>
                    <w:t>土地利用上线：近期工业用地面积1169.31hm</w:t>
                  </w:r>
                  <w:r>
                    <w:rPr>
                      <w:rFonts w:ascii="Times New Roman" w:eastAsia="宋体" w:cs="Times New Roman" w:hAnsi="Times New Roman" w:hint="eastAsia"/>
                      <w:color w:val="auto"/>
                      <w:kern w:val="0"/>
                      <w:sz w:val="21"/>
                      <w:szCs w:val="21"/>
                      <w:vertAlign w:val="superscript"/>
                      <w:lang w:val="en-US" w:eastAsia="zh-CN"/>
                    </w:rPr>
                    <w:t>2</w:t>
                  </w:r>
                  <w:r>
                    <w:rPr>
                      <w:rFonts w:ascii="Times New Roman" w:eastAsia="宋体" w:cs="Times New Roman" w:hAnsi="Times New Roman" w:hint="eastAsia"/>
                      <w:color w:val="auto"/>
                      <w:kern w:val="0"/>
                      <w:sz w:val="21"/>
                      <w:szCs w:val="21"/>
                      <w:lang w:val="en-US" w:eastAsia="zh-CN"/>
                    </w:rPr>
                    <w:t>，远期：2048.96hm</w:t>
                  </w:r>
                  <w:r>
                    <w:rPr>
                      <w:rFonts w:ascii="Times New Roman" w:eastAsia="宋体" w:cs="Times New Roman" w:hAnsi="Times New Roman" w:hint="eastAsia"/>
                      <w:color w:val="auto"/>
                      <w:kern w:val="0"/>
                      <w:sz w:val="21"/>
                      <w:szCs w:val="21"/>
                      <w:vertAlign w:val="superscript"/>
                      <w:lang w:val="en-US" w:eastAsia="zh-CN"/>
                    </w:rPr>
                    <w:t>2</w:t>
                  </w:r>
                  <w:r>
                    <w:rPr>
                      <w:rFonts w:ascii="Times New Roman" w:cs="Times New Roman" w:hAnsi="Times New Roman" w:hint="eastAsia"/>
                      <w:color w:val="auto"/>
                      <w:kern w:val="0"/>
                      <w:sz w:val="21"/>
                      <w:szCs w:val="21"/>
                      <w:lang w:val="en-US" w:eastAsia="zh-CN"/>
                    </w:rPr>
                    <w:t>。</w:t>
                  </w:r>
                </w:p>
              </w:tc>
              <w:tc>
                <w:tcPr>
                  <w:tcW w:w="1436"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本次</w:t>
                  </w:r>
                  <w:r>
                    <w:rPr>
                      <w:rFonts w:cs="Times New Roman" w:hint="eastAsia"/>
                      <w:color w:val="auto"/>
                      <w:kern w:val="0"/>
                      <w:sz w:val="21"/>
                      <w:szCs w:val="21"/>
                      <w:lang w:val="en-US" w:eastAsia="zh-CN"/>
                    </w:rPr>
                    <w:t>技改</w:t>
                  </w:r>
                  <w:r>
                    <w:rPr>
                      <w:rFonts w:ascii="Times New Roman" w:cs="Times New Roman" w:hAnsi="Times New Roman" w:hint="eastAsia"/>
                      <w:color w:val="auto"/>
                      <w:kern w:val="0"/>
                      <w:sz w:val="21"/>
                      <w:szCs w:val="21"/>
                      <w:lang w:val="en-US" w:eastAsia="zh-CN"/>
                    </w:rPr>
                    <w:t>项目位于现有厂区内，不新增占地，土地性质为工业用地；用电由园区</w:t>
                  </w:r>
                  <w:r>
                    <w:rPr>
                      <w:rFonts w:cs="Times New Roman" w:hint="eastAsia"/>
                      <w:color w:val="auto"/>
                      <w:kern w:val="0"/>
                      <w:sz w:val="21"/>
                      <w:szCs w:val="21"/>
                      <w:lang w:val="en-US" w:eastAsia="zh-CN"/>
                    </w:rPr>
                    <w:t>变电站</w:t>
                  </w:r>
                  <w:r>
                    <w:rPr>
                      <w:rFonts w:ascii="Times New Roman" w:cs="Times New Roman" w:hAnsi="Times New Roman" w:hint="eastAsia"/>
                      <w:color w:val="auto"/>
                      <w:kern w:val="0"/>
                      <w:sz w:val="21"/>
                      <w:szCs w:val="21"/>
                      <w:lang w:val="en-US" w:eastAsia="zh-CN"/>
                    </w:rPr>
                    <w:t>提供，不属于园区重点管控能源，符合能源利用上线标准；用水由园区供水管网提供，不取用地下水资源，符合资源利用上限的要求。</w:t>
                  </w:r>
                </w:p>
              </w:tc>
              <w:tc>
                <w:tcPr>
                  <w:tcW w:w="198"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left="0" w:firstLineChars="0" w:firstLine="0"/>
                    <w:jc w:val="both"/>
                    <w:textAlignment w:val="auto"/>
                    <w:rPr>
                      <w:rFonts w:ascii="Times New Roman" w:cs="Times New Roman" w:hAnsi="Times New Roman" w:hint="eastAsia"/>
                      <w:color w:val="auto"/>
                      <w:kern w:val="0"/>
                      <w:sz w:val="21"/>
                      <w:szCs w:val="21"/>
                      <w:lang w:val="en-US" w:eastAsia="zh-CN"/>
                    </w:rPr>
                  </w:pPr>
                  <w:r>
                    <w:rPr>
                      <w:rFonts w:ascii="Times New Roman" w:cs="Times New Roman" w:hAnsi="Times New Roman" w:hint="eastAsia"/>
                      <w:color w:val="auto"/>
                      <w:kern w:val="0"/>
                      <w:sz w:val="21"/>
                      <w:szCs w:val="21"/>
                      <w:lang w:val="en-US" w:eastAsia="zh-CN"/>
                    </w:rPr>
                    <w:t>符合</w:t>
                  </w:r>
                </w:p>
              </w:tc>
            </w:tr>
          </w:tbl>
          <w:p>
            <w:pPr>
              <w:keepNext w:val="0"/>
              <w:keepLines w:val="0"/>
              <w:pageBreakBefore w:val="0"/>
              <w:widowControl w:val="0"/>
              <w:kinsoku/>
              <w:wordWrap/>
              <w:overflowPunct/>
              <w:topLinePunct w:val="0"/>
              <w:autoSpaceDE/>
              <w:autoSpaceDN/>
              <w:bidi w:val="0"/>
              <w:adjustRightInd/>
              <w:snapToGrid/>
              <w:ind w:left="0" w:firstLineChars="0" w:firstLine="0"/>
              <w:jc w:val="both"/>
              <w:textAlignment w:val="auto"/>
              <w:rPr>
                <w:rFonts w:hint="eastAsia"/>
                <w:color w:val="auto"/>
                <w:lang w:val="en-US" w:eastAsia="zh-CN"/>
              </w:rPr>
            </w:pPr>
            <w:r>
              <w:rPr>
                <w:rFonts w:hint="eastAsia"/>
                <w:color w:val="auto"/>
                <w:lang w:val="en-US" w:eastAsia="zh-CN"/>
              </w:rPr>
              <w:t>5、与规划环评审查意见符合性分析</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根据《河北省生态环境厅关于&lt;河北石家庄装备制造产业园总体规划（2022-2030年）环境影响报告书&gt;的审查意见的函》（冀环环评函[2025]1839号），对《规划》优化调整和实施过程中的意见如下：</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(一)落实国家及区域发展战略，坚持生态优先、提质增效，以生态环境质量改善为核心，做好与各级国土空间规划和生态环境分区管控体系的协调衔接，进一步优化《规划》布局、产业定位和发展规模。</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次改扩建项目位于现有厂区内，不新增占地，属于石家庄装备制造产业园规划范围内，位于产业转型升级示范区，占地是工业用地。本项目属于C2624复混肥料制造，符合园区河北省装备制造产业聚集区的规划定位以及装备制造产业园区产业发展规划，</w:t>
            </w:r>
            <w:r>
              <w:rPr>
                <w:rFonts w:hint="eastAsia"/>
                <w:color w:val="auto"/>
                <w:lang w:val="en-US" w:eastAsia="zh-CN"/>
                <w:highlight w:val="none"/>
              </w:rPr>
              <w:t>同时河北石家庄装备制造产业园管委会办公室出具了项目符合园区规划和产业规划的证明。</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(二)推进产业园绿色低碳转型发展，实现减污降碳协同增效目标。根据国家、地方碳减排和碳达峰行动方案及路径要求，进一步优化产业园能源结构、交通运输方式等《规划》内容。</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项目原料、产品公路运输采用国五及以上排放阶段的重型载货车辆（含燃气）或新能源汽车比例不低于80%，其余使用符合国四排放阶段的载货车辆；厂内运输车辆使用国五及以上排放阶段或新能源车辆比例不低于80%，其余达到国四排放标准运输车辆；厂内非道路移动机械使用国三及以上排放阶段或新能源机械比例不低于80%，其余达到国二排放标准。本次技改项目针对废气、噪声、固体废物采取了相应的环保治理措施，均符合园区规划环评中提出的各项环保措施要求。可满足产业园绿色低碳转型发展，实现减污降碳协同增效目标要求。</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三)严格空间管控要求，进一步优化产业园空间布局。教育文化科研区、绿地禁止开展其他无关建设活动。严格落实饮用水源地保护区、文物保护单位、河流管理范围的管理要求。落实《报告书》提出的空间布局引导和管控要求，优化工业、居住等各类用地的空间布局和产业的梯级布局，严格涉风险源企业管理，确保人居环境安全。</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次技改项目在现有厂区建设，不新增占地，占地类型为工业用地，位于产业转型升级示范区，距项目最近的敏感点为项目西南782m处的营里村，项目区域内无饮用水源地保护区、自然保护区、风景点及重点保护文物等重点保护对象。东北距洨河约2010m，不在其河流管理范围内。本项目不会对当地人居环境造成明显的影响。</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四)严守环境质量底线，强化污染物排放总量管控。提升现有及入区企业污染治理设施及环境管理水平，严格落实《报告书》污染物减排方案，确保环境质量持续改善目标。强化涉重废水污染治理，电镀等涉重工序废水在厂区内处理达标后全部回用，不外排。按照《关于加强重点行业建设项目区域削减措施监督管理的通知》要求，环境质量未达到国家或者地方环境质量标准之前，重点行业建设项目主要污染物实行区域倍量削减。</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highlight w:val="yellow"/>
              </w:rPr>
            </w:pPr>
            <w:r>
              <w:rPr>
                <w:rFonts w:hint="eastAsia"/>
                <w:color w:val="auto"/>
                <w:lang w:val="en-US" w:eastAsia="zh-CN"/>
              </w:rPr>
              <w:t>本次改扩建项目建设完成后不新增用水，不涉及废水排放，不涉及涉重废水。现有工程COD、氨氮、</w:t>
            </w:r>
            <w:r>
              <w:rPr>
                <w:rFonts w:ascii="Times New Roman" w:eastAsia="宋体" w:hAnsi="Times New Roman" w:hint="eastAsia"/>
                <w:color w:val="auto"/>
                <w:lang w:val="en-US" w:eastAsia="zh-CN"/>
              </w:rPr>
              <w:t>SO</w:t>
            </w:r>
            <w:r>
              <w:rPr>
                <w:rFonts w:ascii="Times New Roman" w:eastAsia="宋体" w:hAnsi="Times New Roman" w:hint="eastAsia"/>
                <w:color w:val="auto"/>
                <w:vertAlign w:val="subscript"/>
                <w:lang w:val="en-US" w:eastAsia="zh-CN"/>
              </w:rPr>
              <w:t>2</w:t>
            </w:r>
            <w:r>
              <w:rPr>
                <w:rFonts w:ascii="Times New Roman" w:eastAsia="宋体" w:hAnsi="Times New Roman" w:hint="eastAsia"/>
                <w:color w:val="auto"/>
                <w:lang w:val="en-US" w:eastAsia="zh-CN"/>
              </w:rPr>
              <w:t>、NO</w:t>
            </w:r>
            <w:r>
              <w:rPr>
                <w:rFonts w:ascii="Times New Roman" w:eastAsia="宋体" w:hAnsi="Times New Roman" w:hint="eastAsia"/>
                <w:color w:val="auto"/>
                <w:vertAlign w:val="subscript"/>
                <w:lang w:val="en-US" w:eastAsia="zh-CN"/>
              </w:rPr>
              <w:t>X</w:t>
            </w:r>
            <w:r>
              <w:rPr>
                <w:rFonts w:hint="eastAsia"/>
                <w:color w:val="auto"/>
                <w:lang w:val="en-US" w:eastAsia="zh-CN"/>
              </w:rPr>
              <w:t>总量指标已通过排污权出让购买，其现有工程购买的COD、氨氮、</w:t>
            </w:r>
            <w:r>
              <w:rPr>
                <w:rFonts w:ascii="Times New Roman" w:eastAsia="宋体" w:hAnsi="Times New Roman" w:hint="eastAsia"/>
                <w:color w:val="auto"/>
                <w:lang w:val="en-US" w:eastAsia="zh-CN"/>
              </w:rPr>
              <w:t>SO</w:t>
            </w:r>
            <w:r>
              <w:rPr>
                <w:rFonts w:ascii="Times New Roman" w:eastAsia="宋体" w:hAnsi="Times New Roman" w:hint="eastAsia"/>
                <w:color w:val="auto"/>
                <w:vertAlign w:val="subscript"/>
                <w:lang w:val="en-US" w:eastAsia="zh-CN"/>
              </w:rPr>
              <w:t>2</w:t>
            </w:r>
            <w:r>
              <w:rPr>
                <w:rFonts w:ascii="Times New Roman" w:eastAsia="宋体" w:hAnsi="Times New Roman" w:hint="eastAsia"/>
                <w:color w:val="auto"/>
                <w:lang w:val="en-US" w:eastAsia="zh-CN"/>
              </w:rPr>
              <w:t>、NO</w:t>
            </w:r>
            <w:r>
              <w:rPr>
                <w:rFonts w:ascii="Times New Roman" w:eastAsia="宋体" w:hAnsi="Times New Roman" w:hint="eastAsia"/>
                <w:color w:val="auto"/>
                <w:vertAlign w:val="subscript"/>
                <w:lang w:val="en-US" w:eastAsia="zh-CN"/>
              </w:rPr>
              <w:t>X</w:t>
            </w:r>
            <w:r>
              <w:rPr>
                <w:rFonts w:hint="eastAsia"/>
                <w:color w:val="auto"/>
                <w:lang w:val="en-US" w:eastAsia="zh-CN"/>
              </w:rPr>
              <w:t>总量指标可满足本次扩建项目完成后全厂用量指标要求，故本项目不新增COD、氨氮、SO</w:t>
            </w:r>
            <w:r>
              <w:rPr>
                <w:rFonts w:hint="eastAsia"/>
                <w:color w:val="auto"/>
                <w:vertAlign w:val="subscript"/>
                <w:lang w:val="en-US" w:eastAsia="zh-CN"/>
              </w:rPr>
              <w:t>2</w:t>
            </w:r>
            <w:r>
              <w:rPr>
                <w:rFonts w:hint="eastAsia"/>
                <w:color w:val="auto"/>
                <w:lang w:val="en-US" w:eastAsia="zh-CN"/>
              </w:rPr>
              <w:t>、NO</w:t>
            </w:r>
            <w:r>
              <w:rPr>
                <w:rFonts w:hint="eastAsia"/>
                <w:color w:val="auto"/>
                <w:vertAlign w:val="subscript"/>
                <w:lang w:val="en-US" w:eastAsia="zh-CN"/>
              </w:rPr>
              <w:t>X</w:t>
            </w:r>
            <w:r>
              <w:rPr>
                <w:rFonts w:hint="eastAsia"/>
                <w:color w:val="auto"/>
                <w:lang w:val="en-US" w:eastAsia="zh-CN"/>
              </w:rPr>
              <w:t>总量；</w:t>
            </w:r>
            <w:r>
              <w:rPr>
                <w:rFonts w:hint="eastAsia"/>
                <w:color w:val="auto"/>
                <w:lang w:val="en-US" w:eastAsia="zh-CN"/>
                <w:highlight w:val="none"/>
              </w:rPr>
              <w:t>本次技改项目新增非甲烷总烃总量0.216t/a，颗粒物总量21.722t/a。</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五)严格入区项目生态环境准入，推动绿色低碳高质量发展。严格落实《报告书》提出的产业园生态环境准入要求及现有企业环境管理要求。禁止“两高”项目准入；严格落实好省、市重点化工监控点管理要求；严格化学药品原料药制造项目准入，满足防护距离要求。不断提高现有企业清洁生产水平，促进产业园产业转型升级与生态环境保护、人居环境安全相协调。</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本项目属于C2624复混肥料制造行业，不属于“两高”项目及化学药品原料药制造项目，符合产业园生态环境准入要求及现有企业环境管理要求。</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六)统筹基础设施建设，严格落实《报告书》提出的建设内容及时限。加快产业园内供水、排水、供热管网建设进度，逐步完善再生水管网布局，充分利用再生水资源。产业园企业优先使用天然气、电能等清洁能源，根据供热管网建设时序，现有企业自建锅炉淘汰或作为备用锅炉。</w:t>
            </w:r>
          </w:p>
          <w:p>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lang w:val="en-US" w:eastAsia="zh-CN"/>
              </w:rPr>
            </w:pPr>
            <w:r>
              <w:rPr>
                <w:rFonts w:hint="eastAsia"/>
                <w:color w:val="auto"/>
                <w:lang w:val="en-US" w:eastAsia="zh-CN"/>
              </w:rPr>
              <w:t>本项目不新增用水，不涉及废水排放，现有工程用水由园区供水管网提供，不取用地下水；项目生产过程使用天然气，冬季办公生活取暖采用空调，可满足项目供热需求，项目不建设锅炉。</w:t>
            </w:r>
          </w:p>
          <w:p>
            <w:pPr>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hint="eastAsia"/>
                <w:color w:val="auto"/>
                <w:lang w:val="en-US" w:eastAsia="zh-CN"/>
              </w:rPr>
            </w:pPr>
            <w:r>
              <w:rPr>
                <w:rFonts w:hint="eastAsia"/>
                <w:color w:val="auto"/>
                <w:lang w:val="en-US" w:eastAsia="zh-CN"/>
              </w:rPr>
              <w:t>（七）优化运输方式，落实应急运输响应方案。鼓励产业园提高清洁能源汽车运输比例，减轻公路运输产生的不利环境影响。结合秋冬行业错峰生产和重污染天气应急响应要求，在黄色及以上重污染天气预警期间，重点用车企业实施应急运输响应。</w:t>
            </w:r>
          </w:p>
          <w:p>
            <w:pPr>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hint="eastAsia"/>
                <w:color w:val="auto"/>
                <w:lang w:val="en-US" w:eastAsia="zh-CN"/>
              </w:rPr>
            </w:pPr>
            <w:r>
              <w:rPr>
                <w:rFonts w:hint="eastAsia"/>
                <w:color w:val="auto"/>
                <w:lang w:val="en-US" w:eastAsia="zh-CN"/>
              </w:rPr>
              <w:t>本项目不属于重点用车企业，涉原料、产品运输优化运输方式，提高运输过程中清洁能源汽车的使用比例，以减轻公路运输产生的不利环境影响。</w:t>
            </w:r>
          </w:p>
          <w:p>
            <w:pPr>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hint="eastAsia"/>
                <w:color w:val="auto"/>
                <w:lang w:val="en-US" w:eastAsia="zh-CN"/>
              </w:rPr>
            </w:pPr>
            <w:r>
              <w:rPr>
                <w:rFonts w:hint="eastAsia"/>
                <w:color w:val="auto"/>
                <w:lang w:val="en-US" w:eastAsia="zh-CN"/>
              </w:rPr>
              <w:t>(八)健全完善环境监测体系，强化环境风险防范。健全完善包括环境空气、地表水、地下水、土壤等环境要素的监控体系；强化产业园风险防控体系的建立，健全应急响应联动机制。严格落实《报告书》提出的各项环境风险防控措施，加强产业园与周边敏感区环境风险防范设施建设，提升环境风险防控和应急响应能力，保障区域环境安全。</w:t>
            </w:r>
          </w:p>
          <w:p>
            <w:pPr>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hint="eastAsia"/>
                <w:color w:val="auto"/>
                <w:lang w:val="en-US" w:eastAsia="zh-CN"/>
              </w:rPr>
            </w:pPr>
            <w:r>
              <w:rPr>
                <w:rFonts w:hint="eastAsia"/>
                <w:color w:val="auto"/>
                <w:lang w:val="en-US" w:eastAsia="zh-CN"/>
              </w:rPr>
              <w:t>本次扩建项目制定了环境管理和环境监测计划。</w:t>
            </w:r>
          </w:p>
          <w:p>
            <w:pPr>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hint="eastAsia"/>
                <w:color w:val="auto"/>
                <w:lang w:val="en-US" w:eastAsia="zh-CN"/>
              </w:rPr>
            </w:pPr>
            <w:r>
              <w:rPr>
                <w:rFonts w:hint="eastAsia"/>
                <w:color w:val="auto"/>
                <w:lang w:val="en-US" w:eastAsia="zh-CN"/>
              </w:rPr>
              <w:t>（九）拟入区建设项目应加强与规划环评联动，结合规划环评相关要求，做好建设项目环境影响评价工作。加强与规划环评的联动，严格项目生态环境准入条件，重点开展工程分析、污染物允许排放量测算和环保措施的可行性论证等工作，强化环境保护相关措施的落实。规划环评中协调性分析、环境现状、污染源调查等符合要求的资料可供建设项目环评共享，项目环评相应评价内容可结合实际情况予以适当简化。</w:t>
            </w:r>
          </w:p>
          <w:p>
            <w:pPr>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hint="eastAsia"/>
                <w:color w:val="auto"/>
                <w:lang w:val="en-US" w:eastAsia="zh-CN"/>
              </w:rPr>
            </w:pPr>
            <w:r>
              <w:rPr>
                <w:rFonts w:hint="eastAsia"/>
                <w:color w:val="auto"/>
                <w:lang w:val="en-US" w:eastAsia="zh-CN"/>
              </w:rPr>
              <w:t>本次技改项目重点分析了准入条件、重点开展工程分析、污染物排放预测和环保措施的可行性论证等工作，强化环境保护相关措施的落实，加强了与规划环评联动。</w:t>
            </w:r>
          </w:p>
          <w:p>
            <w:pPr>
              <w:keepNext w:val="0"/>
              <w:keepLines w:val="0"/>
              <w:pageBreakBefore w:val="0"/>
              <w:widowControl w:val="0"/>
              <w:kinsoku/>
              <w:wordWrap/>
              <w:overflowPunct/>
              <w:topLinePunct w:val="0"/>
              <w:autoSpaceDE/>
              <w:autoSpaceDN/>
              <w:bidi w:val="0"/>
              <w:adjustRightInd/>
              <w:snapToGrid/>
              <w:ind w:left="0" w:firstLineChars="200" w:firstLine="480"/>
              <w:jc w:val="both"/>
              <w:textAlignment w:val="auto"/>
              <w:rPr>
                <w:rFonts w:hint="eastAsia"/>
                <w:color w:val="auto"/>
                <w:lang w:val="en-US" w:eastAsia="zh-CN"/>
              </w:rPr>
            </w:pPr>
            <w:r>
              <w:rPr>
                <w:rFonts w:hint="eastAsia"/>
                <w:color w:val="auto"/>
                <w:lang w:val="en-US" w:eastAsia="zh-CN"/>
              </w:rPr>
              <w:t>综上，本次扩建项目符合河北石家庄装备制造产业园总体规划及环境影响报告书审查意见的相关要求。</w:t>
            </w:r>
          </w:p>
        </w:tc>
      </w:tr>
      <w:tr>
        <w:trPr>
          <w:trHeight w:val="1021"/>
        </w:trPr>
        <w:tc>
          <w:tcPr>
            <w:tcW w:w="968" w:type="pct"/>
            <w:tcBorders>
              <w:left w:val="single" w:sz="4" w:space="0" w:color="auto"/>
              <w:bottom w:val="single" w:sz="4" w:space="0" w:color="auto"/>
            </w:tcBorders>
            <w:tcMar>
              <w:left w:w="108" w:type="dxa"/>
            </w:tcMar>
            <w:vAlign w:val="center"/>
          </w:tcPr>
          <w:p>
            <w:pPr>
              <w:autoSpaceDE w:val="0"/>
              <w:autoSpaceDN w:val="0"/>
              <w:adjustRightInd w:val="0"/>
              <w:snapToGrid w:val="0"/>
              <w:spacing w:line="240" w:lineRule="auto"/>
              <w:ind w:firstLineChars="0" w:firstLine="0"/>
              <w:jc w:val="center"/>
              <w:rPr>
                <w:color w:val="auto"/>
                <w:kern w:val="0"/>
              </w:rPr>
            </w:pPr>
            <w:r>
              <w:rPr>
                <w:color w:val="auto"/>
                <w:kern w:val="0"/>
              </w:rPr>
              <w:t>其他符合性分析</w:t>
            </w:r>
          </w:p>
        </w:tc>
        <w:tc>
          <w:tcPr>
            <w:tcW w:w="4031" w:type="pct"/>
            <w:gridSpan w:val="3"/>
            <w:tcBorders>
              <w:bottom w:val="single" w:sz="4" w:space="0" w:color="auto"/>
              <w:right w:val="single" w:sz="4" w:space="0" w:color="auto"/>
            </w:tcBorders>
            <w:tcMar>
              <w:left w:w="108" w:type="dxa"/>
            </w:tcMar>
            <w:vAlign w:val="center"/>
          </w:tcPr>
          <w:p>
            <w:pPr>
              <w:adjustRightInd w:val="0"/>
              <w:snapToGrid w:val="0"/>
              <w:rPr>
                <w:b/>
                <w:color w:val="auto"/>
              </w:rPr>
            </w:pPr>
            <w:r>
              <w:rPr>
                <w:rFonts w:hint="eastAsia"/>
                <w:b/>
                <w:color w:val="auto"/>
              </w:rPr>
              <w:t>1</w:t>
            </w:r>
            <w:r>
              <w:rPr>
                <w:b/>
                <w:color w:val="auto"/>
              </w:rPr>
              <w:t>、产业政策分析</w:t>
            </w:r>
          </w:p>
          <w:p>
            <w:pPr>
              <w:rPr>
                <w:color w:val="auto"/>
              </w:rPr>
            </w:pPr>
            <w:r>
              <w:rPr>
                <w:rFonts w:hint="eastAsia"/>
                <w:color w:val="auto"/>
              </w:rPr>
              <w:t>对照《产业结构调整指导目录》（2024年本）</w:t>
            </w:r>
            <w:r>
              <w:rPr>
                <w:color w:val="auto"/>
              </w:rPr>
              <w:t>，本项目不属于</w:t>
            </w:r>
            <w:r>
              <w:rPr>
                <w:rFonts w:hint="eastAsia"/>
                <w:color w:val="auto"/>
              </w:rPr>
              <w:t>所列的</w:t>
            </w:r>
            <w:r>
              <w:rPr>
                <w:color w:val="auto"/>
              </w:rPr>
              <w:t>限制类和淘汰类</w:t>
            </w:r>
            <w:r>
              <w:rPr>
                <w:rFonts w:hint="eastAsia"/>
                <w:color w:val="auto"/>
              </w:rPr>
              <w:t>项目，建设符合国家产业结构调整指导目录的要求；</w:t>
            </w:r>
          </w:p>
          <w:p>
            <w:pPr>
              <w:rPr>
                <w:color w:val="auto"/>
              </w:rPr>
            </w:pPr>
            <w:r>
              <w:rPr>
                <w:rFonts w:hint="eastAsia"/>
                <w:color w:val="auto"/>
              </w:rPr>
              <w:t>对照《市场准入负面清单</w:t>
            </w:r>
            <w:r>
              <w:rPr>
                <w:rFonts w:hint="eastAsia"/>
                <w:color w:val="auto"/>
                <w:lang w:val="en-US" w:eastAsia="zh-CN"/>
              </w:rPr>
              <w:t>（2025年版）</w:t>
            </w:r>
            <w:r>
              <w:rPr>
                <w:rFonts w:hint="eastAsia"/>
                <w:color w:val="auto"/>
              </w:rPr>
              <w:t>》，本项目不属于清单中禁止准入类项目，符合市场准入负面清单的要求；</w:t>
            </w:r>
          </w:p>
          <w:p>
            <w:pPr>
              <w:rPr>
                <w:color w:val="auto"/>
              </w:rPr>
            </w:pPr>
            <w:r>
              <w:rPr>
                <w:color w:val="auto"/>
              </w:rPr>
              <w:t>根据《环境保护综合名录（2021年版）》，本项目不在“高污染、高环境风险”产品名录之中</w:t>
            </w:r>
            <w:r>
              <w:rPr>
                <w:rFonts w:hint="eastAsia"/>
                <w:color w:val="auto"/>
              </w:rPr>
              <w:t>；</w:t>
            </w:r>
          </w:p>
          <w:p>
            <w:pPr>
              <w:rPr>
                <w:color w:val="auto"/>
                <w:highlight w:val="none"/>
              </w:rPr>
            </w:pPr>
            <w:r>
              <w:rPr>
                <w:color w:val="auto"/>
                <w:highlight w:val="none"/>
              </w:rPr>
              <w:t>石家庄市栾城区行政审批局出具了关于本项目的备案信息，备案编号：</w:t>
            </w:r>
            <w:r>
              <w:rPr>
                <w:rFonts w:hint="eastAsia"/>
                <w:color w:val="auto"/>
                <w:lang w:val="en-US" w:eastAsia="zh-CN"/>
                <w:highlight w:val="none"/>
              </w:rPr>
              <w:t>石栾行审备字〔2025〕555号</w:t>
            </w:r>
            <w:r>
              <w:rPr>
                <w:color w:val="auto"/>
                <w:highlight w:val="none"/>
              </w:rPr>
              <w:t>（详见附件）。</w:t>
            </w:r>
          </w:p>
          <w:p>
            <w:pPr>
              <w:rPr>
                <w:color w:val="auto"/>
              </w:rPr>
            </w:pPr>
            <w:r>
              <w:rPr>
                <w:color w:val="auto"/>
              </w:rPr>
              <w:t>综合以上分析，本项目符合国家及地方相关产业政策要求。</w:t>
            </w:r>
          </w:p>
          <w:p>
            <w:pPr>
              <w:rPr>
                <w:b/>
                <w:bCs/>
                <w:color w:val="auto"/>
              </w:rPr>
            </w:pPr>
            <w:r>
              <w:rPr>
                <w:rFonts w:hint="eastAsia"/>
                <w:b/>
                <w:bCs/>
                <w:color w:val="auto"/>
              </w:rPr>
              <w:t>2</w:t>
            </w:r>
            <w:r>
              <w:rPr>
                <w:b/>
                <w:bCs/>
                <w:color w:val="auto"/>
              </w:rPr>
              <w:t>、项目选址可行性分析</w:t>
            </w:r>
          </w:p>
          <w:p>
            <w:pPr>
              <w:rPr>
                <w:color w:val="auto"/>
              </w:rPr>
            </w:pPr>
            <w:r>
              <w:rPr>
                <w:color w:val="auto"/>
              </w:rPr>
              <w:t>（1）厂址规划相符性</w:t>
            </w:r>
          </w:p>
          <w:p>
            <w:pPr>
              <w:rPr>
                <w:color w:val="auto"/>
              </w:rPr>
            </w:pPr>
            <w:r>
              <w:rPr>
                <w:rFonts w:hint="eastAsia"/>
                <w:color w:val="auto"/>
              </w:rPr>
              <w:t>本项目位于</w:t>
            </w:r>
            <w:r>
              <w:rPr>
                <w:rFonts w:hint="eastAsia"/>
                <w:color w:val="auto"/>
                <w:lang w:val="en-US" w:eastAsia="zh-CN"/>
              </w:rPr>
              <w:t>河北省石家庄装备制造基地胜利南街903号河北卓峰化肥有限公司厂区内</w:t>
            </w:r>
            <w:r>
              <w:rPr>
                <w:rFonts w:hint="eastAsia"/>
                <w:color w:val="auto"/>
              </w:rPr>
              <w:t>，厂区中心坐标</w:t>
            </w:r>
            <w:r>
              <w:rPr>
                <w:color w:val="auto"/>
              </w:rPr>
              <w:t>东经</w:t>
            </w:r>
            <w:r>
              <w:rPr>
                <w:color w:val="auto"/>
                <w:lang w:val="en-US" w:eastAsia="zh-CN"/>
              </w:rPr>
              <w:t>114°</w:t>
            </w:r>
            <w:r>
              <w:rPr>
                <w:rFonts w:hint="eastAsia"/>
                <w:color w:val="auto"/>
                <w:lang w:val="en-US" w:eastAsia="zh-CN"/>
              </w:rPr>
              <w:t>30</w:t>
            </w:r>
            <w:r>
              <w:rPr>
                <w:color w:val="auto"/>
                <w:lang w:val="en-US" w:eastAsia="zh-CN"/>
              </w:rPr>
              <w:t>′</w:t>
            </w:r>
            <w:r>
              <w:rPr>
                <w:rFonts w:hint="eastAsia"/>
                <w:color w:val="auto"/>
                <w:lang w:val="en-US" w:eastAsia="zh-CN"/>
              </w:rPr>
              <w:t>48.567</w:t>
            </w:r>
            <w:r>
              <w:rPr>
                <w:color w:val="auto"/>
                <w:lang w:val="en-US" w:eastAsia="zh-CN"/>
              </w:rPr>
              <w:t>″</w:t>
            </w:r>
            <w:r>
              <w:rPr>
                <w:color w:val="auto"/>
              </w:rPr>
              <w:t>，北纬</w:t>
            </w:r>
            <w:r>
              <w:rPr>
                <w:color w:val="auto"/>
                <w:lang w:val="en-US" w:eastAsia="zh-CN"/>
              </w:rPr>
              <w:t>37°</w:t>
            </w:r>
            <w:r>
              <w:rPr>
                <w:rFonts w:hint="eastAsia"/>
                <w:color w:val="auto"/>
                <w:lang w:val="en-US" w:eastAsia="zh-CN"/>
              </w:rPr>
              <w:t>53</w:t>
            </w:r>
            <w:r>
              <w:rPr>
                <w:rFonts w:ascii="Times New Roman" w:cs="Times New Roman" w:hAnsi="Times New Roman"/>
                <w:color w:val="auto"/>
                <w:lang w:val="en-US" w:eastAsia="zh-CN"/>
              </w:rPr>
              <w:t>′</w:t>
            </w:r>
            <w:r>
              <w:rPr>
                <w:rFonts w:hint="eastAsia"/>
                <w:color w:val="auto"/>
                <w:lang w:val="en-US" w:eastAsia="zh-CN"/>
              </w:rPr>
              <w:t>16.916</w:t>
            </w:r>
            <w:r>
              <w:rPr>
                <w:color w:val="auto"/>
                <w:lang w:val="en-US" w:eastAsia="zh-CN"/>
              </w:rPr>
              <w:t>″</w:t>
            </w:r>
            <w:r>
              <w:rPr>
                <w:rFonts w:hint="eastAsia"/>
                <w:color w:val="auto"/>
              </w:rPr>
              <w:t>，</w:t>
            </w:r>
            <w:r>
              <w:rPr>
                <w:rFonts w:hint="eastAsia"/>
                <w:color w:val="auto"/>
                <w:lang w:val="en-US" w:eastAsia="zh-CN"/>
              </w:rPr>
              <w:t>厂区北侧为石家庄杰克化工有限公司，南侧为河北兆誉机械制造有限公司，东侧和西侧为闲置厂房。</w:t>
            </w:r>
            <w:r>
              <w:rPr>
                <w:rFonts w:hint="eastAsia"/>
                <w:color w:val="auto"/>
              </w:rPr>
              <w:t>距项目最近的敏感点为</w:t>
            </w:r>
            <w:r>
              <w:rPr>
                <w:rFonts w:hint="eastAsia"/>
                <w:color w:val="auto"/>
                <w:lang w:val="en-US" w:eastAsia="zh-CN"/>
              </w:rPr>
              <w:t>厂区西南</w:t>
            </w:r>
            <w:r>
              <w:rPr>
                <w:rFonts w:hint="eastAsia"/>
                <w:color w:val="auto"/>
              </w:rPr>
              <w:t>侧</w:t>
            </w:r>
            <w:r>
              <w:rPr>
                <w:rFonts w:hint="eastAsia"/>
                <w:color w:val="auto"/>
                <w:lang w:val="en-US" w:eastAsia="zh-CN"/>
              </w:rPr>
              <w:t>782</w:t>
            </w:r>
            <w:r>
              <w:rPr>
                <w:rFonts w:hint="eastAsia"/>
                <w:color w:val="auto"/>
              </w:rPr>
              <w:t>m处的</w:t>
            </w:r>
            <w:r>
              <w:rPr>
                <w:rFonts w:hint="eastAsia"/>
                <w:color w:val="auto"/>
                <w:lang w:val="en-US" w:eastAsia="zh-CN"/>
              </w:rPr>
              <w:t>营里村</w:t>
            </w:r>
            <w:r>
              <w:rPr>
                <w:rFonts w:hint="eastAsia"/>
                <w:color w:val="auto"/>
              </w:rPr>
              <w:t>，</w:t>
            </w:r>
            <w:r>
              <w:rPr>
                <w:rFonts w:hint="eastAsia"/>
                <w:color w:val="auto"/>
                <w:lang w:val="en-US" w:eastAsia="zh-CN"/>
              </w:rPr>
              <w:t>技改</w:t>
            </w:r>
            <w:r>
              <w:rPr>
                <w:rFonts w:hint="eastAsia"/>
                <w:color w:val="auto"/>
              </w:rPr>
              <w:t>项目</w:t>
            </w:r>
            <w:r>
              <w:rPr>
                <w:rFonts w:hint="eastAsia"/>
                <w:color w:val="auto"/>
                <w:lang w:val="en-US" w:eastAsia="zh-CN"/>
              </w:rPr>
              <w:t>在现有厂区内</w:t>
            </w:r>
            <w:r>
              <w:rPr>
                <w:rFonts w:hint="eastAsia"/>
                <w:color w:val="auto"/>
              </w:rPr>
              <w:t>进行建设，</w:t>
            </w:r>
            <w:r>
              <w:rPr>
                <w:rFonts w:hint="eastAsia"/>
                <w:color w:val="auto"/>
                <w:lang w:val="en-US" w:eastAsia="zh-CN"/>
              </w:rPr>
              <w:t>根据河北石家庄装备制造产业园总体规划（2022-2030年）环境影响报告书石家庄装备制造产业园国土空间规划图本项目</w:t>
            </w:r>
            <w:r>
              <w:rPr>
                <w:rFonts w:hint="eastAsia"/>
                <w:color w:val="auto"/>
              </w:rPr>
              <w:t>土地性质为工业用地（见</w:t>
            </w:r>
            <w:r>
              <w:rPr>
                <w:rFonts w:hint="eastAsia"/>
                <w:color w:val="auto"/>
                <w:lang w:val="en-US" w:eastAsia="zh-CN"/>
              </w:rPr>
              <w:t>附图</w:t>
            </w:r>
            <w:r>
              <w:rPr>
                <w:rFonts w:hint="eastAsia"/>
                <w:color w:val="auto"/>
              </w:rPr>
              <w:t>），</w:t>
            </w:r>
            <w:r>
              <w:rPr>
                <w:rFonts w:hint="eastAsia"/>
                <w:color w:val="auto"/>
                <w:highlight w:val="none"/>
              </w:rPr>
              <w:t>河北石家庄装备制造产业园管委会为</w:t>
            </w:r>
            <w:r>
              <w:rPr>
                <w:rFonts w:hint="eastAsia"/>
                <w:color w:val="auto"/>
                <w:lang w:val="en-US" w:eastAsia="zh-CN"/>
                <w:highlight w:val="none"/>
              </w:rPr>
              <w:t>河北卓峰化肥有限公司</w:t>
            </w:r>
            <w:r>
              <w:rPr>
                <w:rFonts w:hint="eastAsia"/>
                <w:color w:val="auto"/>
                <w:highlight w:val="none"/>
              </w:rPr>
              <w:t>出具证明（见附件），</w:t>
            </w:r>
            <w:r>
              <w:rPr>
                <w:rFonts w:hint="eastAsia"/>
                <w:color w:val="auto"/>
                <w:lang w:val="en-US" w:eastAsia="zh-CN"/>
                <w:highlight w:val="none"/>
              </w:rPr>
              <w:t>河北卓峰化肥有限公司位于</w:t>
            </w:r>
            <w:r>
              <w:rPr>
                <w:rFonts w:hint="eastAsia"/>
                <w:color w:val="auto"/>
                <w:highlight w:val="none"/>
              </w:rPr>
              <w:t>河北石家庄装备制造产业园</w:t>
            </w:r>
            <w:r>
              <w:rPr>
                <w:rFonts w:hint="eastAsia"/>
                <w:color w:val="auto"/>
                <w:lang w:val="en-US" w:eastAsia="zh-CN"/>
                <w:highlight w:val="none"/>
              </w:rPr>
              <w:t>内</w:t>
            </w:r>
            <w:r>
              <w:rPr>
                <w:rFonts w:hint="eastAsia"/>
                <w:color w:val="auto"/>
                <w:highlight w:val="none"/>
              </w:rPr>
              <w:t>，符合用地规划要求</w:t>
            </w:r>
            <w:r>
              <w:rPr>
                <w:rFonts w:hint="eastAsia"/>
                <w:color w:val="auto"/>
                <w:lang w:val="en-US" w:eastAsia="zh-CN"/>
                <w:highlight w:val="none"/>
              </w:rPr>
              <w:t>及产业定位</w:t>
            </w:r>
            <w:r>
              <w:rPr>
                <w:rFonts w:hint="eastAsia"/>
                <w:color w:val="auto"/>
                <w:highlight w:val="none"/>
              </w:rPr>
              <w:t>，</w:t>
            </w:r>
            <w:r>
              <w:rPr>
                <w:rFonts w:hint="eastAsia"/>
                <w:color w:val="auto"/>
                <w:lang w:val="en-US" w:eastAsia="zh-CN"/>
                <w:highlight w:val="none"/>
              </w:rPr>
              <w:t>同意入驻工业园区，</w:t>
            </w:r>
            <w:r>
              <w:rPr>
                <w:color w:val="auto"/>
                <w:highlight w:val="none"/>
              </w:rPr>
              <w:t>不属于违法占地。</w:t>
            </w:r>
          </w:p>
          <w:p>
            <w:pPr>
              <w:rPr>
                <w:color w:val="auto"/>
              </w:rPr>
            </w:pPr>
            <w:r>
              <w:rPr>
                <w:color w:val="auto"/>
              </w:rPr>
              <w:t>（2）厂址符合环境功能区划</w:t>
            </w:r>
          </w:p>
          <w:p>
            <w:pPr>
              <w:rPr>
                <w:rFonts w:eastAsia="宋体"/>
                <w:color w:val="auto"/>
                <w:lang w:val="en-US" w:eastAsia="zh-CN"/>
              </w:rPr>
            </w:pPr>
            <w:r>
              <w:rPr>
                <w:color w:val="auto"/>
              </w:rPr>
              <w:t>项目所在区域为二类功能区，根据《</w:t>
            </w:r>
            <w:r>
              <w:rPr>
                <w:rFonts w:hint="eastAsia"/>
                <w:color w:val="auto"/>
              </w:rPr>
              <w:t>202</w:t>
            </w:r>
            <w:r>
              <w:rPr>
                <w:rFonts w:hint="eastAsia"/>
                <w:color w:val="auto"/>
                <w:lang w:val="en-US" w:eastAsia="zh-CN"/>
              </w:rPr>
              <w:t>4</w:t>
            </w:r>
            <w:r>
              <w:rPr>
                <w:rFonts w:hint="eastAsia"/>
                <w:color w:val="auto"/>
              </w:rPr>
              <w:t>年</w:t>
            </w:r>
            <w:r>
              <w:rPr>
                <w:color w:val="auto"/>
              </w:rPr>
              <w:t>石家庄市生态环境状况公报》SO</w:t>
            </w:r>
            <w:r>
              <w:rPr>
                <w:color w:val="auto"/>
                <w:vertAlign w:val="subscript"/>
              </w:rPr>
              <w:t>2</w:t>
            </w:r>
            <w:r>
              <w:rPr>
                <w:color w:val="auto"/>
              </w:rPr>
              <w:t>年平均值</w:t>
            </w:r>
            <w:r>
              <w:rPr>
                <w:rFonts w:hint="eastAsia"/>
                <w:color w:val="auto"/>
              </w:rPr>
              <w:t>、</w:t>
            </w:r>
            <w:r>
              <w:rPr>
                <w:color w:val="auto"/>
              </w:rPr>
              <w:t>NO</w:t>
            </w:r>
            <w:r>
              <w:rPr>
                <w:color w:val="auto"/>
                <w:vertAlign w:val="subscript"/>
              </w:rPr>
              <w:t>2</w:t>
            </w:r>
            <w:r>
              <w:rPr>
                <w:color w:val="auto"/>
              </w:rPr>
              <w:t>年平均值和CO</w:t>
            </w:r>
            <w:r>
              <w:rPr>
                <w:rFonts w:hint="eastAsia"/>
                <w:color w:val="auto"/>
              </w:rPr>
              <w:t xml:space="preserve"> </w:t>
            </w:r>
            <w:r>
              <w:rPr>
                <w:color w:val="auto"/>
              </w:rPr>
              <w:t>24小时均值达到国家环境空气质量二级标准，但PM</w:t>
            </w:r>
            <w:r>
              <w:rPr>
                <w:color w:val="auto"/>
                <w:vertAlign w:val="subscript"/>
              </w:rPr>
              <w:t>10</w:t>
            </w:r>
            <w:r>
              <w:rPr>
                <w:color w:val="auto"/>
              </w:rPr>
              <w:t>年平均值、PM</w:t>
            </w:r>
            <w:r>
              <w:rPr>
                <w:color w:val="auto"/>
                <w:vertAlign w:val="subscript"/>
              </w:rPr>
              <w:t>2.5</w:t>
            </w:r>
            <w:r>
              <w:rPr>
                <w:color w:val="auto"/>
              </w:rPr>
              <w:t>年平均值和O</w:t>
            </w:r>
            <w:r>
              <w:rPr>
                <w:color w:val="auto"/>
                <w:vertAlign w:val="subscript"/>
              </w:rPr>
              <w:t>3</w:t>
            </w:r>
            <w:r>
              <w:rPr>
                <w:color w:val="auto"/>
              </w:rPr>
              <w:t>最大8小时平均值均高于《环境空气质量标准》（</w:t>
            </w:r>
            <w:r>
              <w:rPr>
                <w:rFonts w:hint="eastAsia"/>
                <w:color w:val="auto"/>
                <w:lang w:eastAsia="zh-CN"/>
              </w:rPr>
              <w:t>GB3095-2026</w:t>
            </w:r>
            <w:r>
              <w:rPr>
                <w:color w:val="auto"/>
              </w:rPr>
              <w:t>）</w:t>
            </w:r>
            <w:r>
              <w:rPr>
                <w:rFonts w:hint="eastAsia"/>
                <w:color w:val="auto"/>
                <w:lang w:eastAsia="zh-CN"/>
              </w:rPr>
              <w:t>中过渡阶段浓度限值二级标准要求</w:t>
            </w:r>
            <w:r>
              <w:rPr>
                <w:rFonts w:hint="eastAsia"/>
                <w:color w:val="auto"/>
              </w:rPr>
              <w:t>，根据《环境影响评价技术导则</w:t>
            </w:r>
            <w:r>
              <w:rPr>
                <w:rFonts w:hint="eastAsia"/>
                <w:color w:val="auto"/>
                <w:lang w:val="en-US" w:eastAsia="zh-CN"/>
              </w:rPr>
              <w:t xml:space="preserve"> </w:t>
            </w:r>
            <w:r>
              <w:rPr>
                <w:rFonts w:hint="eastAsia"/>
                <w:color w:val="auto"/>
              </w:rPr>
              <w:t>大气环境》（HJ2.2-2018）中相关规定，石家庄市为不达标区</w:t>
            </w:r>
            <w:r>
              <w:rPr>
                <w:color w:val="auto"/>
              </w:rPr>
              <w:t>；</w:t>
            </w:r>
            <w:r>
              <w:rPr>
                <w:rFonts w:hint="eastAsia"/>
                <w:color w:val="auto"/>
              </w:rPr>
              <w:t>项目距离最近的地表水体</w:t>
            </w:r>
            <w:r>
              <w:rPr>
                <w:color w:val="auto"/>
              </w:rPr>
              <w:t>为洨河，根据《</w:t>
            </w:r>
            <w:r>
              <w:rPr>
                <w:rFonts w:hint="eastAsia"/>
                <w:color w:val="auto"/>
              </w:rPr>
              <w:t>202</w:t>
            </w:r>
            <w:r>
              <w:rPr>
                <w:rFonts w:hint="eastAsia"/>
                <w:color w:val="auto"/>
                <w:lang w:val="en-US" w:eastAsia="zh-CN"/>
              </w:rPr>
              <w:t>4</w:t>
            </w:r>
            <w:r>
              <w:rPr>
                <w:rFonts w:hint="eastAsia"/>
                <w:color w:val="auto"/>
              </w:rPr>
              <w:t>年</w:t>
            </w:r>
            <w:r>
              <w:rPr>
                <w:color w:val="auto"/>
              </w:rPr>
              <w:t>石家庄市生态环境状况公报》水质指标均符合《地表水环境质量标准》（GB3838-2002）中的Ⅳ类标准；</w:t>
            </w:r>
            <w:r>
              <w:rPr>
                <w:rFonts w:hint="eastAsia"/>
                <w:color w:val="auto"/>
                <w:highlight w:val="none"/>
              </w:rPr>
              <w:t>根据</w:t>
            </w:r>
            <w:r>
              <w:rPr>
                <w:rFonts w:hint="eastAsia"/>
                <w:color w:val="auto"/>
                <w:lang w:val="en-US" w:eastAsia="zh-CN"/>
                <w:highlight w:val="none"/>
              </w:rPr>
              <w:t>河北卓峰化肥有限公司</w:t>
            </w:r>
            <w:r>
              <w:rPr>
                <w:rFonts w:hint="eastAsia"/>
                <w:color w:val="auto"/>
                <w:highlight w:val="none"/>
              </w:rPr>
              <w:t>检测报告</w:t>
            </w:r>
            <w:r>
              <w:rPr>
                <w:rFonts w:hint="eastAsia"/>
                <w:color w:val="auto"/>
                <w:lang w:eastAsia="zh-CN"/>
                <w:highlight w:val="none"/>
              </w:rPr>
              <w:t>（</w:t>
            </w:r>
            <w:r>
              <w:rPr>
                <w:rFonts w:hint="eastAsia"/>
                <w:color w:val="auto"/>
                <w:lang w:val="en-US" w:eastAsia="zh-CN"/>
                <w:highlight w:val="none"/>
              </w:rPr>
              <w:t>HHJC自行监测【2024】550号</w:t>
            </w:r>
            <w:r>
              <w:rPr>
                <w:rFonts w:hint="eastAsia"/>
                <w:color w:val="auto"/>
                <w:lang w:eastAsia="zh-CN"/>
                <w:highlight w:val="none"/>
              </w:rPr>
              <w:t>）</w:t>
            </w:r>
            <w:r>
              <w:rPr>
                <w:rFonts w:hint="eastAsia"/>
                <w:color w:val="auto"/>
                <w:highlight w:val="none"/>
              </w:rPr>
              <w:t>，</w:t>
            </w:r>
            <w:r>
              <w:rPr>
                <w:rFonts w:hint="eastAsia"/>
                <w:color w:val="auto"/>
                <w:lang w:val="en-US" w:eastAsia="zh-CN"/>
                <w:highlight w:val="none"/>
              </w:rPr>
              <w:t>企业</w:t>
            </w:r>
            <w:r>
              <w:rPr>
                <w:color w:val="auto"/>
                <w:highlight w:val="none"/>
              </w:rPr>
              <w:t>厂界</w:t>
            </w:r>
            <w:r>
              <w:rPr>
                <w:rFonts w:hint="eastAsia"/>
                <w:color w:val="auto"/>
                <w:lang w:val="en-US" w:eastAsia="zh-CN"/>
                <w:highlight w:val="none"/>
              </w:rPr>
              <w:t>昼间噪</w:t>
            </w:r>
            <w:r>
              <w:rPr>
                <w:color w:val="auto"/>
                <w:highlight w:val="none"/>
              </w:rPr>
              <w:t>声</w:t>
            </w:r>
            <w:r>
              <w:rPr>
                <w:rFonts w:hint="eastAsia"/>
                <w:color w:val="auto"/>
                <w:highlight w:val="none"/>
              </w:rPr>
              <w:t>为</w:t>
            </w:r>
            <w:r>
              <w:rPr>
                <w:rFonts w:hint="eastAsia"/>
                <w:color w:val="auto"/>
                <w:lang w:val="en-US" w:eastAsia="zh-CN"/>
                <w:highlight w:val="none"/>
              </w:rPr>
              <w:t>56.9</w:t>
            </w:r>
            <w:r>
              <w:rPr>
                <w:rFonts w:hint="eastAsia"/>
                <w:color w:val="auto"/>
                <w:highlight w:val="none"/>
              </w:rPr>
              <w:t>-</w:t>
            </w:r>
            <w:r>
              <w:rPr>
                <w:rFonts w:hint="eastAsia"/>
                <w:color w:val="auto"/>
                <w:lang w:val="en-US" w:eastAsia="zh-CN"/>
                <w:highlight w:val="none"/>
              </w:rPr>
              <w:t>57.9</w:t>
            </w:r>
            <w:r>
              <w:rPr>
                <w:rFonts w:hint="eastAsia"/>
                <w:color w:val="auto"/>
                <w:highlight w:val="none"/>
              </w:rPr>
              <w:t>dB（A），</w:t>
            </w:r>
            <w:r>
              <w:rPr>
                <w:color w:val="auto"/>
              </w:rPr>
              <w:t>环境质量满足《声环境质量标准》（GB3096-2008）</w:t>
            </w:r>
            <w:r>
              <w:rPr>
                <w:rFonts w:hint="eastAsia"/>
                <w:color w:val="auto"/>
                <w:lang w:val="en-US" w:eastAsia="zh-CN"/>
              </w:rPr>
              <w:t>3</w:t>
            </w:r>
            <w:r>
              <w:rPr>
                <w:color w:val="auto"/>
              </w:rPr>
              <w:t>类区标准要求。</w:t>
            </w:r>
            <w:r>
              <w:rPr>
                <w:rFonts w:hint="eastAsia"/>
                <w:color w:val="auto"/>
              </w:rPr>
              <w:t>项目对工程产生的主要废气、废水、噪声、固废等污染物均采取了严格的治理和处理、处置措施，在一定程度上减少了污染物的排放，污染物均能达标排放，因此，拟选厂址符合环境功能区划。</w:t>
            </w:r>
          </w:p>
          <w:p>
            <w:pPr>
              <w:rPr>
                <w:color w:val="auto"/>
              </w:rPr>
            </w:pPr>
            <w:r>
              <w:rPr>
                <w:color w:val="auto"/>
              </w:rPr>
              <w:t>（3）厂址配套设施完善，交通便利</w:t>
            </w:r>
          </w:p>
          <w:p>
            <w:pPr>
              <w:rPr>
                <w:color w:val="auto"/>
              </w:rPr>
            </w:pPr>
            <w:r>
              <w:rPr>
                <w:color w:val="auto"/>
              </w:rPr>
              <w:t>项目位于</w:t>
            </w:r>
            <w:r>
              <w:rPr>
                <w:rFonts w:hint="eastAsia"/>
                <w:color w:val="auto"/>
                <w:lang w:val="en-US" w:eastAsia="zh-CN"/>
              </w:rPr>
              <w:t>石家庄装备制造产业园通航产业园区内</w:t>
            </w:r>
            <w:r>
              <w:rPr>
                <w:rFonts w:hint="eastAsia"/>
                <w:color w:val="auto"/>
              </w:rPr>
              <w:t>，</w:t>
            </w:r>
            <w:r>
              <w:rPr>
                <w:color w:val="auto"/>
              </w:rPr>
              <w:t>供水、排水、供电、通讯等公用配套设施有保障，而且交通便利，有利于原材料运输。</w:t>
            </w:r>
          </w:p>
          <w:p>
            <w:pPr>
              <w:rPr>
                <w:color w:val="auto"/>
              </w:rPr>
            </w:pPr>
            <w:r>
              <w:rPr>
                <w:color w:val="auto"/>
              </w:rPr>
              <w:t>（4）厂址周围敏感度分析</w:t>
            </w:r>
          </w:p>
          <w:p>
            <w:pPr>
              <w:rPr>
                <w:color w:val="auto"/>
              </w:rPr>
            </w:pPr>
            <w:r>
              <w:rPr>
                <w:color w:val="auto"/>
              </w:rPr>
              <w:t>项目位于</w:t>
            </w:r>
            <w:r>
              <w:rPr>
                <w:rFonts w:hint="eastAsia"/>
                <w:color w:val="auto"/>
                <w:lang w:val="en-US" w:eastAsia="zh-CN"/>
              </w:rPr>
              <w:t>石家庄装备制造产业园区内</w:t>
            </w:r>
            <w:r>
              <w:rPr>
                <w:rFonts w:hint="eastAsia"/>
                <w:color w:val="auto"/>
              </w:rPr>
              <w:t>，项目周边500m范围内</w:t>
            </w:r>
            <w:r>
              <w:rPr>
                <w:rFonts w:hint="eastAsia"/>
                <w:color w:val="auto"/>
                <w:lang w:val="en-US" w:eastAsia="zh-CN"/>
              </w:rPr>
              <w:t>无</w:t>
            </w:r>
            <w:r>
              <w:rPr>
                <w:rFonts w:hint="eastAsia"/>
                <w:color w:val="auto"/>
              </w:rPr>
              <w:t>大气环境保护目标</w:t>
            </w:r>
            <w:r>
              <w:rPr>
                <w:rFonts w:hint="eastAsia"/>
                <w:color w:val="auto"/>
                <w:lang w:eastAsia="zh-CN"/>
              </w:rPr>
              <w:t>，</w:t>
            </w:r>
            <w:r>
              <w:rPr>
                <w:rFonts w:hint="eastAsia"/>
                <w:color w:val="auto"/>
                <w:lang w:val="en-US" w:eastAsia="zh-CN"/>
              </w:rPr>
              <w:t>距离项目最近的敏感点为西南</w:t>
            </w:r>
            <w:r>
              <w:rPr>
                <w:rFonts w:hint="eastAsia"/>
                <w:color w:val="auto"/>
              </w:rPr>
              <w:t>侧</w:t>
            </w:r>
            <w:r>
              <w:rPr>
                <w:rFonts w:hint="eastAsia"/>
                <w:color w:val="auto"/>
                <w:lang w:val="en-US" w:eastAsia="zh-CN"/>
              </w:rPr>
              <w:t>782</w:t>
            </w:r>
            <w:r>
              <w:rPr>
                <w:rFonts w:hint="eastAsia"/>
                <w:color w:val="auto"/>
              </w:rPr>
              <w:t>m处的</w:t>
            </w:r>
            <w:r>
              <w:rPr>
                <w:rFonts w:hint="eastAsia"/>
                <w:color w:val="auto"/>
                <w:lang w:val="en-US" w:eastAsia="zh-CN"/>
              </w:rPr>
              <w:t>营里村</w:t>
            </w:r>
            <w:r>
              <w:rPr>
                <w:color w:val="auto"/>
              </w:rPr>
              <w:t>。项目区域内无自然保护区、风景点及重点保护文物等重点保护对象。项目周边地势平坦，厂址周围环境敏感度一般。本项目不在生态保护红线规划范围之内。综上所述，本项目选址符合要求</w:t>
            </w:r>
            <w:r>
              <w:rPr>
                <w:rFonts w:hint="eastAsia"/>
                <w:color w:val="auto"/>
              </w:rPr>
              <w:t>。</w:t>
            </w:r>
          </w:p>
          <w:p>
            <w:pPr>
              <w:adjustRightInd w:val="0"/>
              <w:snapToGrid w:val="0"/>
              <w:rPr>
                <w:b/>
                <w:color w:val="auto"/>
              </w:rPr>
            </w:pPr>
            <w:r>
              <w:rPr>
                <w:rFonts w:hint="eastAsia"/>
                <w:b/>
                <w:color w:val="auto"/>
              </w:rPr>
              <w:t>3</w:t>
            </w:r>
            <w:r>
              <w:rPr>
                <w:b/>
                <w:color w:val="auto"/>
              </w:rPr>
              <w:t>、</w:t>
            </w:r>
            <w:r>
              <w:rPr>
                <w:rFonts w:ascii="宋体" w:eastAsia="宋体" w:cs="宋体" w:hAnsi="宋体" w:hint="eastAsia"/>
                <w:b/>
                <w:color w:val="auto"/>
              </w:rPr>
              <w:t>“三线一单”生</w:t>
            </w:r>
            <w:r>
              <w:rPr>
                <w:b/>
                <w:color w:val="auto"/>
              </w:rPr>
              <w:t>态环境分区管控的意见符合性分析</w:t>
            </w:r>
          </w:p>
          <w:p>
            <w:pPr>
              <w:rPr>
                <w:color w:val="auto"/>
              </w:rPr>
            </w:pPr>
            <w:r>
              <w:rPr>
                <w:color w:val="auto"/>
              </w:rPr>
              <w:t>（1）生态保护红线符合性分析</w:t>
            </w:r>
          </w:p>
          <w:p>
            <w:pPr>
              <w:rPr>
                <w:color w:val="auto"/>
              </w:rPr>
            </w:pPr>
            <w:r>
              <w:rPr>
                <w:color w:val="auto"/>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r>
              <w:rPr>
                <w:rFonts w:hint="eastAsia"/>
                <w:color w:val="auto"/>
              </w:rPr>
              <w:t>。</w:t>
            </w:r>
          </w:p>
          <w:p>
            <w:pPr>
              <w:adjustRightInd w:val="0"/>
              <w:snapToGrid w:val="0"/>
              <w:rPr>
                <w:color w:val="auto"/>
              </w:rPr>
            </w:pPr>
            <w:r>
              <w:rPr>
                <w:rFonts w:hint="eastAsia"/>
                <w:color w:val="auto"/>
              </w:rPr>
              <w:t>根据《河北省生态保护红线》，石家庄市生态保护红线区面积3594.38平方公里，占全省国土面积的1.91%，占该市国土面积的27.42%。红线区主要分布在平山县、井陉县、赞皇县、灵寿县、元氏县、行唐县、鹿泉区等西部山区县区，其余县（市、区）均有零星分布。</w:t>
            </w:r>
          </w:p>
          <w:p>
            <w:pPr>
              <w:adjustRightInd w:val="0"/>
              <w:snapToGrid w:val="0"/>
              <w:rPr>
                <w:color w:val="auto"/>
              </w:rPr>
            </w:pPr>
            <w:r>
              <w:rPr>
                <w:rFonts w:hint="eastAsia"/>
                <w:color w:val="auto"/>
              </w:rPr>
              <w:t>本项目位于</w:t>
            </w:r>
            <w:r>
              <w:rPr>
                <w:rFonts w:hint="eastAsia"/>
                <w:color w:val="auto"/>
                <w:lang w:val="en-US" w:eastAsia="zh-CN"/>
              </w:rPr>
              <w:t>石家庄装备制造产业园内</w:t>
            </w:r>
            <w:r>
              <w:rPr>
                <w:color w:val="auto"/>
              </w:rPr>
              <w:t>，不在生态保护红线规划范围之内，符合生态保护红线要求</w:t>
            </w:r>
            <w:r>
              <w:rPr>
                <w:rFonts w:hint="eastAsia"/>
                <w:color w:val="auto"/>
              </w:rPr>
              <w:t>，</w:t>
            </w:r>
            <w:r>
              <w:rPr>
                <w:color w:val="auto"/>
              </w:rPr>
              <w:t>石家庄生态保护红线分布图见附图</w:t>
            </w:r>
            <w:r>
              <w:rPr>
                <w:rFonts w:hint="eastAsia"/>
                <w:color w:val="auto"/>
              </w:rPr>
              <w:t>5</w:t>
            </w:r>
            <w:r>
              <w:rPr>
                <w:color w:val="auto"/>
              </w:rPr>
              <w:t>。</w:t>
            </w:r>
          </w:p>
          <w:p>
            <w:pPr>
              <w:adjustRightInd w:val="0"/>
              <w:snapToGrid w:val="0"/>
              <w:rPr>
                <w:color w:val="auto"/>
              </w:rPr>
            </w:pPr>
            <w:r>
              <w:rPr>
                <w:color w:val="auto"/>
              </w:rPr>
              <w:t>（2）环境质量底线符合性分析</w:t>
            </w:r>
          </w:p>
          <w:p>
            <w:pPr>
              <w:rPr>
                <w:color w:val="auto"/>
                <w:highlight w:val="yellow"/>
              </w:rPr>
            </w:pPr>
            <w:r>
              <w:rPr>
                <w:color w:val="auto"/>
              </w:rPr>
              <w:t>根据环境质量现状调查，项目所在区域为二类功能区，SO</w:t>
            </w:r>
            <w:r>
              <w:rPr>
                <w:color w:val="auto"/>
                <w:vertAlign w:val="subscript"/>
              </w:rPr>
              <w:t>2</w:t>
            </w:r>
            <w:r>
              <w:rPr>
                <w:color w:val="auto"/>
              </w:rPr>
              <w:t>年平均值</w:t>
            </w:r>
            <w:r>
              <w:rPr>
                <w:rFonts w:hint="eastAsia"/>
                <w:color w:val="auto"/>
              </w:rPr>
              <w:t>、</w:t>
            </w:r>
            <w:r>
              <w:rPr>
                <w:color w:val="auto"/>
              </w:rPr>
              <w:t>NO</w:t>
            </w:r>
            <w:r>
              <w:rPr>
                <w:color w:val="auto"/>
                <w:vertAlign w:val="subscript"/>
              </w:rPr>
              <w:t>2</w:t>
            </w:r>
            <w:r>
              <w:rPr>
                <w:color w:val="auto"/>
              </w:rPr>
              <w:t>年平均值和CO</w:t>
            </w:r>
            <w:r>
              <w:rPr>
                <w:rFonts w:hint="eastAsia"/>
                <w:color w:val="auto"/>
              </w:rPr>
              <w:t xml:space="preserve"> </w:t>
            </w:r>
            <w:r>
              <w:rPr>
                <w:color w:val="auto"/>
              </w:rPr>
              <w:t>24小时均值达标，但PM</w:t>
            </w:r>
            <w:r>
              <w:rPr>
                <w:color w:val="auto"/>
                <w:vertAlign w:val="subscript"/>
              </w:rPr>
              <w:t>10</w:t>
            </w:r>
            <w:r>
              <w:rPr>
                <w:color w:val="auto"/>
              </w:rPr>
              <w:t>年平均值、PM</w:t>
            </w:r>
            <w:r>
              <w:rPr>
                <w:color w:val="auto"/>
                <w:vertAlign w:val="subscript"/>
              </w:rPr>
              <w:t>2.5</w:t>
            </w:r>
            <w:r>
              <w:rPr>
                <w:color w:val="auto"/>
              </w:rPr>
              <w:t>年平均值和O</w:t>
            </w:r>
            <w:r>
              <w:rPr>
                <w:color w:val="auto"/>
                <w:vertAlign w:val="subscript"/>
              </w:rPr>
              <w:t>3</w:t>
            </w:r>
            <w:r>
              <w:rPr>
                <w:color w:val="auto"/>
              </w:rPr>
              <w:t>最大8小时平均值均高于《环境空气质量标准》（</w:t>
            </w:r>
            <w:r>
              <w:rPr>
                <w:rFonts w:hint="eastAsia"/>
                <w:color w:val="auto"/>
                <w:lang w:eastAsia="zh-CN"/>
              </w:rPr>
              <w:t>GB3095-2026</w:t>
            </w:r>
            <w:r>
              <w:rPr>
                <w:color w:val="auto"/>
              </w:rPr>
              <w:t>）</w:t>
            </w:r>
            <w:r>
              <w:rPr>
                <w:rFonts w:hint="eastAsia"/>
                <w:color w:val="auto"/>
                <w:lang w:eastAsia="zh-CN"/>
              </w:rPr>
              <w:t>中过渡阶段浓度限值二级标准要求</w:t>
            </w:r>
            <w:r>
              <w:rPr>
                <w:color w:val="auto"/>
              </w:rPr>
              <w:t>；区域内主要河流为洨河，水质一般，水质指标均符合《地表水环境质量标准》（GB3838-2002）中的Ⅳ类标准；区域</w:t>
            </w:r>
            <w:r>
              <w:rPr>
                <w:rFonts w:hint="eastAsia"/>
                <w:color w:val="auto"/>
              </w:rPr>
              <w:t>厂界环境质量满足《声环境质量</w:t>
            </w:r>
            <w:r>
              <w:rPr>
                <w:rFonts w:hint="eastAsia"/>
                <w:color w:val="auto"/>
                <w:highlight w:val="none"/>
              </w:rPr>
              <w:t>标准》（GB3096-2008）</w:t>
            </w:r>
            <w:r>
              <w:rPr>
                <w:rFonts w:hint="eastAsia"/>
                <w:color w:val="auto"/>
                <w:lang w:val="en-US" w:eastAsia="zh-CN"/>
                <w:highlight w:val="none"/>
              </w:rPr>
              <w:t>3</w:t>
            </w:r>
            <w:r>
              <w:rPr>
                <w:rFonts w:hint="eastAsia"/>
                <w:color w:val="auto"/>
                <w:highlight w:val="none"/>
              </w:rPr>
              <w:t>类区标准要求</w:t>
            </w:r>
            <w:r>
              <w:rPr>
                <w:color w:val="auto"/>
                <w:highlight w:val="none"/>
              </w:rPr>
              <w:t>。</w:t>
            </w:r>
          </w:p>
          <w:p>
            <w:pPr>
              <w:adjustRightInd w:val="0"/>
              <w:snapToGrid w:val="0"/>
              <w:rPr>
                <w:color w:val="auto"/>
                <w:highlight w:val="yellow"/>
              </w:rPr>
            </w:pPr>
            <w:r>
              <w:rPr>
                <w:rFonts w:hint="eastAsia"/>
                <w:color w:val="auto"/>
                <w:highlight w:val="none"/>
              </w:rPr>
              <w:t>本项目</w:t>
            </w:r>
            <w:r>
              <w:rPr>
                <w:rFonts w:hint="eastAsia"/>
                <w:color w:val="auto"/>
                <w:lang w:val="en-US" w:eastAsia="zh-CN"/>
                <w:highlight w:val="none"/>
              </w:rPr>
              <w:t>不新增用水量</w:t>
            </w:r>
            <w:r>
              <w:rPr>
                <w:rFonts w:hint="eastAsia"/>
                <w:color w:val="auto"/>
                <w:highlight w:val="none"/>
              </w:rPr>
              <w:t>，</w:t>
            </w:r>
            <w:r>
              <w:rPr>
                <w:rFonts w:hint="eastAsia"/>
                <w:color w:val="auto"/>
                <w:lang w:val="en-US" w:eastAsia="zh-CN"/>
                <w:highlight w:val="none"/>
              </w:rPr>
              <w:t>不涉及废水外排</w:t>
            </w:r>
            <w:r>
              <w:rPr>
                <w:rFonts w:hint="eastAsia"/>
                <w:color w:val="auto"/>
                <w:highlight w:val="none"/>
              </w:rPr>
              <w:t>；</w:t>
            </w:r>
            <w:r>
              <w:rPr>
                <w:rFonts w:hint="eastAsia"/>
                <w:color w:val="auto"/>
                <w:lang w:val="en-US" w:eastAsia="zh-CN"/>
                <w:highlight w:val="none"/>
              </w:rPr>
              <w:t>投料工序废气由2套“集气罩+软帘”收集，装袋废气由“集气罩+软帘”收集，第一次破碎废气、造粒废气、第二次破碎废气、第一次筛分废气、第二次筛分废气、冷却废气、抛光废气经设备密闭由管路负压收集，一同引入旋风除尘器（TA001）+袋式除尘器（TA002）处理，后经15m排气筒P2。烘干废气和燃烧烟气经管路负压收集，经旋风除尘器（TA002）+袋式除尘器（TA003）+旋转吸附机+水喷淋塔处理，后经15m排气筒P3排放；生产过程中</w:t>
            </w:r>
            <w:r>
              <w:rPr>
                <w:rFonts w:hint="eastAsia"/>
                <w:color w:val="auto"/>
                <w:highlight w:val="none"/>
              </w:rPr>
              <w:t>未被收集的废气采取车间密闭措施后无组织排放；本</w:t>
            </w:r>
            <w:r>
              <w:rPr>
                <w:color w:val="auto"/>
                <w:highlight w:val="none"/>
              </w:rPr>
              <w:t>项目通过选用低噪声设备，将设置于车间内，基础减振，</w:t>
            </w:r>
            <w:r>
              <w:rPr>
                <w:rFonts w:hint="eastAsia"/>
                <w:color w:val="auto"/>
                <w:highlight w:val="none"/>
              </w:rPr>
              <w:t>厂房隔声</w:t>
            </w:r>
            <w:r>
              <w:rPr>
                <w:color w:val="auto"/>
                <w:highlight w:val="none"/>
              </w:rPr>
              <w:t>等措施对噪声进行处理</w:t>
            </w:r>
            <w:r>
              <w:rPr>
                <w:rFonts w:hint="eastAsia"/>
                <w:color w:val="auto"/>
                <w:highlight w:val="none"/>
              </w:rPr>
              <w:t>；</w:t>
            </w:r>
            <w:r>
              <w:rPr>
                <w:rFonts w:hint="eastAsia"/>
                <w:color w:val="auto"/>
                <w:lang w:val="en-US" w:eastAsia="zh-CN"/>
                <w:highlight w:val="none"/>
              </w:rPr>
              <w:t>本项目产生废包装统一收集后外售、除尘灰回用于生产，废机油、废润滑油、废油桶分类收集后送厂区危废暂存间暂存，定期送有资质单位处理。</w:t>
            </w:r>
          </w:p>
          <w:p>
            <w:pPr>
              <w:adjustRightInd w:val="0"/>
              <w:snapToGrid w:val="0"/>
              <w:rPr>
                <w:color w:val="auto"/>
              </w:rPr>
            </w:pPr>
            <w:r>
              <w:rPr>
                <w:color w:val="auto"/>
              </w:rPr>
              <w:t>本项目废气</w:t>
            </w:r>
            <w:r>
              <w:rPr>
                <w:rFonts w:hint="eastAsia"/>
                <w:color w:val="auto"/>
              </w:rPr>
              <w:t>、</w:t>
            </w:r>
            <w:r>
              <w:rPr>
                <w:color w:val="auto"/>
              </w:rPr>
              <w:t>噪声</w:t>
            </w:r>
            <w:r>
              <w:rPr>
                <w:rFonts w:hint="eastAsia"/>
                <w:color w:val="auto"/>
              </w:rPr>
              <w:t>、固废</w:t>
            </w:r>
            <w:r>
              <w:rPr>
                <w:color w:val="auto"/>
              </w:rPr>
              <w:t>在采用相应的污染防治措施的前提下可以做到达标排放，项目实施后</w:t>
            </w:r>
            <w:r>
              <w:rPr>
                <w:rFonts w:hint="eastAsia"/>
                <w:color w:val="auto"/>
                <w:lang w:val="en-US" w:eastAsia="zh-CN"/>
              </w:rPr>
              <w:t>通过污染物的区域削减达到</w:t>
            </w:r>
            <w:r>
              <w:rPr>
                <w:color w:val="auto"/>
              </w:rPr>
              <w:t>区域内的环境质量维持现状，不会对周围环境产生明显影响。</w:t>
            </w:r>
          </w:p>
          <w:p>
            <w:pPr>
              <w:adjustRightInd w:val="0"/>
              <w:snapToGrid w:val="0"/>
              <w:rPr>
                <w:color w:val="auto"/>
              </w:rPr>
            </w:pPr>
            <w:r>
              <w:rPr>
                <w:color w:val="auto"/>
              </w:rPr>
              <w:t>（3）资源利用上线符合性分析</w:t>
            </w:r>
          </w:p>
          <w:p>
            <w:pPr>
              <w:rPr>
                <w:color w:val="auto"/>
              </w:rPr>
            </w:pPr>
            <w:r>
              <w:rPr>
                <w:color w:val="auto"/>
              </w:rPr>
              <w:t>资源是环境的载体，资源利用上线是各地区能源、水、土地等资源消耗不得突破的</w:t>
            </w:r>
            <w:r>
              <w:rPr>
                <w:rFonts w:hint="eastAsia"/>
                <w:color w:val="auto"/>
              </w:rPr>
              <w:t>“天花板”</w:t>
            </w:r>
            <w:r>
              <w:rPr>
                <w:color w:val="auto"/>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p>
            <w:pPr>
              <w:rPr>
                <w:color w:val="auto"/>
              </w:rPr>
            </w:pPr>
            <w:r>
              <w:rPr>
                <w:rFonts w:hint="eastAsia"/>
                <w:color w:val="auto"/>
              </w:rPr>
              <w:t>①能源利用上线</w:t>
            </w:r>
          </w:p>
          <w:p>
            <w:pPr>
              <w:rPr>
                <w:color w:val="auto"/>
              </w:rPr>
            </w:pPr>
            <w:r>
              <w:rPr>
                <w:rFonts w:hint="eastAsia"/>
                <w:color w:val="auto"/>
                <w:lang w:val="en-US" w:eastAsia="zh-CN"/>
              </w:rPr>
              <w:t>本</w:t>
            </w:r>
            <w:r>
              <w:rPr>
                <w:rFonts w:hint="eastAsia"/>
                <w:color w:val="auto"/>
              </w:rPr>
              <w:t>项目能源主要为电，用电由当地供电管网提供，</w:t>
            </w:r>
            <w:r>
              <w:rPr>
                <w:rFonts w:hint="eastAsia"/>
                <w:color w:val="auto"/>
                <w:lang w:val="en-US" w:eastAsia="zh-CN"/>
              </w:rPr>
              <w:t>本项目新增</w:t>
            </w:r>
            <w:r>
              <w:rPr>
                <w:rFonts w:hint="eastAsia"/>
                <w:color w:val="auto"/>
              </w:rPr>
              <w:t>用电量</w:t>
            </w:r>
            <w:r>
              <w:rPr>
                <w:rFonts w:hint="eastAsia"/>
                <w:color w:val="auto"/>
                <w:lang w:val="en-US" w:eastAsia="zh-CN"/>
              </w:rPr>
              <w:t>3</w:t>
            </w:r>
            <w:r>
              <w:rPr>
                <w:rFonts w:hint="eastAsia"/>
                <w:color w:val="auto"/>
                <w:highlight w:val="none"/>
              </w:rPr>
              <w:t>万kWh/a，</w:t>
            </w:r>
            <w:r>
              <w:rPr>
                <w:rFonts w:hint="eastAsia"/>
                <w:color w:val="auto"/>
                <w:lang w:val="en-US" w:eastAsia="zh-CN"/>
                <w:highlight w:val="none"/>
              </w:rPr>
              <w:t>用电量较少</w:t>
            </w:r>
            <w:r>
              <w:rPr>
                <w:rFonts w:hint="eastAsia"/>
                <w:color w:val="auto"/>
              </w:rPr>
              <w:t>，符合能源利用上线标准。</w:t>
            </w:r>
          </w:p>
          <w:p>
            <w:pPr>
              <w:rPr>
                <w:color w:val="auto"/>
              </w:rPr>
            </w:pPr>
            <w:r>
              <w:rPr>
                <w:rFonts w:hint="eastAsia"/>
                <w:color w:val="auto"/>
              </w:rPr>
              <w:t>②水资源利用上线</w:t>
            </w:r>
          </w:p>
          <w:p>
            <w:pPr>
              <w:rPr>
                <w:color w:val="auto"/>
                <w:highlight w:val="yellow"/>
              </w:rPr>
            </w:pPr>
            <w:r>
              <w:rPr>
                <w:rFonts w:hint="eastAsia"/>
                <w:color w:val="auto"/>
                <w:lang w:val="en-US" w:eastAsia="zh-CN"/>
              </w:rPr>
              <w:t>本</w:t>
            </w:r>
            <w:r>
              <w:rPr>
                <w:rFonts w:hint="eastAsia"/>
                <w:color w:val="auto"/>
              </w:rPr>
              <w:t>项目</w:t>
            </w:r>
            <w:r>
              <w:rPr>
                <w:rFonts w:hint="eastAsia"/>
                <w:color w:val="auto"/>
                <w:lang w:val="en-US" w:eastAsia="zh-CN"/>
              </w:rPr>
              <w:t>不新增用水</w:t>
            </w:r>
            <w:r>
              <w:rPr>
                <w:rFonts w:hint="eastAsia"/>
                <w:color w:val="auto"/>
              </w:rPr>
              <w:t>，</w:t>
            </w:r>
            <w:r>
              <w:rPr>
                <w:rFonts w:hint="eastAsia"/>
                <w:color w:val="auto"/>
                <w:lang w:val="en-US" w:eastAsia="zh-CN"/>
              </w:rPr>
              <w:t>全厂</w:t>
            </w:r>
            <w:r>
              <w:rPr>
                <w:rFonts w:hint="eastAsia"/>
                <w:color w:val="auto"/>
              </w:rPr>
              <w:t>用水由</w:t>
            </w:r>
            <w:r>
              <w:rPr>
                <w:rFonts w:hint="eastAsia"/>
                <w:color w:val="auto"/>
                <w:lang w:val="en-US" w:eastAsia="zh-CN"/>
              </w:rPr>
              <w:t>园区供水管网供应</w:t>
            </w:r>
            <w:r>
              <w:rPr>
                <w:rFonts w:hint="eastAsia"/>
                <w:color w:val="auto"/>
              </w:rPr>
              <w:t>，不取用地下水，可满足项目用水需求，项目符合水资源利用上线标准。</w:t>
            </w:r>
          </w:p>
          <w:p>
            <w:pPr>
              <w:rPr>
                <w:color w:val="auto"/>
              </w:rPr>
            </w:pPr>
            <w:r>
              <w:rPr>
                <w:rFonts w:hint="eastAsia"/>
                <w:color w:val="auto"/>
              </w:rPr>
              <w:t>③土地资源利用上线</w:t>
            </w:r>
          </w:p>
          <w:p>
            <w:pPr>
              <w:rPr>
                <w:color w:val="auto"/>
              </w:rPr>
            </w:pPr>
            <w:r>
              <w:rPr>
                <w:rFonts w:hint="eastAsia"/>
                <w:color w:val="auto"/>
              </w:rPr>
              <w:t>本项目</w:t>
            </w:r>
            <w:r>
              <w:rPr>
                <w:rFonts w:hint="eastAsia"/>
                <w:color w:val="auto"/>
                <w:lang w:val="en-US" w:eastAsia="zh-CN"/>
              </w:rPr>
              <w:t>利用</w:t>
            </w:r>
            <w:r>
              <w:rPr>
                <w:rFonts w:hint="eastAsia"/>
                <w:color w:val="auto"/>
              </w:rPr>
              <w:t>现有厂房进行建设，不新增占地面积，所在地块用地性质为工业用地。</w:t>
            </w:r>
          </w:p>
          <w:p>
            <w:pPr>
              <w:rPr>
                <w:color w:val="auto"/>
              </w:rPr>
            </w:pPr>
            <w:r>
              <w:rPr>
                <w:rFonts w:hint="eastAsia"/>
                <w:color w:val="auto"/>
              </w:rPr>
              <w:t>本项目运营过程中有一定量的电力资源、水资源消耗，项目用水、用电由当地管网提供，项目建设不新增占地面积，项目资源消耗量相对较少，不会突破区域资源利用上线。</w:t>
            </w:r>
          </w:p>
          <w:p>
            <w:pPr>
              <w:adjustRightInd w:val="0"/>
              <w:snapToGrid w:val="0"/>
              <w:rPr>
                <w:color w:val="auto"/>
              </w:rPr>
            </w:pPr>
            <w:r>
              <w:rPr>
                <w:rFonts w:hint="eastAsia"/>
                <w:color w:val="auto"/>
              </w:rPr>
              <w:t>（4）环境准入负面清单</w:t>
            </w:r>
          </w:p>
          <w:p>
            <w:pPr>
              <w:adjustRightInd w:val="0"/>
              <w:snapToGrid w:val="0"/>
              <w:rPr>
                <w:color w:val="auto"/>
              </w:rPr>
            </w:pPr>
            <w:r>
              <w:rPr>
                <w:rFonts w:hint="eastAsia"/>
                <w:color w:val="auto"/>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pPr>
              <w:adjustRightInd w:val="0"/>
              <w:snapToGrid w:val="0"/>
              <w:rPr>
                <w:color w:val="auto"/>
              </w:rPr>
            </w:pPr>
            <w:r>
              <w:rPr>
                <w:rFonts w:hint="eastAsia"/>
                <w:color w:val="auto"/>
              </w:rPr>
              <w:t>本项目对照《产业结构调整指导目录》（2024年本），本项目不属于限制类、淘汰类项目，项目建设符合现行国家产业政策。本项目已取得石家庄市栾城区行政审批局出具的项目备案证明，允许建设。</w:t>
            </w:r>
          </w:p>
          <w:p>
            <w:pPr>
              <w:adjustRightInd w:val="0"/>
              <w:snapToGrid w:val="0"/>
              <w:rPr>
                <w:color w:val="auto"/>
              </w:rPr>
            </w:pPr>
            <w:r>
              <w:rPr>
                <w:rFonts w:hint="eastAsia"/>
                <w:color w:val="auto"/>
              </w:rPr>
              <w:t>综上所述，本项目建设符合“三线一单”要求。</w:t>
            </w:r>
          </w:p>
          <w:p>
            <w:pPr>
              <w:rPr>
                <w:color w:val="auto"/>
              </w:rPr>
            </w:pPr>
            <w:r>
              <w:rPr>
                <w:color w:val="auto"/>
              </w:rPr>
              <w:t>（</w:t>
            </w:r>
            <w:r>
              <w:rPr>
                <w:rFonts w:hint="eastAsia"/>
                <w:color w:val="auto"/>
              </w:rPr>
              <w:t>5</w:t>
            </w:r>
            <w:r>
              <w:rPr>
                <w:color w:val="auto"/>
              </w:rPr>
              <w:t>）</w:t>
            </w:r>
            <w:r>
              <w:rPr>
                <w:rFonts w:hint="eastAsia"/>
                <w:color w:val="auto"/>
              </w:rPr>
              <w:t>与《石家庄市“三线一单”生态环境准入清单（2023年版）》</w:t>
            </w:r>
            <w:r>
              <w:rPr>
                <w:rFonts w:hint="eastAsia"/>
                <w:color w:val="auto"/>
                <w:lang w:eastAsia="zh-CN"/>
              </w:rPr>
              <w:t>（</w:t>
            </w:r>
            <w:r>
              <w:rPr>
                <w:rFonts w:hint="eastAsia"/>
                <w:color w:val="auto"/>
                <w:lang w:val="en-US" w:eastAsia="zh-CN"/>
              </w:rPr>
              <w:t>2024年4月更新版</w:t>
            </w:r>
            <w:r>
              <w:rPr>
                <w:rFonts w:hint="eastAsia"/>
                <w:color w:val="auto"/>
                <w:lang w:eastAsia="zh-CN"/>
              </w:rPr>
              <w:t>）</w:t>
            </w:r>
            <w:r>
              <w:rPr>
                <w:rFonts w:hint="eastAsia"/>
                <w:color w:val="auto"/>
              </w:rPr>
              <w:t>符合性分析</w:t>
            </w:r>
          </w:p>
          <w:p>
            <w:pPr>
              <w:rPr>
                <w:color w:val="auto"/>
              </w:rPr>
            </w:pPr>
            <w:r>
              <w:rPr>
                <w:rFonts w:hint="eastAsia"/>
                <w:color w:val="auto"/>
              </w:rPr>
              <w:t>本项目与《石家庄市“三线一单”生态环境准入清单（2023年版）》</w:t>
            </w:r>
            <w:r>
              <w:rPr>
                <w:rFonts w:hint="eastAsia"/>
                <w:color w:val="auto"/>
                <w:lang w:eastAsia="zh-CN"/>
              </w:rPr>
              <w:t>（</w:t>
            </w:r>
            <w:r>
              <w:rPr>
                <w:rFonts w:hint="eastAsia"/>
                <w:color w:val="auto"/>
                <w:lang w:val="en-US" w:eastAsia="zh-CN"/>
              </w:rPr>
              <w:t>2024年4月更新版）</w:t>
            </w:r>
            <w:r>
              <w:rPr>
                <w:rFonts w:hint="eastAsia"/>
                <w:color w:val="auto"/>
              </w:rPr>
              <w:t>总体生态环境准入清单符合性分析，详见下表。</w:t>
            </w:r>
          </w:p>
          <w:p>
            <w:pPr>
              <w:pStyle w:val="40"/>
              <w:rPr>
                <w:color w:val="auto"/>
              </w:rPr>
            </w:pPr>
            <w:r>
              <w:rPr>
                <w:rFonts w:hint="eastAsia"/>
                <w:color w:val="auto"/>
              </w:rPr>
              <w:t>表1-1  石家庄市总体生态环境准入清单</w:t>
            </w:r>
          </w:p>
          <w:tbl>
            <w:tblPr>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662"/>
              <w:gridCol w:w="442"/>
              <w:gridCol w:w="2895"/>
              <w:gridCol w:w="2749"/>
              <w:gridCol w:w="304"/>
            </w:tblGrid>
            <w:tr>
              <w:trPr>
                <w:trHeight w:val="556"/>
              </w:trPr>
              <w:tc>
                <w:tcPr>
                  <w:vAlign w:val="center"/>
                </w:tcPr>
                <w:p>
                  <w:pPr>
                    <w:pStyle w:val="39"/>
                    <w:rPr>
                      <w:color w:val="auto"/>
                    </w:rPr>
                  </w:pPr>
                  <w:r>
                    <w:rPr>
                      <w:rFonts w:hint="eastAsia"/>
                      <w:color w:val="auto"/>
                    </w:rPr>
                    <w:t>属性</w:t>
                  </w:r>
                </w:p>
              </w:tc>
              <w:tc>
                <w:tcPr>
                  <w:tcW w:w="442" w:type="dxa"/>
                  <w:vAlign w:val="center"/>
                </w:tcPr>
                <w:p>
                  <w:pPr>
                    <w:pStyle w:val="39"/>
                    <w:rPr>
                      <w:color w:val="auto"/>
                    </w:rPr>
                  </w:pPr>
                  <w:r>
                    <w:rPr>
                      <w:rFonts w:hint="eastAsia"/>
                      <w:color w:val="auto"/>
                    </w:rPr>
                    <w:t>管控类型</w:t>
                  </w:r>
                </w:p>
              </w:tc>
              <w:tc>
                <w:tcPr>
                  <w:tcW w:w="2895" w:type="dxa"/>
                  <w:vAlign w:val="center"/>
                </w:tcPr>
                <w:p>
                  <w:pPr>
                    <w:pStyle w:val="39"/>
                    <w:rPr>
                      <w:color w:val="auto"/>
                    </w:rPr>
                  </w:pPr>
                  <w:r>
                    <w:rPr>
                      <w:rFonts w:hint="eastAsia"/>
                      <w:color w:val="auto"/>
                    </w:rPr>
                    <w:t>管控要求</w:t>
                  </w:r>
                </w:p>
              </w:tc>
              <w:tc>
                <w:tcPr>
                  <w:tcW w:w="2749" w:type="dxa"/>
                  <w:vAlign w:val="center"/>
                </w:tcPr>
                <w:p>
                  <w:pPr>
                    <w:pStyle w:val="39"/>
                    <w:rPr>
                      <w:color w:val="auto"/>
                    </w:rPr>
                  </w:pPr>
                  <w:r>
                    <w:rPr>
                      <w:rFonts w:hint="eastAsia"/>
                      <w:color w:val="auto"/>
                    </w:rPr>
                    <w:t>本项目情况</w:t>
                  </w:r>
                </w:p>
              </w:tc>
              <w:tc>
                <w:tcPr>
                  <w:vAlign w:val="center"/>
                </w:tcPr>
                <w:p>
                  <w:pPr>
                    <w:pStyle w:val="39"/>
                    <w:rPr>
                      <w:color w:val="auto"/>
                    </w:rPr>
                  </w:pPr>
                  <w:r>
                    <w:rPr>
                      <w:rFonts w:hint="eastAsia"/>
                      <w:color w:val="auto"/>
                    </w:rPr>
                    <w:t>政策符合性</w:t>
                  </w:r>
                </w:p>
              </w:tc>
            </w:tr>
            <w:tr>
              <w:trPr>
                <w:trHeight w:val="556"/>
              </w:trPr>
              <w:tc>
                <w:tcPr>
                  <w:vAlign w:val="center"/>
                </w:tcPr>
                <w:p>
                  <w:pPr>
                    <w:pStyle w:val="39"/>
                    <w:rPr>
                      <w:color w:val="auto"/>
                    </w:rPr>
                  </w:pPr>
                  <w:r>
                    <w:rPr>
                      <w:rFonts w:hint="eastAsia"/>
                      <w:color w:val="auto"/>
                    </w:rPr>
                    <w:t>全市生态环境准入综合管控要求</w:t>
                  </w:r>
                </w:p>
              </w:tc>
              <w:tc>
                <w:tcPr>
                  <w:tcW w:w="442" w:type="dxa"/>
                  <w:tcBorders>
                    <w:left w:val="single" w:sz="2" w:space="0" w:color="000000"/>
                  </w:tcBorders>
                  <w:vAlign w:val="center"/>
                </w:tcPr>
                <w:p>
                  <w:pPr>
                    <w:pStyle w:val="39"/>
                    <w:rPr>
                      <w:color w:val="auto"/>
                    </w:rPr>
                  </w:pPr>
                  <w:r>
                    <w:rPr>
                      <w:rFonts w:hint="eastAsia"/>
                      <w:color w:val="auto"/>
                    </w:rPr>
                    <w:t>全</w:t>
                  </w:r>
                </w:p>
                <w:p>
                  <w:pPr>
                    <w:pStyle w:val="39"/>
                    <w:rPr>
                      <w:color w:val="auto"/>
                    </w:rPr>
                  </w:pPr>
                  <w:r>
                    <w:rPr>
                      <w:rFonts w:hint="eastAsia"/>
                      <w:color w:val="auto"/>
                    </w:rPr>
                    <w:t>市</w:t>
                  </w:r>
                </w:p>
                <w:p>
                  <w:pPr>
                    <w:pStyle w:val="39"/>
                    <w:rPr>
                      <w:color w:val="auto"/>
                    </w:rPr>
                  </w:pPr>
                  <w:r>
                    <w:rPr>
                      <w:rFonts w:hint="eastAsia"/>
                      <w:color w:val="auto"/>
                    </w:rPr>
                    <w:t>域</w:t>
                  </w:r>
                </w:p>
              </w:tc>
              <w:tc>
                <w:tcPr>
                  <w:tcW w:w="2895" w:type="dxa"/>
                  <w:tcBorders>
                    <w:left w:val="single" w:sz="2" w:space="0" w:color="000000"/>
                  </w:tcBorders>
                  <w:vAlign w:val="center"/>
                </w:tcPr>
                <w:p>
                  <w:pPr>
                    <w:pStyle w:val="39"/>
                    <w:jc w:val="both"/>
                    <w:rPr>
                      <w:color w:val="auto"/>
                    </w:rPr>
                  </w:pPr>
                  <w:r>
                    <w:rPr>
                      <w:rFonts w:hint="eastAsia"/>
                      <w:color w:val="auto"/>
                    </w:rPr>
                    <w:t>1、优化产业结构。落实国家、省、市产业政策，严格“两高”项目环评审批，落实区域削减要求，推进减污降碳协同控制。</w:t>
                  </w:r>
                </w:p>
                <w:p>
                  <w:pPr>
                    <w:pStyle w:val="39"/>
                    <w:jc w:val="both"/>
                    <w:rPr>
                      <w:color w:val="auto"/>
                    </w:rPr>
                  </w:pPr>
                  <w:r>
                    <w:rPr>
                      <w:rFonts w:hint="eastAsia"/>
                      <w:color w:val="auto"/>
                    </w:rPr>
                    <w:t>2、强化产业入园。优化园区布局，提升园区规划、环评实效性，提升园区资源利用效率和绿色低碳水平，加强新建项目入园，严格现有分散企业污染管控。</w:t>
                  </w:r>
                </w:p>
              </w:tc>
              <w:tc>
                <w:tcPr>
                  <w:tcW w:w="2749" w:type="dxa"/>
                  <w:tcBorders>
                    <w:left w:val="single" w:sz="2" w:space="0" w:color="000000"/>
                  </w:tcBorders>
                  <w:vAlign w:val="center"/>
                </w:tcPr>
                <w:p>
                  <w:pPr>
                    <w:pStyle w:val="39"/>
                    <w:rPr>
                      <w:color w:val="auto"/>
                    </w:rPr>
                  </w:pPr>
                  <w:r>
                    <w:rPr>
                      <w:rFonts w:hint="eastAsia"/>
                      <w:color w:val="auto"/>
                    </w:rPr>
                    <w:t>1、本项目不属于“两高”项目，</w:t>
                  </w:r>
                  <w:r>
                    <w:rPr>
                      <w:rFonts w:hint="eastAsia"/>
                      <w:color w:val="auto"/>
                      <w:lang w:val="en-US" w:eastAsia="zh-CN"/>
                    </w:rPr>
                    <w:t>不</w:t>
                  </w:r>
                  <w:r>
                    <w:rPr>
                      <w:rFonts w:hint="eastAsia"/>
                      <w:color w:val="auto"/>
                    </w:rPr>
                    <w:t>属于《产业结构调整指导目录（2024年本）》中的</w:t>
                  </w:r>
                  <w:r>
                    <w:rPr>
                      <w:rFonts w:hint="eastAsia"/>
                      <w:color w:val="auto"/>
                      <w:lang w:val="en-US" w:eastAsia="zh-CN"/>
                    </w:rPr>
                    <w:t>淘汰和限制</w:t>
                  </w:r>
                  <w:r>
                    <w:rPr>
                      <w:rFonts w:hint="eastAsia"/>
                      <w:color w:val="auto"/>
                    </w:rPr>
                    <w:t>类项目，项目已在石家庄市栾城区行政审批局备案，符合国家、地方产业政策；</w:t>
                  </w:r>
                </w:p>
                <w:p>
                  <w:pPr>
                    <w:pStyle w:val="39"/>
                    <w:rPr>
                      <w:color w:val="auto"/>
                    </w:rPr>
                  </w:pPr>
                  <w:r>
                    <w:rPr>
                      <w:rFonts w:hint="eastAsia"/>
                      <w:color w:val="auto"/>
                    </w:rPr>
                    <w:t>2、本项目</w:t>
                  </w:r>
                  <w:r>
                    <w:rPr>
                      <w:rFonts w:hint="eastAsia"/>
                      <w:color w:val="auto"/>
                      <w:lang w:val="en-US" w:eastAsia="zh-CN"/>
                    </w:rPr>
                    <w:t>在</w:t>
                  </w:r>
                  <w:r>
                    <w:rPr>
                      <w:rFonts w:hint="eastAsia"/>
                      <w:color w:val="auto"/>
                    </w:rPr>
                    <w:t>现有厂区</w:t>
                  </w:r>
                  <w:r>
                    <w:rPr>
                      <w:rFonts w:hint="eastAsia"/>
                      <w:color w:val="auto"/>
                      <w:lang w:val="en-US" w:eastAsia="zh-CN"/>
                    </w:rPr>
                    <w:t>内</w:t>
                  </w:r>
                  <w:r>
                    <w:rPr>
                      <w:rFonts w:hint="eastAsia"/>
                      <w:color w:val="auto"/>
                    </w:rPr>
                    <w:t>进行建设，不新增占地面积，占地属于工业用地，符合用地规划。</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vAlign w:val="center"/>
                </w:tcPr>
                <w:p>
                  <w:pPr>
                    <w:pStyle w:val="39"/>
                    <w:rPr>
                      <w:color w:val="auto"/>
                    </w:rPr>
                  </w:pPr>
                  <w:r>
                    <w:rPr>
                      <w:rFonts w:hint="eastAsia"/>
                      <w:color w:val="auto"/>
                    </w:rPr>
                    <w:t>全市生态空间总体管控要求</w:t>
                  </w:r>
                </w:p>
              </w:tc>
              <w:tc>
                <w:tcPr>
                  <w:tcW w:w="442" w:type="dxa"/>
                  <w:tcBorders>
                    <w:left w:val="single" w:sz="2" w:space="0" w:color="000000"/>
                  </w:tcBorders>
                  <w:vAlign w:val="center"/>
                </w:tcPr>
                <w:p>
                  <w:pPr>
                    <w:pStyle w:val="39"/>
                    <w:rPr>
                      <w:color w:val="auto"/>
                    </w:rPr>
                  </w:pPr>
                  <w:r>
                    <w:rPr>
                      <w:rFonts w:hint="eastAsia"/>
                      <w:color w:val="auto"/>
                    </w:rPr>
                    <w:t>一般生态 空间-总体要求</w:t>
                  </w:r>
                </w:p>
              </w:tc>
              <w:tc>
                <w:tcPr>
                  <w:tcW w:w="2895" w:type="dxa"/>
                  <w:tcBorders>
                    <w:left w:val="single" w:sz="2" w:space="0" w:color="000000"/>
                  </w:tcBorders>
                  <w:vAlign w:val="center"/>
                </w:tcPr>
                <w:p>
                  <w:pPr>
                    <w:pStyle w:val="39"/>
                    <w:jc w:val="both"/>
                    <w:rPr>
                      <w:color w:val="auto"/>
                    </w:rPr>
                  </w:pPr>
                  <w:r>
                    <w:rPr>
                      <w:rFonts w:hint="eastAsia"/>
                      <w:color w:val="auto"/>
                    </w:rPr>
                    <w:t>①严格矿产资源开发与管控，矿产开发管控依照《河北省加强矿产资源开发管控十条措施》、《河北省人民代表大会常务委员会关于加强矿产开发管控保护生态环境的决定》等相关文件要求执行。</w:t>
                  </w:r>
                </w:p>
                <w:p>
                  <w:pPr>
                    <w:pStyle w:val="39"/>
                    <w:jc w:val="both"/>
                    <w:rPr>
                      <w:color w:val="auto"/>
                    </w:rPr>
                  </w:pPr>
                  <w:r>
                    <w:rPr>
                      <w:rFonts w:hint="eastAsia"/>
                      <w:color w:val="auto"/>
                    </w:rPr>
                    <w:t>②涉及饮用水水源地保护区的，水环境总体管控要求中饮用水水源地保护区相关要求进行管控。</w:t>
                  </w:r>
                </w:p>
              </w:tc>
              <w:tc>
                <w:tcPr>
                  <w:tcW w:w="2749" w:type="dxa"/>
                  <w:tcBorders>
                    <w:left w:val="single" w:sz="2" w:space="0" w:color="000000"/>
                  </w:tcBorders>
                  <w:vAlign w:val="center"/>
                </w:tcPr>
                <w:p>
                  <w:pPr>
                    <w:pStyle w:val="39"/>
                    <w:rPr>
                      <w:color w:val="auto"/>
                    </w:rPr>
                  </w:pPr>
                  <w:r>
                    <w:rPr>
                      <w:rFonts w:hint="eastAsia"/>
                      <w:color w:val="auto"/>
                    </w:rPr>
                    <w:t>本项目不涉及矿产开发，不涉及饮用水水源地保护区占地。</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vAlign w:val="center"/>
                </w:tcPr>
                <w:p>
                  <w:pPr>
                    <w:pStyle w:val="39"/>
                    <w:rPr>
                      <w:color w:val="auto"/>
                    </w:rPr>
                  </w:pPr>
                  <w:r>
                    <w:rPr>
                      <w:rFonts w:hint="eastAsia"/>
                      <w:color w:val="auto"/>
                    </w:rPr>
                    <w:t>全市水环境总体管控要求</w:t>
                  </w:r>
                </w:p>
              </w:tc>
              <w:tc>
                <w:tcPr>
                  <w:tcW w:w="442" w:type="dxa"/>
                  <w:tcBorders>
                    <w:left w:val="single" w:sz="2" w:space="0" w:color="000000"/>
                  </w:tcBorders>
                  <w:vAlign w:val="center"/>
                </w:tcPr>
                <w:p>
                  <w:pPr>
                    <w:pStyle w:val="39"/>
                    <w:rPr>
                      <w:color w:val="auto"/>
                    </w:rPr>
                  </w:pPr>
                  <w:r>
                    <w:rPr>
                      <w:rFonts w:hint="eastAsia"/>
                      <w:color w:val="auto"/>
                    </w:rPr>
                    <w:t>水环 境一 般管 控区-污染物排放管控</w:t>
                  </w:r>
                </w:p>
              </w:tc>
              <w:tc>
                <w:tcPr>
                  <w:tcW w:w="2895" w:type="dxa"/>
                  <w:tcBorders>
                    <w:left w:val="single" w:sz="2" w:space="0" w:color="000000"/>
                  </w:tcBorders>
                  <w:vAlign w:val="center"/>
                </w:tcPr>
                <w:p>
                  <w:pPr>
                    <w:pStyle w:val="39"/>
                    <w:jc w:val="both"/>
                    <w:rPr>
                      <w:color w:val="auto"/>
                    </w:rPr>
                  </w:pPr>
                  <w:r>
                    <w:rPr>
                      <w:rFonts w:hint="eastAsia"/>
                      <w:color w:val="auto"/>
                    </w:rPr>
                    <w:t>严格落实全市最新污染防治要求，加强工业源、生活源、农业源、集中式治理设施等排放管控。</w:t>
                  </w:r>
                </w:p>
              </w:tc>
              <w:tc>
                <w:tcPr>
                  <w:tcW w:w="2749" w:type="dxa"/>
                  <w:tcBorders>
                    <w:left w:val="single" w:sz="2" w:space="0" w:color="000000"/>
                  </w:tcBorders>
                  <w:vAlign w:val="center"/>
                </w:tcPr>
                <w:p>
                  <w:pPr>
                    <w:pStyle w:val="39"/>
                    <w:rPr>
                      <w:rFonts w:eastAsia="宋体" w:hint="eastAsia"/>
                      <w:color w:val="auto"/>
                      <w:lang w:val="en-US" w:eastAsia="zh-CN"/>
                    </w:rPr>
                  </w:pPr>
                  <w:r>
                    <w:rPr>
                      <w:rFonts w:hint="eastAsia"/>
                      <w:color w:val="auto"/>
                      <w:lang w:val="en-US" w:eastAsia="zh-CN"/>
                    </w:rPr>
                    <w:t>本</w:t>
                  </w:r>
                  <w:r>
                    <w:rPr>
                      <w:rFonts w:hint="eastAsia"/>
                      <w:color w:val="auto"/>
                    </w:rPr>
                    <w:t>项目</w:t>
                  </w:r>
                  <w:r>
                    <w:rPr>
                      <w:rFonts w:hint="eastAsia"/>
                      <w:color w:val="auto"/>
                      <w:lang w:val="en-US" w:eastAsia="zh-CN"/>
                    </w:rPr>
                    <w:t>不新增用水量，无废水</w:t>
                  </w:r>
                  <w:r>
                    <w:rPr>
                      <w:rFonts w:hint="eastAsia"/>
                      <w:color w:val="auto"/>
                    </w:rPr>
                    <w:t>外排。</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tcW w:w="662" w:type="dxa"/>
                  <w:vMerge w:val="restart"/>
                  <w:vAlign w:val="center"/>
                </w:tcPr>
                <w:p>
                  <w:pPr>
                    <w:pStyle w:val="39"/>
                    <w:rPr>
                      <w:color w:val="auto"/>
                    </w:rPr>
                  </w:pPr>
                  <w:r>
                    <w:rPr>
                      <w:rFonts w:hint="eastAsia"/>
                      <w:color w:val="auto"/>
                    </w:rPr>
                    <w:t>全市土壤环境总体管控要求</w:t>
                  </w:r>
                </w:p>
              </w:tc>
              <w:tc>
                <w:tcPr>
                  <w:tcW w:w="442" w:type="dxa"/>
                  <w:tcBorders>
                    <w:left w:val="single" w:sz="2" w:space="0" w:color="000000"/>
                  </w:tcBorders>
                  <w:vAlign w:val="center"/>
                </w:tcPr>
                <w:p>
                  <w:pPr>
                    <w:pStyle w:val="39"/>
                    <w:rPr>
                      <w:color w:val="auto"/>
                    </w:rPr>
                  </w:pPr>
                  <w:r>
                    <w:rPr>
                      <w:rFonts w:hint="eastAsia"/>
                      <w:color w:val="auto"/>
                    </w:rPr>
                    <w:t xml:space="preserve">土壤污染重点监管 </w:t>
                  </w:r>
                </w:p>
                <w:p>
                  <w:pPr>
                    <w:pStyle w:val="39"/>
                    <w:rPr>
                      <w:color w:val="auto"/>
                    </w:rPr>
                  </w:pPr>
                  <w:r>
                    <w:rPr>
                      <w:rFonts w:hint="eastAsia"/>
                      <w:color w:val="auto"/>
                    </w:rPr>
                    <w:t>单位</w:t>
                  </w:r>
                </w:p>
              </w:tc>
              <w:tc>
                <w:tcPr>
                  <w:tcW w:w="2895" w:type="dxa"/>
                  <w:tcBorders>
                    <w:left w:val="single" w:sz="2" w:space="0" w:color="000000"/>
                  </w:tcBorders>
                  <w:vAlign w:val="center"/>
                </w:tcPr>
                <w:p>
                  <w:pPr>
                    <w:pStyle w:val="39"/>
                    <w:jc w:val="both"/>
                    <w:rPr>
                      <w:color w:val="auto"/>
                    </w:rPr>
                  </w:pPr>
                  <w:r>
                    <w:rPr>
                      <w:rFonts w:hint="eastAsia"/>
                      <w:color w:val="auto"/>
                    </w:rPr>
                    <w:t xml:space="preserve">1、土壤污染重点监管单位应该严格控制有毒有害物质排放，并按年度向相关主管部门报告排放情况；建立土壤污染隐患排查制度，保证持续有效防止有毒有害物质渗漏、流失、扬散；制定、 </w:t>
                  </w:r>
                </w:p>
                <w:p>
                  <w:pPr>
                    <w:pStyle w:val="39"/>
                    <w:jc w:val="both"/>
                    <w:rPr>
                      <w:color w:val="auto"/>
                    </w:rPr>
                  </w:pPr>
                  <w:r>
                    <w:rPr>
                      <w:rFonts w:hint="eastAsia"/>
                      <w:color w:val="auto"/>
                    </w:rPr>
                    <w:t>实施自行监测方案，并将监测数据报相关主管部门。并对监测数据的真实性和准确性负责。相关主管部门发现土壤污染重点监管单位监测数据异常，应当及时进行调查。</w:t>
                  </w:r>
                </w:p>
              </w:tc>
              <w:tc>
                <w:tcPr>
                  <w:tcW w:w="2749" w:type="dxa"/>
                  <w:tcBorders>
                    <w:left w:val="single" w:sz="2" w:space="0" w:color="000000"/>
                  </w:tcBorders>
                  <w:vAlign w:val="center"/>
                </w:tcPr>
                <w:p>
                  <w:pPr>
                    <w:pStyle w:val="39"/>
                    <w:rPr>
                      <w:color w:val="auto"/>
                    </w:rPr>
                  </w:pPr>
                  <w:r>
                    <w:rPr>
                      <w:rFonts w:hint="eastAsia"/>
                      <w:color w:val="auto"/>
                    </w:rPr>
                    <w:t>本项目不涉及重点重金属排放，</w:t>
                  </w:r>
                  <w:r>
                    <w:rPr>
                      <w:rFonts w:hint="eastAsia"/>
                      <w:color w:val="auto"/>
                      <w:lang w:val="en-US" w:eastAsia="zh-CN"/>
                    </w:rPr>
                    <w:t>事故水池、危废间、喷淋塔装置区域、原料库已做重点防渗处理，各生产车间、成品库已做一般防渗处理，其他区域已做简单防渗处理</w:t>
                  </w:r>
                  <w:r>
                    <w:rPr>
                      <w:rFonts w:hint="eastAsia"/>
                      <w:color w:val="auto"/>
                    </w:rPr>
                    <w:t>，避免对土壤及地下水造成影响。</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tcW w:w="662" w:type="dxa"/>
                  <w:vMerge/>
                  <w:vAlign w:val="center"/>
                </w:tcPr>
                <w:p/>
              </w:tc>
              <w:tc>
                <w:tcPr>
                  <w:tcW w:w="442" w:type="dxa"/>
                  <w:tcBorders>
                    <w:left w:val="single" w:sz="2" w:space="0" w:color="000000"/>
                  </w:tcBorders>
                  <w:vAlign w:val="center"/>
                </w:tcPr>
                <w:p>
                  <w:pPr>
                    <w:pStyle w:val="39"/>
                    <w:rPr>
                      <w:color w:val="auto"/>
                    </w:rPr>
                  </w:pPr>
                  <w:r>
                    <w:rPr>
                      <w:rFonts w:hint="eastAsia"/>
                      <w:color w:val="auto"/>
                    </w:rPr>
                    <w:t>重金属污染防控重点区</w:t>
                  </w:r>
                </w:p>
              </w:tc>
              <w:tc>
                <w:tcPr>
                  <w:tcW w:w="2895" w:type="dxa"/>
                  <w:tcBorders>
                    <w:left w:val="single" w:sz="2" w:space="0" w:color="000000"/>
                  </w:tcBorders>
                  <w:vAlign w:val="center"/>
                </w:tcPr>
                <w:p>
                  <w:pPr>
                    <w:pStyle w:val="39"/>
                    <w:jc w:val="both"/>
                    <w:rPr>
                      <w:color w:val="auto"/>
                    </w:rPr>
                  </w:pPr>
                  <w:r>
                    <w:rPr>
                      <w:rFonts w:hint="eastAsia"/>
                      <w:color w:val="auto"/>
                    </w:rPr>
                    <w:t xml:space="preserve">持续推进重金属减排，动态更新涉重金属重点行业企业全口径清单，按照国家部署明确重点区 </w:t>
                  </w:r>
                </w:p>
                <w:p>
                  <w:pPr>
                    <w:pStyle w:val="39"/>
                    <w:jc w:val="both"/>
                    <w:rPr>
                      <w:color w:val="auto"/>
                    </w:rPr>
                  </w:pPr>
                  <w:r>
                    <w:rPr>
                      <w:rFonts w:hint="eastAsia"/>
                      <w:color w:val="auto"/>
                    </w:rPr>
                    <w:t>域执行颗粒物和重点重金属特别排放限值。</w:t>
                  </w:r>
                </w:p>
              </w:tc>
              <w:tc>
                <w:tcPr>
                  <w:tcW w:w="2749" w:type="dxa"/>
                  <w:tcBorders>
                    <w:left w:val="single" w:sz="2" w:space="0" w:color="000000"/>
                  </w:tcBorders>
                  <w:vAlign w:val="center"/>
                </w:tcPr>
                <w:p>
                  <w:pPr>
                    <w:pStyle w:val="39"/>
                    <w:rPr>
                      <w:color w:val="auto"/>
                    </w:rPr>
                  </w:pPr>
                  <w:r>
                    <w:rPr>
                      <w:rFonts w:hint="eastAsia"/>
                      <w:color w:val="auto"/>
                    </w:rPr>
                    <w:t>本项目</w:t>
                  </w:r>
                  <w:r>
                    <w:rPr>
                      <w:rFonts w:hint="eastAsia"/>
                      <w:color w:val="auto"/>
                      <w:lang w:val="en-US" w:eastAsia="zh-CN"/>
                    </w:rPr>
                    <w:t>不属于涉重金属重点行业</w:t>
                  </w:r>
                  <w:r>
                    <w:rPr>
                      <w:rFonts w:hint="eastAsia"/>
                      <w:color w:val="auto"/>
                    </w:rPr>
                    <w:t>。</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tcW w:w="662" w:type="dxa"/>
                  <w:vMerge w:val="restart"/>
                  <w:vAlign w:val="center"/>
                </w:tcPr>
                <w:p>
                  <w:pPr>
                    <w:pStyle w:val="39"/>
                    <w:rPr>
                      <w:color w:val="auto"/>
                    </w:rPr>
                  </w:pPr>
                  <w:r>
                    <w:rPr>
                      <w:rFonts w:hint="eastAsia"/>
                      <w:color w:val="auto"/>
                    </w:rPr>
                    <w:t>全市自然资源总体管控要求</w:t>
                  </w:r>
                </w:p>
              </w:tc>
              <w:tc>
                <w:tcPr>
                  <w:tcW w:w="442" w:type="dxa"/>
                  <w:tcBorders>
                    <w:left w:val="single" w:sz="2" w:space="0" w:color="000000"/>
                  </w:tcBorders>
                  <w:vAlign w:val="center"/>
                </w:tcPr>
                <w:p>
                  <w:pPr>
                    <w:pStyle w:val="39"/>
                    <w:rPr>
                      <w:color w:val="auto"/>
                    </w:rPr>
                  </w:pPr>
                  <w:r>
                    <w:rPr>
                      <w:rFonts w:hint="eastAsia"/>
                      <w:color w:val="auto"/>
                    </w:rPr>
                    <w:t>水资源-一般管控区</w:t>
                  </w:r>
                </w:p>
              </w:tc>
              <w:tc>
                <w:tcPr>
                  <w:tcW w:w="2895" w:type="dxa"/>
                  <w:tcBorders>
                    <w:left w:val="single" w:sz="2" w:space="0" w:color="000000"/>
                  </w:tcBorders>
                  <w:vAlign w:val="center"/>
                </w:tcPr>
                <w:p>
                  <w:pPr>
                    <w:pStyle w:val="39"/>
                    <w:jc w:val="both"/>
                    <w:rPr>
                      <w:color w:val="auto"/>
                    </w:rPr>
                  </w:pPr>
                  <w:r>
                    <w:rPr>
                      <w:rFonts w:hint="eastAsia"/>
                      <w:color w:val="auto"/>
                    </w:rPr>
                    <w:t>1、严格执行“最严格水资源管理制度”确定的用水总量控制指标，加强水资源取水论证，严格水资源总量考核管理，同时全面推进节水型社会建设，提高用水效率。</w:t>
                  </w:r>
                </w:p>
                <w:p>
                  <w:pPr>
                    <w:pStyle w:val="39"/>
                    <w:jc w:val="both"/>
                    <w:rPr>
                      <w:color w:val="auto"/>
                    </w:rPr>
                  </w:pPr>
                  <w:r>
                    <w:rPr>
                      <w:rFonts w:hint="eastAsia"/>
                      <w:color w:val="auto"/>
                    </w:rPr>
                    <w:t>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2749" w:type="dxa"/>
                  <w:tcBorders>
                    <w:left w:val="single" w:sz="2" w:space="0" w:color="000000"/>
                  </w:tcBorders>
                  <w:vAlign w:val="center"/>
                </w:tcPr>
                <w:p>
                  <w:pPr>
                    <w:pStyle w:val="39"/>
                    <w:rPr>
                      <w:rFonts w:eastAsia="宋体" w:hint="eastAsia"/>
                      <w:color w:val="auto"/>
                      <w:lang w:eastAsia="zh-CN"/>
                    </w:rPr>
                  </w:pPr>
                  <w:r>
                    <w:rPr>
                      <w:rFonts w:hint="eastAsia"/>
                      <w:color w:val="auto"/>
                    </w:rPr>
                    <w:t>本项目</w:t>
                  </w:r>
                  <w:r>
                    <w:rPr>
                      <w:rFonts w:hint="eastAsia"/>
                      <w:color w:val="auto"/>
                      <w:lang w:val="en-US" w:eastAsia="zh-CN"/>
                    </w:rPr>
                    <w:t>不新增用水量</w:t>
                  </w:r>
                  <w:r>
                    <w:rPr>
                      <w:rFonts w:hint="eastAsia"/>
                      <w:color w:val="auto"/>
                    </w:rPr>
                    <w:t>，不取用地下水</w:t>
                  </w:r>
                  <w:r>
                    <w:rPr>
                      <w:rFonts w:hint="eastAsia"/>
                      <w:color w:val="auto"/>
                      <w:lang w:eastAsia="zh-CN"/>
                    </w:rPr>
                    <w:t>。</w:t>
                  </w:r>
                </w:p>
              </w:tc>
              <w:tc>
                <w:tcPr>
                  <w:tcBorders>
                    <w:left w:val="single" w:sz="2" w:space="0" w:color="000000"/>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rPr>
                    <w:t>符合</w:t>
                  </w:r>
                </w:p>
              </w:tc>
            </w:tr>
            <w:tr>
              <w:trPr>
                <w:trHeight w:val="556"/>
              </w:trPr>
              <w:tc>
                <w:tcPr>
                  <w:tcW w:w="662" w:type="dxa"/>
                  <w:vMerge/>
                  <w:vAlign w:val="center"/>
                </w:tcPr>
                <w:p/>
              </w:tc>
              <w:tc>
                <w:tcPr>
                  <w:tcW w:w="442" w:type="dxa"/>
                  <w:tcBorders>
                    <w:left w:val="single" w:sz="2" w:space="0" w:color="000000"/>
                  </w:tcBorders>
                  <w:vAlign w:val="center"/>
                </w:tcPr>
                <w:p>
                  <w:pPr>
                    <w:pStyle w:val="39"/>
                    <w:rPr>
                      <w:color w:val="auto"/>
                    </w:rPr>
                  </w:pPr>
                  <w:r>
                    <w:rPr>
                      <w:rFonts w:hint="eastAsia"/>
                      <w:color w:val="auto"/>
                    </w:rPr>
                    <w:t>能源-高一般管控区</w:t>
                  </w:r>
                </w:p>
              </w:tc>
              <w:tc>
                <w:tcPr>
                  <w:tcW w:w="2895" w:type="dxa"/>
                  <w:tcBorders>
                    <w:left w:val="single" w:sz="2" w:space="0" w:color="000000"/>
                  </w:tcBorders>
                  <w:vAlign w:val="center"/>
                </w:tcPr>
                <w:p>
                  <w:pPr>
                    <w:pStyle w:val="39"/>
                    <w:jc w:val="both"/>
                    <w:rPr>
                      <w:color w:val="auto"/>
                    </w:rPr>
                  </w:pPr>
                  <w:r>
                    <w:rPr>
                      <w:rFonts w:hint="eastAsia"/>
                      <w:color w:val="auto"/>
                    </w:rPr>
                    <w:t>1、强化能源消费约束，严格实施能源消费总量和强度“双控”。从工艺技术、主要用能设备、节能措施等方面切实加强项目单耗先进性审查，新建高能耗项目单位产品（产值）能耗达到国际先进水平，用能设备达到国家一级能效标准。</w:t>
                  </w:r>
                </w:p>
                <w:p>
                  <w:pPr>
                    <w:pStyle w:val="39"/>
                    <w:jc w:val="both"/>
                    <w:rPr>
                      <w:color w:val="auto"/>
                    </w:rPr>
                  </w:pPr>
                  <w:r>
                    <w:rPr>
                      <w:rFonts w:hint="eastAsia"/>
                      <w:color w:val="auto"/>
                    </w:rPr>
                    <w:t>2、以工业、建筑和交通运输领域为重点，深入推进技术节能和管理节能。推进农业和农村节能，强化商用和民用节能，实施公共机构节能。完善节能措施引导，完善峰谷电价、阶梯气价等价格政策等。</w:t>
                  </w:r>
                </w:p>
                <w:p>
                  <w:pPr>
                    <w:pStyle w:val="39"/>
                    <w:jc w:val="both"/>
                    <w:rPr>
                      <w:color w:val="auto"/>
                    </w:rPr>
                  </w:pPr>
                  <w:r>
                    <w:rPr>
                      <w:rFonts w:hint="eastAsia"/>
                      <w:color w:val="auto"/>
                    </w:rPr>
                    <w:t>3、控制煤炭消费总量，加快产业结构向高新高端产业转变，推进钢铁、水泥等重点行业去产能。大力实施散煤替代。</w:t>
                  </w:r>
                </w:p>
                <w:p>
                  <w:pPr>
                    <w:pStyle w:val="39"/>
                    <w:jc w:val="both"/>
                    <w:rPr>
                      <w:color w:val="auto"/>
                    </w:rPr>
                  </w:pPr>
                  <w:r>
                    <w:rPr>
                      <w:rFonts w:hint="eastAsia"/>
                      <w:color w:val="auto"/>
                    </w:rPr>
                    <w:t>4、深入推进煤炭清洁高效利用，扩大清洁能源利用。加强煤炭质量监管，严格落实省、市燃煤质量标准，全市禁止生产、销售灰分劣质煤。严厉打击销售使用劣质煤行为。燃煤发电企业使用的煤炭要符合河北省《工业和民用燃料煤》标准。</w:t>
                  </w:r>
                </w:p>
              </w:tc>
              <w:tc>
                <w:tcPr>
                  <w:tcW w:w="2749" w:type="dxa"/>
                  <w:tcBorders>
                    <w:left w:val="single" w:sz="2" w:space="0" w:color="000000"/>
                  </w:tcBorders>
                  <w:vAlign w:val="center"/>
                </w:tcPr>
                <w:p>
                  <w:pPr>
                    <w:pStyle w:val="39"/>
                    <w:rPr>
                      <w:rFonts w:hint="eastAsia"/>
                      <w:color w:val="auto"/>
                    </w:rPr>
                  </w:pPr>
                  <w:r>
                    <w:rPr>
                      <w:rFonts w:hint="eastAsia"/>
                      <w:color w:val="auto"/>
                    </w:rPr>
                    <w:t>本项目消耗能源为电</w:t>
                  </w:r>
                  <w:r>
                    <w:rPr>
                      <w:rFonts w:hint="eastAsia"/>
                      <w:color w:val="auto"/>
                      <w:lang w:val="en-US" w:eastAsia="zh-CN"/>
                    </w:rPr>
                    <w:t>和天然气</w:t>
                  </w:r>
                  <w:r>
                    <w:rPr>
                      <w:rFonts w:hint="eastAsia"/>
                      <w:color w:val="auto"/>
                    </w:rPr>
                    <w:t>，用电</w:t>
                  </w:r>
                  <w:r>
                    <w:rPr>
                      <w:rFonts w:hint="eastAsia"/>
                      <w:color w:val="auto"/>
                      <w:lang w:val="en-US" w:eastAsia="zh-CN"/>
                    </w:rPr>
                    <w:t>由园区供给</w:t>
                  </w:r>
                </w:p>
                <w:p>
                  <w:pPr>
                    <w:pStyle w:val="39"/>
                    <w:rPr>
                      <w:color w:val="auto"/>
                    </w:rPr>
                  </w:pPr>
                  <w:r>
                    <w:rPr>
                      <w:rFonts w:hint="eastAsia"/>
                      <w:color w:val="auto"/>
                    </w:rPr>
                    <w:t>，</w:t>
                  </w:r>
                  <w:r>
                    <w:rPr>
                      <w:rFonts w:hint="eastAsia"/>
                      <w:color w:val="auto"/>
                      <w:lang w:val="en-US" w:eastAsia="zh-CN"/>
                    </w:rPr>
                    <w:t>园区建有天然气管道，本项目用气由园区供给。</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tcW w:w="662" w:type="dxa"/>
                  <w:vAlign w:val="center"/>
                </w:tcPr>
                <w:p>
                  <w:pPr>
                    <w:pStyle w:val="39"/>
                    <w:rPr>
                      <w:color w:val="auto"/>
                    </w:rPr>
                  </w:pPr>
                  <w:r>
                    <w:rPr>
                      <w:rFonts w:hint="eastAsia"/>
                      <w:color w:val="auto"/>
                    </w:rPr>
                    <w:t>全市产业布局总体管控要求</w:t>
                  </w:r>
                </w:p>
              </w:tc>
              <w:tc>
                <w:tcPr>
                  <w:tcW w:w="442" w:type="dxa"/>
                  <w:tcBorders>
                    <w:left w:val="single" w:sz="2" w:space="0" w:color="000000"/>
                  </w:tcBorders>
                  <w:vAlign w:val="center"/>
                </w:tcPr>
                <w:p>
                  <w:pPr>
                    <w:pStyle w:val="39"/>
                    <w:rPr>
                      <w:color w:val="auto"/>
                    </w:rPr>
                  </w:pPr>
                  <w:r>
                    <w:rPr>
                      <w:rFonts w:hint="eastAsia"/>
                      <w:color w:val="auto"/>
                    </w:rPr>
                    <w:t>产业总体布局要求</w:t>
                  </w:r>
                </w:p>
              </w:tc>
              <w:tc>
                <w:tcPr>
                  <w:tcW w:w="2895" w:type="dxa"/>
                  <w:tcBorders>
                    <w:left w:val="single" w:sz="2" w:space="0" w:color="000000"/>
                  </w:tcBorders>
                  <w:vAlign w:val="center"/>
                </w:tcPr>
                <w:p>
                  <w:pPr>
                    <w:pStyle w:val="39"/>
                    <w:jc w:val="both"/>
                    <w:rPr>
                      <w:rFonts w:hint="eastAsia"/>
                      <w:color w:val="auto"/>
                      <w:lang w:val="en-US" w:eastAsia="zh-CN"/>
                    </w:rPr>
                  </w:pPr>
                  <w:r>
                    <w:rPr>
                      <w:rFonts w:hint="eastAsia"/>
                      <w:color w:val="auto"/>
                      <w:lang w:val="en-US" w:eastAsia="zh-CN"/>
                    </w:rPr>
                    <w:t>1.严格建设项目环境准入，新、改、扩建项目的环境影响评价应满足区域、规划环评要求。</w:t>
                  </w:r>
                </w:p>
                <w:p>
                  <w:pPr>
                    <w:pStyle w:val="39"/>
                    <w:jc w:val="both"/>
                    <w:rPr>
                      <w:rFonts w:hint="eastAsia"/>
                      <w:color w:val="auto"/>
                      <w:lang w:val="en-US" w:eastAsia="zh-CN"/>
                    </w:rPr>
                  </w:pPr>
                  <w:r>
                    <w:rPr>
                      <w:color w:val="auto"/>
                      <w:lang w:val="en-US" w:eastAsia="zh-CN"/>
                    </w:rPr>
                    <w:t>2.</w:t>
                  </w:r>
                  <w:r>
                    <w:rPr>
                      <w:rFonts w:hint="eastAsia"/>
                      <w:color w:val="auto"/>
                      <w:lang w:val="en-US" w:eastAsia="zh-CN"/>
                    </w:rPr>
                    <w:t>新建、改建、扩建用煤项目，应当实行煤炭的等量或者减量替代。</w:t>
                  </w:r>
                </w:p>
                <w:p>
                  <w:pPr>
                    <w:pStyle w:val="39"/>
                    <w:jc w:val="both"/>
                    <w:rPr>
                      <w:color w:val="auto"/>
                    </w:rPr>
                  </w:pPr>
                  <w:r>
                    <w:rPr>
                      <w:color w:val="auto"/>
                      <w:lang w:val="en-US" w:eastAsia="zh-CN"/>
                    </w:rPr>
                    <w:t>3.</w:t>
                  </w:r>
                  <w:r>
                    <w:rPr>
                      <w:rFonts w:hint="eastAsia"/>
                      <w:color w:val="auto"/>
                      <w:lang w:val="en-US" w:eastAsia="zh-CN"/>
                    </w:rPr>
                    <w:t>严格执行国家《产业结构调整指导目录》《市场准入负</w:t>
                  </w:r>
                </w:p>
                <w:p>
                  <w:pPr>
                    <w:pStyle w:val="39"/>
                    <w:jc w:val="both"/>
                    <w:rPr>
                      <w:rFonts w:hint="eastAsia"/>
                      <w:color w:val="auto"/>
                      <w:lang w:val="en-US" w:eastAsia="zh-CN"/>
                    </w:rPr>
                  </w:pPr>
                  <w:r>
                    <w:rPr>
                      <w:rFonts w:hint="eastAsia"/>
                      <w:color w:val="auto"/>
                      <w:lang w:val="en-US" w:eastAsia="zh-CN"/>
                    </w:rPr>
                    <w:t>面清单》以及《河业省新增限制和淘汰类产业目录》中准入要求。</w:t>
                  </w:r>
                </w:p>
                <w:p>
                  <w:pPr>
                    <w:pStyle w:val="39"/>
                    <w:jc w:val="both"/>
                    <w:rPr>
                      <w:color w:val="auto"/>
                    </w:rPr>
                  </w:pPr>
                  <w:r>
                    <w:rPr>
                      <w:color w:val="auto"/>
                      <w:lang w:val="en-US" w:eastAsia="zh-CN"/>
                    </w:rPr>
                    <w:t>4.</w:t>
                  </w:r>
                  <w:r>
                    <w:rPr>
                      <w:rFonts w:hint="eastAsia"/>
                      <w:color w:val="auto"/>
                      <w:lang w:val="en-US" w:eastAsia="zh-CN"/>
                    </w:rPr>
                    <w:t>严格控制《环境保护综合名录》中</w:t>
                  </w:r>
                  <w:r>
                    <w:rPr>
                      <w:color w:val="auto"/>
                      <w:lang w:val="en-US" w:eastAsia="zh-CN"/>
                    </w:rPr>
                    <w:t>“</w:t>
                  </w:r>
                  <w:r>
                    <w:rPr>
                      <w:rFonts w:hint="eastAsia"/>
                      <w:color w:val="auto"/>
                      <w:lang w:val="en-US" w:eastAsia="zh-CN"/>
                    </w:rPr>
                    <w:t>高污染、高风险</w:t>
                  </w:r>
                  <w:r>
                    <w:rPr>
                      <w:color w:val="auto"/>
                      <w:lang w:val="en-US" w:eastAsia="zh-CN"/>
                    </w:rPr>
                    <w:t>”</w:t>
                  </w:r>
                  <w:r>
                    <w:rPr>
                      <w:rFonts w:hint="eastAsia"/>
                      <w:color w:val="auto"/>
                      <w:lang w:val="en-US" w:eastAsia="zh-CN"/>
                    </w:rPr>
                    <w:t>产品加工项目，城市工业企业退城搬迁改造及产能置换项目除外。</w:t>
                  </w:r>
                </w:p>
                <w:p>
                  <w:pPr>
                    <w:pStyle w:val="39"/>
                    <w:jc w:val="both"/>
                    <w:rPr>
                      <w:rFonts w:hint="eastAsia"/>
                      <w:color w:val="auto"/>
                      <w:lang w:val="en-US" w:eastAsia="zh-CN"/>
                    </w:rPr>
                  </w:pPr>
                  <w:r>
                    <w:rPr>
                      <w:color w:val="auto"/>
                      <w:lang w:val="en-US" w:eastAsia="zh-CN"/>
                    </w:rPr>
                    <w:t>5.</w:t>
                  </w:r>
                  <w:r>
                    <w:rPr>
                      <w:rFonts w:hint="eastAsia"/>
                      <w:color w:val="auto"/>
                      <w:lang w:val="en-US" w:eastAsia="zh-CN"/>
                    </w:rPr>
                    <w:t>新建项目一律不得违规占用河库管理范围。</w:t>
                  </w:r>
                </w:p>
                <w:p>
                  <w:pPr>
                    <w:pStyle w:val="39"/>
                    <w:jc w:val="both"/>
                    <w:rPr>
                      <w:color w:val="auto"/>
                    </w:rPr>
                  </w:pPr>
                  <w:r>
                    <w:rPr>
                      <w:color w:val="auto"/>
                      <w:lang w:val="en-US" w:eastAsia="zh-CN"/>
                    </w:rPr>
                    <w:t>6.</w:t>
                  </w:r>
                  <w:r>
                    <w:rPr>
                      <w:rFonts w:hint="eastAsia"/>
                      <w:color w:val="auto"/>
                      <w:lang w:val="en-US" w:eastAsia="zh-CN"/>
                    </w:rPr>
                    <w:t xml:space="preserve">以石化、化工、涂装、医药、包装印刷、油品储运销售等行业 </w:t>
                  </w:r>
                </w:p>
                <w:p>
                  <w:pPr>
                    <w:pStyle w:val="39"/>
                    <w:jc w:val="both"/>
                    <w:rPr>
                      <w:rFonts w:hint="eastAsia"/>
                      <w:color w:val="auto"/>
                      <w:lang w:val="en-US" w:eastAsia="zh-CN"/>
                    </w:rPr>
                  </w:pPr>
                  <w:r>
                    <w:rPr>
                      <w:rFonts w:hint="eastAsia"/>
                      <w:color w:val="auto"/>
                      <w:lang w:val="en-US" w:eastAsia="zh-CN"/>
                    </w:rPr>
                    <w:t>领域为重点，安全高效推进挥发性有机物</w:t>
                  </w:r>
                  <w:r>
                    <w:rPr>
                      <w:color w:val="auto"/>
                      <w:lang w:val="en-US" w:eastAsia="zh-CN"/>
                    </w:rPr>
                    <w:t>(VOCs)</w:t>
                  </w:r>
                  <w:r>
                    <w:rPr>
                      <w:rFonts w:hint="eastAsia"/>
                      <w:color w:val="auto"/>
                      <w:lang w:val="en-US" w:eastAsia="zh-CN"/>
                    </w:rPr>
                    <w:t>综合治理，实施原辅材料和产品源头替代、无组织排放和末端深度治理等提升改造工程。</w:t>
                  </w:r>
                </w:p>
                <w:p>
                  <w:pPr>
                    <w:pStyle w:val="39"/>
                    <w:jc w:val="both"/>
                    <w:rPr>
                      <w:color w:val="auto"/>
                    </w:rPr>
                  </w:pPr>
                  <w:r>
                    <w:rPr>
                      <w:rFonts w:hint="eastAsia"/>
                      <w:color w:val="auto"/>
                      <w:lang w:val="en-US" w:eastAsia="zh-CN"/>
                    </w:rPr>
                    <w:t>7.锅炉大气污染物排放控制要求、污染物监测要求、达标判定要求按照河北省地标《锅炉大 气污染物排放标准》</w:t>
                  </w:r>
                  <w:r>
                    <w:rPr>
                      <w:color w:val="auto"/>
                      <w:lang w:val="en-US" w:eastAsia="zh-CN"/>
                    </w:rPr>
                    <w:t>(DB13/5161-2020)</w:t>
                  </w:r>
                  <w:r>
                    <w:rPr>
                      <w:rFonts w:hint="eastAsia"/>
                      <w:color w:val="auto"/>
                      <w:lang w:val="en-US" w:eastAsia="zh-CN"/>
                    </w:rPr>
                    <w:t>执行。</w:t>
                  </w:r>
                </w:p>
                <w:p>
                  <w:pPr>
                    <w:pStyle w:val="39"/>
                    <w:jc w:val="both"/>
                    <w:rPr>
                      <w:color w:val="auto"/>
                    </w:rPr>
                  </w:pPr>
                  <w:r>
                    <w:rPr>
                      <w:color w:val="auto"/>
                      <w:lang w:val="en-US" w:eastAsia="zh-CN"/>
                    </w:rPr>
                    <w:t>8.</w:t>
                  </w:r>
                  <w:r>
                    <w:rPr>
                      <w:rFonts w:hint="eastAsia"/>
                      <w:color w:val="auto"/>
                      <w:lang w:val="en-US" w:eastAsia="zh-CN"/>
                    </w:rPr>
                    <w:t xml:space="preserve">禁止在居民区和学校、医院、疗养院、养老院等单位周边新建、改建、扩建有色金属冶炼、石油加工、焦化、化工、电镀、 </w:t>
                  </w:r>
                </w:p>
                <w:p>
                  <w:pPr>
                    <w:pStyle w:val="39"/>
                    <w:jc w:val="both"/>
                    <w:rPr>
                      <w:rFonts w:hint="eastAsia"/>
                      <w:color w:val="auto"/>
                      <w:lang w:val="en-US" w:eastAsia="zh-CN"/>
                    </w:rPr>
                  </w:pPr>
                  <w:r>
                    <w:rPr>
                      <w:rFonts w:hint="eastAsia"/>
                      <w:color w:val="auto"/>
                      <w:lang w:val="en-US" w:eastAsia="zh-CN"/>
                    </w:rPr>
                    <w:t>制革等可能造成土壤污染的建设项目。</w:t>
                  </w:r>
                </w:p>
                <w:p>
                  <w:pPr>
                    <w:pStyle w:val="39"/>
                    <w:jc w:val="both"/>
                    <w:rPr>
                      <w:color w:val="auto"/>
                    </w:rPr>
                  </w:pPr>
                  <w:r>
                    <w:rPr>
                      <w:rFonts w:hint="eastAsia"/>
                      <w:color w:val="auto"/>
                      <w:lang w:val="en-US" w:eastAsia="zh-CN"/>
                    </w:rPr>
                    <w:t>9.在地下水超采区控制高耗水产业发展。</w:t>
                  </w:r>
                </w:p>
                <w:p>
                  <w:pPr>
                    <w:pStyle w:val="39"/>
                    <w:jc w:val="both"/>
                    <w:rPr>
                      <w:color w:val="auto"/>
                    </w:rPr>
                  </w:pPr>
                  <w:r>
                    <w:rPr>
                      <w:rFonts w:hint="eastAsia"/>
                      <w:color w:val="auto"/>
                      <w:lang w:val="en-US" w:eastAsia="zh-CN"/>
                    </w:rPr>
                    <w:t>10.涉重金属重点行业企业</w:t>
                  </w:r>
                </w:p>
                <w:p>
                  <w:pPr>
                    <w:pStyle w:val="39"/>
                    <w:jc w:val="both"/>
                    <w:rPr>
                      <w:rFonts w:hint="eastAsia"/>
                      <w:color w:val="auto"/>
                      <w:lang w:val="en-US" w:eastAsia="zh-CN"/>
                    </w:rPr>
                  </w:pPr>
                  <w:r>
                    <w:rPr>
                      <w:color w:val="auto"/>
                      <w:lang w:val="en-US" w:eastAsia="zh-CN"/>
                    </w:rPr>
                    <w:t>“</w:t>
                  </w:r>
                  <w:r>
                    <w:rPr>
                      <w:rFonts w:hint="eastAsia"/>
                      <w:color w:val="auto"/>
                      <w:lang w:val="en-US" w:eastAsia="zh-CN"/>
                    </w:rPr>
                    <w:t>十四五</w:t>
                  </w:r>
                  <w:r>
                    <w:rPr>
                      <w:color w:val="auto"/>
                      <w:lang w:val="en-US" w:eastAsia="zh-CN"/>
                    </w:rPr>
                    <w:t>”</w:t>
                  </w:r>
                  <w:r>
                    <w:rPr>
                      <w:rFonts w:hint="eastAsia"/>
                      <w:color w:val="auto"/>
                      <w:lang w:val="en-US" w:eastAsia="zh-CN"/>
                    </w:rPr>
                    <w:t>期间依法依规至少开展一轮强制性清洁生产审核，到</w:t>
                  </w:r>
                  <w:r>
                    <w:rPr>
                      <w:color w:val="auto"/>
                      <w:lang w:val="en-US" w:eastAsia="zh-CN"/>
                    </w:rPr>
                    <w:t>2025</w:t>
                  </w:r>
                  <w:r>
                    <w:rPr>
                      <w:rFonts w:hint="eastAsia"/>
                      <w:color w:val="auto"/>
                      <w:lang w:val="en-US" w:eastAsia="zh-CN"/>
                    </w:rPr>
                    <w:t>年底，涉重金属重点行业企业基本达到国内清洁生产先进水平。</w:t>
                  </w:r>
                </w:p>
                <w:p>
                  <w:pPr>
                    <w:pStyle w:val="39"/>
                    <w:jc w:val="both"/>
                    <w:rPr>
                      <w:color w:val="auto"/>
                    </w:rPr>
                  </w:pPr>
                  <w:r>
                    <w:rPr>
                      <w:color w:val="auto"/>
                      <w:lang w:val="en-US" w:eastAsia="zh-CN"/>
                    </w:rPr>
                    <w:t>11</w:t>
                  </w:r>
                  <w:r>
                    <w:rPr>
                      <w:rFonts w:hint="eastAsia"/>
                      <w:color w:val="auto"/>
                      <w:lang w:val="en-US" w:eastAsia="zh-CN"/>
                    </w:rPr>
                    <w:t xml:space="preserve">、按照《关于进一步加强塑料污染治理的实施方案》要求，石家庄城市建成区和重点领域禁止、限制部分塑料制品的生产、 </w:t>
                  </w:r>
                </w:p>
                <w:p>
                  <w:pPr>
                    <w:pStyle w:val="39"/>
                    <w:jc w:val="both"/>
                    <w:rPr>
                      <w:rFonts w:hint="eastAsia"/>
                      <w:color w:val="auto"/>
                      <w:lang w:val="en-US" w:eastAsia="zh-CN"/>
                    </w:rPr>
                  </w:pPr>
                  <w:r>
                    <w:rPr>
                      <w:rFonts w:hint="eastAsia"/>
                      <w:color w:val="auto"/>
                      <w:lang w:val="en-US" w:eastAsia="zh-CN"/>
                    </w:rPr>
                    <w:t>销售和使用。</w:t>
                  </w:r>
                </w:p>
                <w:p>
                  <w:pPr>
                    <w:pStyle w:val="39"/>
                    <w:jc w:val="both"/>
                    <w:rPr>
                      <w:color w:val="auto"/>
                    </w:rPr>
                  </w:pPr>
                  <w:r>
                    <w:rPr>
                      <w:color w:val="auto"/>
                      <w:lang w:val="en-US" w:eastAsia="zh-CN"/>
                    </w:rPr>
                    <w:t>12</w:t>
                  </w:r>
                  <w:r>
                    <w:rPr>
                      <w:rFonts w:hint="eastAsia"/>
                      <w:color w:val="auto"/>
                      <w:lang w:val="en-US" w:eastAsia="zh-CN"/>
                    </w:rPr>
                    <w:t xml:space="preserve">、实施制造业绿色改造重点专项，开展制造业绿色发展示范工程，推进生物医药、化工、钢铁 </w:t>
                  </w:r>
                </w:p>
                <w:p>
                  <w:pPr>
                    <w:pStyle w:val="39"/>
                    <w:jc w:val="both"/>
                    <w:rPr>
                      <w:rFonts w:hint="eastAsia"/>
                      <w:color w:val="auto"/>
                      <w:lang w:val="en-US" w:eastAsia="zh-CN"/>
                    </w:rPr>
                  </w:pPr>
                  <w:r>
                    <w:rPr>
                      <w:rFonts w:hint="eastAsia"/>
                      <w:color w:val="auto"/>
                      <w:lang w:val="en-US" w:eastAsia="zh-CN"/>
                    </w:rPr>
                    <w:t>等行业工艺技术装备绿色化改造。鼓励企业实施绿色战略、绿色标准、绿色管理和绿色生产，推行</w:t>
                  </w:r>
                  <w:r>
                    <w:rPr>
                      <w:color w:val="auto"/>
                      <w:lang w:val="en-US" w:eastAsia="zh-CN"/>
                    </w:rPr>
                    <w:t>“</w:t>
                  </w:r>
                  <w:r>
                    <w:rPr>
                      <w:rFonts w:hint="eastAsia"/>
                      <w:color w:val="auto"/>
                      <w:lang w:val="en-US" w:eastAsia="zh-CN"/>
                    </w:rPr>
                    <w:t>互联网</w:t>
                  </w:r>
                  <w:r>
                    <w:rPr>
                      <w:color w:val="auto"/>
                      <w:lang w:val="en-US" w:eastAsia="zh-CN"/>
                    </w:rPr>
                    <w:t>+</w:t>
                  </w:r>
                  <w:r>
                    <w:rPr>
                      <w:rFonts w:hint="eastAsia"/>
                      <w:color w:val="auto"/>
                      <w:lang w:val="en-US" w:eastAsia="zh-CN"/>
                    </w:rPr>
                    <w:t>绿色制造</w:t>
                  </w:r>
                  <w:r>
                    <w:rPr>
                      <w:color w:val="auto"/>
                      <w:lang w:val="en-US" w:eastAsia="zh-CN"/>
                    </w:rPr>
                    <w:t>”</w:t>
                  </w:r>
                  <w:r>
                    <w:rPr>
                      <w:rFonts w:hint="eastAsia"/>
                      <w:color w:val="auto"/>
                      <w:lang w:val="en-US" w:eastAsia="zh-CN"/>
                    </w:rPr>
                    <w:t xml:space="preserve">模式，开发绿色产品，建设绿色工厂，打造绿色供应链，构建绿色制造体系。大力发展节能环保、清洁生产和清洁能源产业。在钢铁、火电、水泥、化工等重点行业推广低碳节能技术改造，探索开展碳捕集、利用与封存试验示范，控制工业领域温室气体排放。加快构建绿色低碳的综合交通运输体系，实施一批绿色公路、绿 </w:t>
                  </w:r>
                </w:p>
                <w:p>
                  <w:pPr>
                    <w:pStyle w:val="39"/>
                    <w:jc w:val="both"/>
                    <w:rPr>
                      <w:rFonts w:hint="eastAsia"/>
                      <w:color w:val="auto"/>
                      <w:lang w:val="en-US" w:eastAsia="zh-CN"/>
                    </w:rPr>
                  </w:pPr>
                  <w:r>
                    <w:rPr>
                      <w:rFonts w:hint="eastAsia"/>
                      <w:color w:val="auto"/>
                      <w:lang w:val="en-US" w:eastAsia="zh-CN"/>
                    </w:rPr>
                    <w:t>色机场等示范工程。全面推行清洁生产，推进钢铁、石化、建材、纺织、食品等重点行业强制性清洁生产审核。</w:t>
                  </w:r>
                </w:p>
                <w:p>
                  <w:pPr>
                    <w:pStyle w:val="39"/>
                    <w:jc w:val="both"/>
                    <w:rPr>
                      <w:rFonts w:hint="eastAsia"/>
                      <w:color w:val="auto"/>
                      <w:lang w:val="en-US" w:eastAsia="zh-CN"/>
                    </w:rPr>
                  </w:pPr>
                  <w:r>
                    <w:rPr>
                      <w:rFonts w:hint="eastAsia"/>
                      <w:color w:val="auto"/>
                      <w:lang w:val="en-US" w:eastAsia="zh-CN"/>
                    </w:rPr>
                    <w:t xml:space="preserve">13.新建、改建、扩建“两高”项 </w:t>
                  </w:r>
                </w:p>
                <w:p>
                  <w:pPr>
                    <w:pStyle w:val="39"/>
                    <w:jc w:val="both"/>
                    <w:rPr>
                      <w:rFonts w:hint="eastAsia"/>
                      <w:color w:val="auto"/>
                      <w:lang w:val="en-US" w:eastAsia="zh-CN"/>
                    </w:rPr>
                  </w:pPr>
                  <w:r>
                    <w:rPr>
                      <w:rFonts w:hint="eastAsia"/>
                      <w:color w:val="auto"/>
                      <w:lang w:val="en-US" w:eastAsia="zh-CN"/>
                    </w:rPr>
                    <w:t xml:space="preserve">目须符合生态环境保护法律法规和相关法定规划，满足重点污染物排放总量控制、碳排放达峰目标、生态环境准入清单、相关规划环评和相应行业建设项目环境准入条件、环评文件审批原则要求。新增主要污染物排放量 </w:t>
                  </w:r>
                </w:p>
                <w:p>
                  <w:pPr>
                    <w:pStyle w:val="39"/>
                    <w:jc w:val="both"/>
                    <w:rPr>
                      <w:rFonts w:hint="eastAsia"/>
                      <w:color w:val="auto"/>
                      <w:lang w:val="en-US" w:eastAsia="zh-CN"/>
                    </w:rPr>
                  </w:pPr>
                  <w:r>
                    <w:rPr>
                      <w:rFonts w:hint="eastAsia"/>
                      <w:color w:val="auto"/>
                      <w:lang w:val="en-US" w:eastAsia="zh-CN"/>
                    </w:rPr>
                    <w:t xml:space="preserve">的“两高”项目，严格落实生态环境部《关于加强重点行业建设项目区域削减措施监督管理的通知要求》，提出有效区域削减方案，主要污染物实行区域倍量削减，规范削减措施来源，强化建设单位、出让减排量排污单位 </w:t>
                  </w:r>
                </w:p>
                <w:p>
                  <w:pPr>
                    <w:pStyle w:val="39"/>
                    <w:jc w:val="both"/>
                    <w:rPr>
                      <w:rFonts w:hint="eastAsia"/>
                      <w:color w:val="auto"/>
                      <w:lang w:val="en-US" w:eastAsia="zh-CN"/>
                    </w:rPr>
                  </w:pPr>
                  <w:r>
                    <w:rPr>
                      <w:rFonts w:hint="eastAsia"/>
                      <w:color w:val="auto"/>
                      <w:lang w:val="en-US" w:eastAsia="zh-CN"/>
                    </w:rPr>
                    <w:t>和地方政府责任，确保落实区域削减措施。</w:t>
                  </w:r>
                </w:p>
                <w:p>
                  <w:pPr>
                    <w:pStyle w:val="39"/>
                    <w:jc w:val="both"/>
                    <w:rPr>
                      <w:rFonts w:hint="eastAsia"/>
                      <w:color w:val="auto"/>
                      <w:lang w:val="en-US" w:eastAsia="zh-CN"/>
                    </w:rPr>
                  </w:pPr>
                  <w:r>
                    <w:rPr>
                      <w:rFonts w:hint="eastAsia"/>
                      <w:color w:val="auto"/>
                      <w:lang w:val="en-US" w:eastAsia="zh-CN"/>
                    </w:rPr>
                    <w:t xml:space="preserve">14.省级人民政府及其有关部门批准设立的经济技术开发区、高新技术产业开发区、旅游度假区等产业园区及市级人民政府批准设立的各类产业园区，在编制开发建设有关规划时，应依法开展规划环评工作，编制环境影响报告书。涉及“一区多园”的 </w:t>
                  </w:r>
                </w:p>
                <w:p>
                  <w:pPr>
                    <w:pStyle w:val="39"/>
                    <w:jc w:val="both"/>
                    <w:rPr>
                      <w:color w:val="auto"/>
                    </w:rPr>
                  </w:pPr>
                  <w:r>
                    <w:rPr>
                      <w:rFonts w:hint="eastAsia"/>
                      <w:color w:val="auto"/>
                      <w:lang w:val="en-US" w:eastAsia="zh-CN"/>
                    </w:rPr>
                    <w:t>产业园区，应整体开展规划环境影响评价(跟踪评价)工作，实现规划环评“一本制”。</w:t>
                  </w:r>
                </w:p>
              </w:tc>
              <w:tc>
                <w:tcPr>
                  <w:tcW w:w="2749" w:type="dxa"/>
                  <w:tcBorders>
                    <w:left w:val="single" w:sz="2" w:space="0" w:color="000000"/>
                  </w:tcBorders>
                  <w:vAlign w:val="center"/>
                </w:tcPr>
                <w:p>
                  <w:pPr>
                    <w:pStyle w:val="39"/>
                    <w:rPr>
                      <w:rFonts w:eastAsia="宋体"/>
                      <w:color w:val="auto"/>
                      <w:lang w:val="en-US" w:eastAsia="zh-CN"/>
                    </w:rPr>
                  </w:pPr>
                  <w:r>
                    <w:rPr>
                      <w:rFonts w:hint="eastAsia"/>
                      <w:color w:val="auto"/>
                      <w:highlight w:val="none"/>
                    </w:rPr>
                    <w:t>本项目属于</w:t>
                  </w:r>
                  <w:r>
                    <w:rPr>
                      <w:rFonts w:hint="eastAsia"/>
                      <w:color w:val="auto"/>
                      <w:lang w:val="en-US" w:eastAsia="zh-CN"/>
                      <w:highlight w:val="none"/>
                    </w:rPr>
                    <w:t>复混肥料制造业</w:t>
                  </w:r>
                  <w:r>
                    <w:rPr>
                      <w:rFonts w:hint="eastAsia"/>
                      <w:color w:val="auto"/>
                      <w:highlight w:val="none"/>
                    </w:rPr>
                    <w:t>，项目不设锅炉，不属于钢铁、水泥、平板玻璃、焦化、化工、制药等行业；本项目不属于《产业结构调整指导目录（2024年本）》中限制、淘汰类项目；不在《市场准入负面清单（</w:t>
                  </w:r>
                  <w:r>
                    <w:rPr>
                      <w:rFonts w:hint="eastAsia"/>
                      <w:color w:val="auto"/>
                      <w:lang w:val="en-US" w:eastAsia="zh-CN"/>
                      <w:highlight w:val="none"/>
                    </w:rPr>
                    <w:t>2025</w:t>
                  </w:r>
                  <w:r>
                    <w:rPr>
                      <w:rFonts w:hint="eastAsia"/>
                      <w:color w:val="auto"/>
                      <w:highlight w:val="none"/>
                    </w:rPr>
                    <w:t>年版）</w:t>
                  </w:r>
                  <w:r>
                    <w:rPr>
                      <w:rFonts w:hint="eastAsia"/>
                      <w:color w:val="auto"/>
                      <w:lang w:eastAsia="zh-CN"/>
                      <w:highlight w:val="none"/>
                    </w:rPr>
                    <w:t>》</w:t>
                  </w:r>
                  <w:r>
                    <w:rPr>
                      <w:rFonts w:hint="eastAsia"/>
                      <w:color w:val="auto"/>
                      <w:highlight w:val="none"/>
                    </w:rPr>
                    <w:t>负面清单内。符合国家产业政策要求。</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tcW w:w="662" w:type="dxa"/>
                  <w:vMerge w:val="restart"/>
                  <w:vAlign w:val="center"/>
                </w:tcPr>
                <w:p>
                  <w:pPr>
                    <w:pStyle w:val="39"/>
                    <w:rPr>
                      <w:color w:val="auto"/>
                    </w:rPr>
                  </w:pPr>
                  <w:r>
                    <w:rPr>
                      <w:rFonts w:hint="eastAsia"/>
                      <w:color w:val="auto"/>
                    </w:rPr>
                    <w:t>大气环境准入要求</w:t>
                  </w:r>
                </w:p>
              </w:tc>
              <w:tc>
                <w:tcPr>
                  <w:tcW w:w="442" w:type="dxa"/>
                  <w:tcBorders>
                    <w:left w:val="single" w:sz="2" w:space="0" w:color="000000"/>
                  </w:tcBorders>
                  <w:vAlign w:val="center"/>
                </w:tcPr>
                <w:p>
                  <w:pPr>
                    <w:pStyle w:val="39"/>
                    <w:rPr>
                      <w:color w:val="auto"/>
                    </w:rPr>
                  </w:pPr>
                  <w:r>
                    <w:rPr>
                      <w:rFonts w:hint="eastAsia"/>
                      <w:color w:val="auto"/>
                    </w:rPr>
                    <w:t>空间布局约束</w:t>
                  </w:r>
                </w:p>
              </w:tc>
              <w:tc>
                <w:tcPr>
                  <w:tcW w:w="2895" w:type="dxa"/>
                  <w:tcBorders>
                    <w:left w:val="single" w:sz="2" w:space="0" w:color="000000"/>
                  </w:tcBorders>
                  <w:vAlign w:val="center"/>
                </w:tcPr>
                <w:p>
                  <w:pPr>
                    <w:pStyle w:val="39"/>
                    <w:jc w:val="both"/>
                    <w:rPr>
                      <w:color w:val="auto"/>
                    </w:rPr>
                  </w:pPr>
                  <w:r>
                    <w:rPr>
                      <w:rFonts w:hint="eastAsia"/>
                      <w:color w:val="auto"/>
                    </w:rPr>
                    <w:t>1、加大钢铁、焦化等行业结构调整力度，推进化工、石化企业治理改造，优先发展战略新兴产业和先进制造业，坚决遏制高耗能高排放低水平项目盲目发展。</w:t>
                  </w:r>
                </w:p>
                <w:p>
                  <w:pPr>
                    <w:pStyle w:val="39"/>
                    <w:jc w:val="both"/>
                    <w:rPr>
                      <w:color w:val="auto"/>
                    </w:rPr>
                  </w:pPr>
                  <w:r>
                    <w:rPr>
                      <w:rFonts w:hint="eastAsia"/>
                      <w:color w:val="auto"/>
                    </w:rPr>
                    <w:t>2、引导重点行业向环境容量充足、扩散条件较好区域布局。</w:t>
                  </w:r>
                </w:p>
                <w:p>
                  <w:pPr>
                    <w:pStyle w:val="39"/>
                    <w:jc w:val="both"/>
                    <w:rPr>
                      <w:color w:val="auto"/>
                    </w:rPr>
                  </w:pPr>
                  <w:r>
                    <w:rPr>
                      <w:rFonts w:hint="eastAsia"/>
                      <w:color w:val="auto"/>
                    </w:rPr>
                    <w:t>3、大气环境受体敏感重点管控区、大气环境布局敏感重点管控区、大气环境弱扩散重点管控区严格控制高耗能、高排放项目建设。严禁新增钢铁、焦化、水泥、平板玻璃、电解铝等产能。</w:t>
                  </w:r>
                </w:p>
                <w:p>
                  <w:pPr>
                    <w:pStyle w:val="39"/>
                    <w:jc w:val="both"/>
                    <w:rPr>
                      <w:color w:val="auto"/>
                    </w:rPr>
                  </w:pPr>
                  <w:r>
                    <w:rPr>
                      <w:rFonts w:hint="eastAsia"/>
                      <w:color w:val="auto"/>
                    </w:rPr>
                    <w:t>4、大气环境受体敏感重点管控区中重点涉气行业企业，除必须依托城市或直接服务于城市的企业外，均应规划退城搬迁。</w:t>
                  </w:r>
                </w:p>
                <w:p>
                  <w:pPr>
                    <w:pStyle w:val="39"/>
                    <w:jc w:val="both"/>
                    <w:rPr>
                      <w:color w:val="auto"/>
                    </w:rPr>
                  </w:pPr>
                  <w:r>
                    <w:rPr>
                      <w:rFonts w:hint="eastAsia"/>
                      <w:color w:val="auto"/>
                    </w:rPr>
                    <w:t>5、大气环境弱扩散重点管控区内严格控制新建、扩建燃煤火电、钢铁，以及除国家、省、市规划外的石化等高污染高排放项目。</w:t>
                  </w:r>
                </w:p>
                <w:p>
                  <w:pPr>
                    <w:pStyle w:val="39"/>
                    <w:jc w:val="both"/>
                    <w:rPr>
                      <w:color w:val="auto"/>
                    </w:rPr>
                  </w:pPr>
                  <w:r>
                    <w:rPr>
                      <w:rFonts w:hint="eastAsia"/>
                      <w:color w:val="auto"/>
                    </w:rPr>
                    <w:t>6、对热效率低下、敞开未封闭，装备简易落后、自动化程度低，布局分散、规模小、无组织排放突出，以及无治理设施或治理设施工艺落后的工业炉窑，依法责令停业关闭。</w:t>
                  </w:r>
                </w:p>
                <w:p>
                  <w:pPr>
                    <w:pStyle w:val="39"/>
                    <w:jc w:val="both"/>
                    <w:rPr>
                      <w:color w:val="auto"/>
                    </w:rPr>
                  </w:pPr>
                  <w:r>
                    <w:rPr>
                      <w:rFonts w:hint="eastAsia"/>
                      <w:color w:val="auto"/>
                    </w:rPr>
                    <w:t>7、全市禁止新建35蒸吨/小时及以下燃煤锅炉，35蒸吨/小时以上燃煤锅炉要达到超低排放标准。城市主城区和县城禁止新建35蒸吨/小时及以下生物质和燃油(醇基燃料)锅炉，35蒸吨/小时以上的燃油和生物质锅炉要达到超低排放标准。</w:t>
                  </w:r>
                </w:p>
                <w:p>
                  <w:pPr>
                    <w:pStyle w:val="39"/>
                    <w:jc w:val="both"/>
                    <w:rPr>
                      <w:color w:val="auto"/>
                    </w:rPr>
                  </w:pPr>
                  <w:r>
                    <w:rPr>
                      <w:rFonts w:hint="eastAsia"/>
                      <w:color w:val="auto"/>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2749" w:type="dxa"/>
                  <w:tcBorders>
                    <w:left w:val="single" w:sz="2" w:space="0" w:color="000000"/>
                  </w:tcBorders>
                  <w:vAlign w:val="center"/>
                </w:tcPr>
                <w:p>
                  <w:pPr>
                    <w:pStyle w:val="39"/>
                    <w:rPr>
                      <w:color w:val="auto"/>
                    </w:rPr>
                  </w:pPr>
                  <w:r>
                    <w:rPr>
                      <w:rFonts w:hint="eastAsia"/>
                      <w:color w:val="auto"/>
                    </w:rPr>
                    <w:t>本项目不属于钢铁、焦化、石化、水泥等高耗能、高排放企业；本项目不属于重点行业；本项目不涉及锅炉和炉窑的建设，生产用热采用</w:t>
                  </w:r>
                  <w:r>
                    <w:rPr>
                      <w:rFonts w:hint="eastAsia"/>
                      <w:color w:val="auto"/>
                      <w:lang w:val="en-US" w:eastAsia="zh-CN"/>
                    </w:rPr>
                    <w:t>天然气燃烧器加热</w:t>
                  </w:r>
                  <w:r>
                    <w:rPr>
                      <w:rFonts w:hint="eastAsia"/>
                      <w:color w:val="auto"/>
                    </w:rPr>
                    <w:t>。</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tcW w:w="662" w:type="dxa"/>
                  <w:vMerge/>
                  <w:vAlign w:val="center"/>
                </w:tcPr>
                <w:p/>
              </w:tc>
              <w:tc>
                <w:tcPr>
                  <w:tcW w:w="442" w:type="dxa"/>
                  <w:tcBorders>
                    <w:left w:val="single" w:sz="2" w:space="0" w:color="000000"/>
                  </w:tcBorders>
                  <w:vAlign w:val="center"/>
                </w:tcPr>
                <w:p>
                  <w:pPr>
                    <w:pStyle w:val="39"/>
                    <w:rPr>
                      <w:color w:val="auto"/>
                    </w:rPr>
                  </w:pPr>
                  <w:r>
                    <w:rPr>
                      <w:rFonts w:hint="eastAsia"/>
                      <w:color w:val="auto"/>
                    </w:rPr>
                    <w:t>污染物排放管控</w:t>
                  </w:r>
                </w:p>
              </w:tc>
              <w:tc>
                <w:tcPr>
                  <w:tcW w:w="2895" w:type="dxa"/>
                  <w:tcBorders>
                    <w:left w:val="single" w:sz="2" w:space="0" w:color="000000"/>
                  </w:tcBorders>
                  <w:vAlign w:val="center"/>
                </w:tcPr>
                <w:p>
                  <w:pPr>
                    <w:pStyle w:val="39"/>
                    <w:jc w:val="both"/>
                    <w:rPr>
                      <w:color w:val="auto"/>
                    </w:rPr>
                  </w:pPr>
                  <w:r>
                    <w:rPr>
                      <w:rFonts w:hint="eastAsia"/>
                      <w:color w:val="auto"/>
                    </w:rPr>
                    <w:t>1、严格区域削减要求。严格执行《生态环境部办公厅关于加强重点行业建设项目区域削减措施监督管理的通知》(环办环评〔2020〕36号)相关要求。</w:t>
                  </w:r>
                </w:p>
                <w:p>
                  <w:pPr>
                    <w:pStyle w:val="39"/>
                    <w:jc w:val="both"/>
                    <w:rPr>
                      <w:color w:val="auto"/>
                    </w:rPr>
                  </w:pPr>
                  <w:r>
                    <w:rPr>
                      <w:rFonts w:hint="eastAsia"/>
                      <w:color w:val="auto"/>
                    </w:rPr>
                    <w:t>2、对保留的工业炉窑开展环保提标改造，配套建设高效脱硫脱硝除尘设施，确保稳定达标排放，按照《河北省工业炉窑综合治理实施方案》执行。</w:t>
                  </w:r>
                </w:p>
                <w:p>
                  <w:pPr>
                    <w:pStyle w:val="39"/>
                    <w:jc w:val="both"/>
                    <w:rPr>
                      <w:color w:val="auto"/>
                    </w:rPr>
                  </w:pPr>
                  <w:r>
                    <w:rPr>
                      <w:rFonts w:hint="eastAsia"/>
                      <w:color w:val="auto"/>
                    </w:rPr>
                    <w:t>3、按照《低挥发性有机化合物含量涂料产品技术要求》(GB/T 38597-2020)，开展低挥发性有机物含量涂料推广替代试点工作，加快推进党政机关单位定点印刷企业率先使用水性油墨、大豆油墨等低挥发性有机物含量油墨和胶粘剂。</w:t>
                  </w:r>
                </w:p>
                <w:p>
                  <w:pPr>
                    <w:pStyle w:val="39"/>
                    <w:jc w:val="both"/>
                    <w:rPr>
                      <w:color w:val="auto"/>
                    </w:rPr>
                  </w:pPr>
                  <w:r>
                    <w:rPr>
                      <w:rFonts w:hint="eastAsia"/>
                      <w:color w:val="auto"/>
                    </w:rPr>
                    <w:t>4、加强无组织排放治理，开展钢铁、水泥、燃煤电厂、焦化平板玻璃、陶瓷等行业重点行业无组织排放检查工作，物料存储运输等全部采用密闭或封闭形式。</w:t>
                  </w:r>
                </w:p>
                <w:p>
                  <w:pPr>
                    <w:pStyle w:val="39"/>
                    <w:jc w:val="both"/>
                    <w:rPr>
                      <w:color w:val="auto"/>
                    </w:rPr>
                  </w:pPr>
                  <w:r>
                    <w:rPr>
                      <w:rFonts w:hint="eastAsia"/>
                      <w:color w:val="auto"/>
                    </w:rPr>
                    <w:t>5、加快推进铁路专用线建设，大宗货物及产品年货运量150万吨以上的企业原则上全部修建铁路专用线，达不到的采用清洁能源汽车或国六排放标准汽车代替。</w:t>
                  </w:r>
                </w:p>
                <w:p>
                  <w:pPr>
                    <w:pStyle w:val="39"/>
                    <w:jc w:val="both"/>
                    <w:rPr>
                      <w:color w:val="auto"/>
                    </w:rPr>
                  </w:pPr>
                  <w:r>
                    <w:rPr>
                      <w:rFonts w:hint="eastAsia"/>
                      <w:color w:val="auto"/>
                    </w:rPr>
                    <w:t>6、深化建筑施工扬尘专项整治，严格执行《石家庄市建设工程围挡设置和扬尘管理标准》加强道路扬尘综合整治。全市工业企业料堆场全部实现规范管理；对环境敏感区的煤场、料场、渣场实现在线监控和视频监控全覆盖。</w:t>
                  </w:r>
                </w:p>
                <w:p>
                  <w:pPr>
                    <w:pStyle w:val="39"/>
                    <w:jc w:val="both"/>
                    <w:rPr>
                      <w:color w:val="auto"/>
                    </w:rPr>
                  </w:pPr>
                  <w:r>
                    <w:rPr>
                      <w:rFonts w:hint="eastAsia"/>
                      <w:color w:val="auto"/>
                    </w:rPr>
                    <w:t>7、严禁秸秆、垃圾露天焚烧，实施农村地区的散煤替代及清洁开发利用工程。</w:t>
                  </w:r>
                </w:p>
                <w:p>
                  <w:pPr>
                    <w:pStyle w:val="39"/>
                    <w:jc w:val="both"/>
                    <w:rPr>
                      <w:color w:val="auto"/>
                    </w:rPr>
                  </w:pPr>
                  <w:r>
                    <w:rPr>
                      <w:rFonts w:hint="eastAsia"/>
                      <w:color w:val="auto"/>
                    </w:rPr>
                    <w:t>8、巩固钢铁、焦化、煤电、水泥、平板玻璃、陶瓷等行业超低排放成效，实施工艺全流程深度治理，全面加强无组织排放管控。</w:t>
                  </w:r>
                </w:p>
                <w:p>
                  <w:pPr>
                    <w:pStyle w:val="39"/>
                    <w:jc w:val="both"/>
                    <w:rPr>
                      <w:color w:val="auto"/>
                    </w:rPr>
                  </w:pPr>
                  <w:r>
                    <w:rPr>
                      <w:rFonts w:hint="eastAsia"/>
                      <w:color w:val="auto"/>
                    </w:rPr>
                    <w:t>9、对以煤、石油焦、重油等为燃料的工业炉窑，加快使用清洁低碳能源以及利用工厂余热、电厂热力等进行替代，全市禁止掺烧高硫石油焦(硫含量大于</w:t>
                  </w:r>
                </w:p>
              </w:tc>
              <w:tc>
                <w:tcPr>
                  <w:tcW w:w="2749" w:type="dxa"/>
                  <w:tcBorders>
                    <w:left w:val="single" w:sz="2" w:space="0" w:color="000000"/>
                  </w:tcBorders>
                  <w:vAlign w:val="center"/>
                </w:tcPr>
                <w:p>
                  <w:pPr>
                    <w:pStyle w:val="39"/>
                    <w:rPr>
                      <w:color w:val="auto"/>
                    </w:rPr>
                  </w:pPr>
                  <w:r>
                    <w:rPr>
                      <w:rFonts w:hint="eastAsia"/>
                      <w:color w:val="auto"/>
                    </w:rPr>
                    <w:t>本项目属于</w:t>
                  </w:r>
                  <w:r>
                    <w:rPr>
                      <w:rFonts w:hint="eastAsia"/>
                      <w:color w:val="auto"/>
                      <w:lang w:val="en-US" w:eastAsia="zh-CN"/>
                    </w:rPr>
                    <w:t>复混肥料制造业，企业现有工程热风炉废气密闭收集后经通过15m排气筒P3达标排放。</w:t>
                  </w:r>
                  <w:r>
                    <w:rPr>
                      <w:rFonts w:hint="eastAsia"/>
                      <w:color w:val="auto"/>
                    </w:rPr>
                    <w:t>本项目</w:t>
                  </w:r>
                  <w:r>
                    <w:rPr>
                      <w:rFonts w:hint="eastAsia"/>
                      <w:color w:val="auto"/>
                      <w:lang w:val="en-US" w:eastAsia="zh-CN"/>
                    </w:rPr>
                    <w:t>不使用涂料</w:t>
                  </w:r>
                  <w:r>
                    <w:rPr>
                      <w:rFonts w:hint="eastAsia"/>
                      <w:color w:val="auto"/>
                    </w:rPr>
                    <w:t>；施工期严格落实河北省、石家庄市扬尘治理措施要求。</w:t>
                  </w:r>
                </w:p>
              </w:tc>
              <w:tc>
                <w:tcPr>
                  <w:tcBorders>
                    <w:left w:val="single" w:sz="2" w:space="0" w:color="000000"/>
                  </w:tcBorders>
                  <w:vAlign w:val="center"/>
                </w:tcPr>
                <w:p>
                  <w:pPr>
                    <w:pStyle w:val="39"/>
                    <w:rPr>
                      <w:color w:val="auto"/>
                    </w:rPr>
                  </w:pPr>
                  <w:r>
                    <w:rPr>
                      <w:rFonts w:hint="eastAsia"/>
                      <w:color w:val="auto"/>
                    </w:rPr>
                    <w:t>符合</w:t>
                  </w:r>
                </w:p>
              </w:tc>
            </w:tr>
            <w:tr>
              <w:trPr>
                <w:trHeight w:val="556"/>
              </w:trPr>
              <w:tc>
                <w:tcPr>
                  <w:tcW w:w="662" w:type="dxa"/>
                  <w:vMerge/>
                  <w:vAlign w:val="center"/>
                </w:tcPr>
                <w:p/>
              </w:tc>
              <w:tc>
                <w:tcPr>
                  <w:tcW w:w="442" w:type="dxa"/>
                  <w:tcBorders>
                    <w:left w:val="single" w:sz="2" w:space="0" w:color="000000"/>
                  </w:tcBorders>
                  <w:vAlign w:val="center"/>
                </w:tcPr>
                <w:p>
                  <w:pPr>
                    <w:pStyle w:val="39"/>
                    <w:rPr>
                      <w:color w:val="auto"/>
                    </w:rPr>
                  </w:pPr>
                  <w:r>
                    <w:rPr>
                      <w:rFonts w:hint="eastAsia"/>
                      <w:color w:val="auto"/>
                    </w:rPr>
                    <w:t>环境风险 防控</w:t>
                  </w:r>
                </w:p>
              </w:tc>
              <w:tc>
                <w:tcPr>
                  <w:tcW w:w="2895" w:type="dxa"/>
                  <w:tcBorders>
                    <w:left w:val="single" w:sz="2" w:space="0" w:color="000000"/>
                  </w:tcBorders>
                  <w:vAlign w:val="center"/>
                </w:tcPr>
                <w:p>
                  <w:pPr>
                    <w:pStyle w:val="39"/>
                    <w:jc w:val="both"/>
                    <w:rPr>
                      <w:color w:val="auto"/>
                    </w:rPr>
                  </w:pPr>
                  <w:r>
                    <w:rPr>
                      <w:rFonts w:hint="eastAsia"/>
                      <w:color w:val="auto"/>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2749" w:type="dxa"/>
                  <w:tcBorders>
                    <w:left w:val="single" w:sz="2" w:space="0" w:color="000000"/>
                  </w:tcBorders>
                  <w:vAlign w:val="center"/>
                </w:tcPr>
                <w:p>
                  <w:pPr>
                    <w:pStyle w:val="39"/>
                    <w:rPr>
                      <w:color w:val="auto"/>
                    </w:rPr>
                  </w:pPr>
                  <w:r>
                    <w:rPr>
                      <w:rFonts w:hint="eastAsia"/>
                      <w:color w:val="auto"/>
                    </w:rPr>
                    <w:t>本项目不涉及国家《重点管控新污染物清单》（2023年版）（部令第28号）中的污染物</w:t>
                  </w:r>
                </w:p>
              </w:tc>
              <w:tc>
                <w:tcPr>
                  <w:tcBorders>
                    <w:left w:val="single" w:sz="2" w:space="0" w:color="000000"/>
                  </w:tcBorders>
                  <w:vAlign w:val="center"/>
                </w:tcPr>
                <w:p>
                  <w:pPr>
                    <w:pStyle w:val="39"/>
                    <w:rPr>
                      <w:color w:val="auto"/>
                    </w:rPr>
                  </w:pPr>
                  <w:r>
                    <w:rPr>
                      <w:rFonts w:hint="eastAsia"/>
                      <w:color w:val="auto"/>
                    </w:rPr>
                    <w:t>符合</w:t>
                  </w:r>
                </w:p>
              </w:tc>
            </w:tr>
          </w:tbl>
          <w:p>
            <w:pPr>
              <w:rPr>
                <w:color w:val="auto"/>
              </w:rPr>
            </w:pPr>
            <w:r>
              <w:rPr>
                <w:rFonts w:hint="eastAsia"/>
                <w:color w:val="auto"/>
              </w:rPr>
              <w:t>根据查阅河北省三线一单管理平台-公众版可知，本项目属管控单元编号ZH13011120060。本项目与栾城区重点管控单元生态环境准入清单符合性分析，详见下表。</w:t>
            </w:r>
          </w:p>
          <w:p>
            <w:pPr>
              <w:pStyle w:val="40"/>
              <w:rPr>
                <w:color w:val="auto"/>
              </w:rPr>
            </w:pPr>
            <w:r>
              <w:rPr>
                <w:color w:val="auto"/>
              </w:rPr>
              <w:t>表1-</w:t>
            </w:r>
            <w:r>
              <w:rPr>
                <w:rFonts w:hint="eastAsia"/>
                <w:color w:val="auto"/>
              </w:rPr>
              <w:t xml:space="preserve">2  </w:t>
            </w:r>
            <w:r>
              <w:rPr>
                <w:color w:val="auto"/>
              </w:rPr>
              <w:t>栾城区重点管控单元生态环境准入清单</w:t>
            </w:r>
          </w:p>
          <w:tbl>
            <w:tblPr>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0" w:type="dxa"/>
                <w:bottom w:w="0" w:type="dxa"/>
                <w:right w:w="0" w:type="dxa"/>
              </w:tblCellMar>
              <w:tblLook w:val="0600" w:firstRow="0" w:lastRow="0" w:firstColumn="0" w:lastColumn="0" w:noHBand="1" w:noVBand="1"/>
            </w:tblPr>
            <w:tblGrid>
              <w:gridCol w:w="1440"/>
              <w:gridCol w:w="466"/>
              <w:gridCol w:w="3617"/>
              <w:gridCol w:w="1196"/>
              <w:gridCol w:w="333"/>
            </w:tblGrid>
            <w:tr>
              <w:trPr>
                <w:trHeight w:val="23"/>
              </w:trPr>
              <w:tc>
                <w:tcPr>
                  <w:vAlign w:val="center"/>
                </w:tcPr>
                <w:p>
                  <w:pPr>
                    <w:pStyle w:val="39"/>
                    <w:rPr>
                      <w:color w:val="auto"/>
                    </w:rPr>
                  </w:pPr>
                  <w:r>
                    <w:rPr>
                      <w:color w:val="auto"/>
                    </w:rPr>
                    <w:t>单元</w:t>
                  </w:r>
                  <w:r>
                    <w:rPr>
                      <w:rFonts w:hint="eastAsia"/>
                      <w:color w:val="auto"/>
                    </w:rPr>
                    <w:t>编码</w:t>
                  </w:r>
                </w:p>
              </w:tc>
              <w:tc>
                <w:tcPr>
                  <w:vAlign w:val="center"/>
                </w:tcPr>
                <w:p>
                  <w:pPr>
                    <w:pStyle w:val="39"/>
                    <w:rPr>
                      <w:color w:val="auto"/>
                    </w:rPr>
                  </w:pPr>
                  <w:r>
                    <w:rPr>
                      <w:color w:val="auto"/>
                    </w:rPr>
                    <w:t>维度</w:t>
                  </w:r>
                </w:p>
              </w:tc>
              <w:tc>
                <w:tcPr>
                  <w:vAlign w:val="center"/>
                </w:tcPr>
                <w:p>
                  <w:pPr>
                    <w:pStyle w:val="39"/>
                    <w:rPr>
                      <w:color w:val="auto"/>
                    </w:rPr>
                  </w:pPr>
                  <w:r>
                    <w:rPr>
                      <w:color w:val="auto"/>
                    </w:rPr>
                    <w:t>管控措施</w:t>
                  </w:r>
                </w:p>
              </w:tc>
              <w:tc>
                <w:tcPr>
                  <w:vAlign w:val="center"/>
                </w:tcPr>
                <w:p>
                  <w:pPr>
                    <w:pStyle w:val="39"/>
                    <w:rPr>
                      <w:color w:val="auto"/>
                    </w:rPr>
                  </w:pPr>
                  <w:r>
                    <w:rPr>
                      <w:color w:val="auto"/>
                    </w:rPr>
                    <w:t>本项目情况</w:t>
                  </w:r>
                </w:p>
              </w:tc>
              <w:tc>
                <w:tcPr>
                  <w:vAlign w:val="center"/>
                </w:tcPr>
                <w:p>
                  <w:pPr>
                    <w:pStyle w:val="39"/>
                    <w:rPr>
                      <w:color w:val="auto"/>
                    </w:rPr>
                  </w:pPr>
                  <w:r>
                    <w:rPr>
                      <w:color w:val="auto"/>
                    </w:rPr>
                    <w:t>政策符合性</w:t>
                  </w:r>
                </w:p>
              </w:tc>
            </w:tr>
            <w:tr>
              <w:trPr>
                <w:trHeight w:val="801"/>
              </w:trPr>
              <w:tc>
                <w:tcPr>
                  <w:vMerge w:val="restart"/>
                  <w:vAlign w:val="center"/>
                </w:tcPr>
                <w:p>
                  <w:pPr>
                    <w:pStyle w:val="39"/>
                    <w:rPr>
                      <w:color w:val="auto"/>
                    </w:rPr>
                  </w:pPr>
                  <w:r>
                    <w:rPr>
                      <w:color w:val="auto"/>
                    </w:rPr>
                    <w:t>ZH13011120060</w:t>
                  </w:r>
                </w:p>
              </w:tc>
              <w:tc>
                <w:tcPr>
                  <w:tcBorders>
                    <w:left w:val="single" w:sz="2" w:space="0" w:color="000000"/>
                  </w:tcBorders>
                  <w:vAlign w:val="center"/>
                </w:tcPr>
                <w:p>
                  <w:pPr>
                    <w:pStyle w:val="39"/>
                    <w:rPr>
                      <w:color w:val="auto"/>
                    </w:rPr>
                  </w:pPr>
                  <w:r>
                    <w:rPr>
                      <w:color w:val="auto"/>
                    </w:rPr>
                    <w:t>空间布局</w:t>
                  </w:r>
                </w:p>
              </w:tc>
              <w:tc>
                <w:tcPr>
                  <w:tcBorders>
                    <w:left w:val="single" w:sz="2" w:space="0" w:color="000000"/>
                  </w:tcBorders>
                  <w:vAlign w:val="center"/>
                </w:tcPr>
                <w:p>
                  <w:pPr>
                    <w:pStyle w:val="39"/>
                    <w:rPr>
                      <w:rFonts w:eastAsia="宋体" w:hint="eastAsia"/>
                      <w:color w:val="auto"/>
                      <w:lang w:eastAsia="zh-CN"/>
                    </w:rPr>
                  </w:pPr>
                  <w:r>
                    <w:rPr>
                      <w:color w:val="auto"/>
                    </w:rPr>
                    <w:t>禁止新、改、扩建生产和使用涉高挥发性有机物含量的溶剂型涂料、油墨、胶粘剂的项目</w:t>
                  </w:r>
                  <w:r>
                    <w:rPr>
                      <w:rFonts w:hint="eastAsia"/>
                      <w:color w:val="auto"/>
                      <w:lang w:eastAsia="zh-CN"/>
                    </w:rPr>
                    <w:t>。</w:t>
                  </w:r>
                </w:p>
              </w:tc>
              <w:tc>
                <w:tcPr>
                  <w:tcBorders>
                    <w:left w:val="single" w:sz="2" w:space="0" w:color="000000"/>
                  </w:tcBorders>
                  <w:vAlign w:val="center"/>
                </w:tcPr>
                <w:p>
                  <w:pPr>
                    <w:pStyle w:val="39"/>
                    <w:rPr>
                      <w:color w:val="auto"/>
                    </w:rPr>
                  </w:pPr>
                  <w:r>
                    <w:rPr>
                      <w:rFonts w:hint="eastAsia"/>
                      <w:color w:val="auto"/>
                      <w:lang w:val="en-US" w:eastAsia="zh-CN"/>
                    </w:rPr>
                    <w:t>本项目不涉及。</w:t>
                  </w:r>
                </w:p>
              </w:tc>
              <w:tc>
                <w:tcPr>
                  <w:tcBorders>
                    <w:left w:val="single" w:sz="2" w:space="0" w:color="000000"/>
                  </w:tcBorders>
                  <w:vAlign w:val="center"/>
                </w:tcPr>
                <w:p>
                  <w:pPr>
                    <w:pStyle w:val="39"/>
                    <w:rPr>
                      <w:color w:val="auto"/>
                    </w:rPr>
                  </w:pPr>
                  <w:r>
                    <w:rPr>
                      <w:color w:val="auto"/>
                    </w:rPr>
                    <w:t>符合</w:t>
                  </w:r>
                </w:p>
              </w:tc>
            </w:tr>
            <w:tr>
              <w:trPr>
                <w:trHeight w:val="23"/>
              </w:trPr>
              <w:tc>
                <w:tcPr>
                  <w:vMerge/>
                  <w:vAlign w:val="center"/>
                </w:tcPr>
                <w:p/>
              </w:tc>
              <w:tc>
                <w:tcPr>
                  <w:tcBorders>
                    <w:left w:val="single" w:sz="2" w:space="0" w:color="000000"/>
                  </w:tcBorders>
                  <w:vAlign w:val="center"/>
                </w:tcPr>
                <w:p>
                  <w:pPr>
                    <w:pStyle w:val="39"/>
                    <w:rPr>
                      <w:color w:val="auto"/>
                    </w:rPr>
                  </w:pPr>
                  <w:r>
                    <w:rPr>
                      <w:color w:val="auto"/>
                    </w:rPr>
                    <w:t>污染物排放管控</w:t>
                  </w:r>
                </w:p>
              </w:tc>
              <w:tc>
                <w:tcPr>
                  <w:tcBorders>
                    <w:left w:val="single" w:sz="2" w:space="0" w:color="000000"/>
                  </w:tcBorders>
                  <w:vAlign w:val="center"/>
                </w:tcPr>
                <w:p>
                  <w:pPr>
                    <w:pStyle w:val="39"/>
                    <w:rPr>
                      <w:color w:val="auto"/>
                    </w:rPr>
                  </w:pPr>
                  <w:r>
                    <w:rPr>
                      <w:color w:val="auto"/>
                    </w:rPr>
                    <w:t>新（改、扩）建向环境水体直接排放污水的排污单位执行《子牙河流域水污染物排 放标准》（DB13/2796-2018）排放限值。</w:t>
                  </w:r>
                </w:p>
              </w:tc>
              <w:tc>
                <w:tcPr>
                  <w:tcBorders>
                    <w:left w:val="single" w:sz="2" w:space="0" w:color="000000"/>
                  </w:tcBorders>
                  <w:vAlign w:val="center"/>
                </w:tcPr>
                <w:p>
                  <w:pPr>
                    <w:pStyle w:val="39"/>
                    <w:jc w:val="both"/>
                    <w:rPr>
                      <w:color w:val="auto"/>
                    </w:rPr>
                  </w:pPr>
                  <w:r>
                    <w:rPr>
                      <w:rFonts w:hint="eastAsia"/>
                      <w:color w:val="auto"/>
                    </w:rPr>
                    <w:t>本项目</w:t>
                  </w:r>
                  <w:r>
                    <w:rPr>
                      <w:rFonts w:hint="eastAsia"/>
                      <w:color w:val="auto"/>
                      <w:lang w:val="en-US" w:eastAsia="zh-CN"/>
                    </w:rPr>
                    <w:t>不新增用水量，不涉及废水排放</w:t>
                  </w:r>
                  <w:r>
                    <w:rPr>
                      <w:rFonts w:hint="eastAsia"/>
                      <w:color w:val="auto"/>
                    </w:rPr>
                    <w:t>。</w:t>
                  </w:r>
                </w:p>
              </w:tc>
              <w:tc>
                <w:tcPr>
                  <w:tcBorders>
                    <w:left w:val="single" w:sz="2" w:space="0" w:color="000000"/>
                  </w:tcBorders>
                  <w:vAlign w:val="center"/>
                </w:tcPr>
                <w:p>
                  <w:pPr>
                    <w:pStyle w:val="39"/>
                    <w:rPr>
                      <w:color w:val="auto"/>
                    </w:rPr>
                  </w:pPr>
                  <w:r>
                    <w:rPr>
                      <w:color w:val="auto"/>
                    </w:rPr>
                    <w:t>符合</w:t>
                  </w:r>
                </w:p>
              </w:tc>
            </w:tr>
            <w:tr>
              <w:trPr>
                <w:trHeight w:val="23"/>
              </w:trPr>
              <w:tc>
                <w:tcPr>
                  <w:vMerge/>
                  <w:vAlign w:val="center"/>
                </w:tcPr>
                <w:p/>
              </w:tc>
              <w:tc>
                <w:tcPr>
                  <w:tcBorders>
                    <w:left w:val="single" w:sz="2" w:space="0" w:color="000000"/>
                  </w:tcBorders>
                  <w:vAlign w:val="center"/>
                </w:tcPr>
                <w:p>
                  <w:pPr>
                    <w:pStyle w:val="39"/>
                    <w:rPr>
                      <w:color w:val="auto"/>
                    </w:rPr>
                  </w:pPr>
                  <w:r>
                    <w:rPr>
                      <w:color w:val="auto"/>
                    </w:rPr>
                    <w:t>环境风险防控</w:t>
                  </w:r>
                </w:p>
              </w:tc>
              <w:tc>
                <w:tcPr>
                  <w:tcBorders>
                    <w:left w:val="single" w:sz="2" w:space="0" w:color="000000"/>
                  </w:tcBorders>
                  <w:vAlign w:val="center"/>
                </w:tcPr>
                <w:p>
                  <w:pPr>
                    <w:pStyle w:val="39"/>
                    <w:rPr>
                      <w:rFonts w:eastAsia="宋体" w:hint="eastAsia"/>
                      <w:color w:val="auto"/>
                      <w:lang w:val="en-US" w:eastAsia="zh-CN"/>
                    </w:rPr>
                  </w:pPr>
                  <w:r>
                    <w:rPr>
                      <w:rFonts w:hint="eastAsia"/>
                      <w:color w:val="auto"/>
                      <w:lang w:val="en-US" w:eastAsia="zh-CN"/>
                    </w:rPr>
                    <w:t>/</w:t>
                  </w:r>
                </w:p>
              </w:tc>
              <w:tc>
                <w:tcPr>
                  <w:tcBorders>
                    <w:left w:val="single" w:sz="2" w:space="0" w:color="000000"/>
                  </w:tcBorders>
                  <w:vAlign w:val="center"/>
                </w:tcPr>
                <w:p>
                  <w:pPr>
                    <w:pStyle w:val="39"/>
                    <w:rPr>
                      <w:rFonts w:eastAsia="宋体" w:hint="eastAsia"/>
                      <w:color w:val="auto"/>
                      <w:lang w:val="en-US" w:eastAsia="zh-CN"/>
                    </w:rPr>
                  </w:pPr>
                  <w:r>
                    <w:rPr>
                      <w:rFonts w:hint="eastAsia"/>
                      <w:color w:val="auto"/>
                      <w:lang w:val="en-US" w:eastAsia="zh-CN"/>
                    </w:rPr>
                    <w:t>/</w:t>
                  </w:r>
                </w:p>
              </w:tc>
              <w:tc>
                <w:tcPr>
                  <w:tcBorders>
                    <w:left w:val="single" w:sz="2" w:space="0" w:color="000000"/>
                  </w:tcBorders>
                  <w:vAlign w:val="center"/>
                </w:tcPr>
                <w:p>
                  <w:pPr>
                    <w:pStyle w:val="39"/>
                    <w:rPr>
                      <w:color w:val="auto"/>
                    </w:rPr>
                  </w:pPr>
                  <w:r>
                    <w:rPr>
                      <w:rFonts w:hint="eastAsia"/>
                      <w:color w:val="auto"/>
                    </w:rPr>
                    <w:t>/</w:t>
                  </w:r>
                </w:p>
              </w:tc>
            </w:tr>
            <w:tr>
              <w:trPr>
                <w:trHeight w:val="23"/>
              </w:trPr>
              <w:tc>
                <w:tcPr>
                  <w:vMerge/>
                  <w:vAlign w:val="center"/>
                </w:tcPr>
                <w:p/>
              </w:tc>
              <w:tc>
                <w:tcPr>
                  <w:tcBorders>
                    <w:left w:val="single" w:sz="2" w:space="0" w:color="000000"/>
                  </w:tcBorders>
                  <w:vAlign w:val="center"/>
                </w:tcPr>
                <w:p>
                  <w:pPr>
                    <w:pStyle w:val="39"/>
                    <w:rPr>
                      <w:color w:val="auto"/>
                    </w:rPr>
                  </w:pPr>
                  <w:r>
                    <w:rPr>
                      <w:color w:val="auto"/>
                    </w:rPr>
                    <w:t>资源利用效率</w:t>
                  </w:r>
                </w:p>
              </w:tc>
              <w:tc>
                <w:tcPr>
                  <w:tcBorders>
                    <w:left w:val="single" w:sz="2" w:space="0" w:color="000000"/>
                  </w:tcBorders>
                  <w:vAlign w:val="center"/>
                </w:tcPr>
                <w:p>
                  <w:pPr>
                    <w:pStyle w:val="39"/>
                    <w:rPr>
                      <w:color w:val="auto"/>
                    </w:rPr>
                  </w:pPr>
                  <w:r>
                    <w:rPr>
                      <w:color w:val="auto"/>
                    </w:rPr>
                    <w:t>浅层地下水禁采区严格地下水最新管控要求。</w:t>
                  </w:r>
                </w:p>
              </w:tc>
              <w:tc>
                <w:tcPr>
                  <w:tcBorders>
                    <w:left w:val="single" w:sz="2" w:space="0" w:color="000000"/>
                  </w:tcBorders>
                  <w:vAlign w:val="center"/>
                </w:tcPr>
                <w:p>
                  <w:pPr>
                    <w:pStyle w:val="39"/>
                    <w:rPr>
                      <w:color w:val="auto"/>
                    </w:rPr>
                  </w:pPr>
                  <w:r>
                    <w:rPr>
                      <w:rFonts w:hint="eastAsia"/>
                      <w:color w:val="auto"/>
                    </w:rPr>
                    <w:t>本项目</w:t>
                  </w:r>
                  <w:r>
                    <w:rPr>
                      <w:rFonts w:hint="eastAsia"/>
                      <w:color w:val="auto"/>
                      <w:lang w:val="en-US" w:eastAsia="zh-CN"/>
                    </w:rPr>
                    <w:t>不新增用水</w:t>
                  </w:r>
                  <w:r>
                    <w:rPr>
                      <w:rFonts w:hint="eastAsia"/>
                      <w:color w:val="auto"/>
                    </w:rPr>
                    <w:t>，不涉及开采地下水。</w:t>
                  </w:r>
                </w:p>
              </w:tc>
              <w:tc>
                <w:tcPr>
                  <w:tcBorders>
                    <w:left w:val="single" w:sz="2" w:space="0" w:color="000000"/>
                  </w:tcBorders>
                  <w:vAlign w:val="center"/>
                </w:tcPr>
                <w:p>
                  <w:pPr>
                    <w:pStyle w:val="39"/>
                    <w:rPr>
                      <w:color w:val="auto"/>
                    </w:rPr>
                  </w:pPr>
                  <w:r>
                    <w:rPr>
                      <w:color w:val="auto"/>
                    </w:rPr>
                    <w:t>符合</w:t>
                  </w:r>
                </w:p>
              </w:tc>
            </w:tr>
          </w:tbl>
          <w:p>
            <w:pPr>
              <w:rPr>
                <w:b/>
                <w:bCs/>
                <w:color w:val="auto"/>
              </w:rPr>
            </w:pPr>
            <w:r>
              <w:rPr>
                <w:rFonts w:hint="eastAsia"/>
                <w:b/>
                <w:bCs/>
                <w:color w:val="auto"/>
                <w:lang w:val="en-US" w:eastAsia="zh-CN"/>
              </w:rPr>
              <w:t>4</w:t>
            </w:r>
            <w:r>
              <w:rPr>
                <w:b/>
                <w:bCs/>
                <w:color w:val="auto"/>
              </w:rPr>
              <w:t>、环境管理政策分析</w:t>
            </w:r>
          </w:p>
          <w:p>
            <w:pPr>
              <w:rPr>
                <w:b/>
                <w:bCs/>
                <w:color w:val="auto"/>
              </w:rPr>
            </w:pPr>
            <w:r>
              <w:rPr>
                <w:color w:val="auto"/>
              </w:rPr>
              <w:t>本项目与相关法律法规、规划符合性分析见下表。</w:t>
            </w:r>
          </w:p>
          <w:p>
            <w:pPr>
              <w:pStyle w:val="40"/>
              <w:rPr>
                <w:color w:val="auto"/>
              </w:rPr>
            </w:pPr>
            <w:r>
              <w:rPr>
                <w:color w:val="auto"/>
              </w:rPr>
              <w:t>表1-</w:t>
            </w:r>
            <w:r>
              <w:rPr>
                <w:rFonts w:hint="eastAsia"/>
                <w:color w:val="auto"/>
              </w:rPr>
              <w:t xml:space="preserve">3  </w:t>
            </w:r>
            <w:r>
              <w:rPr>
                <w:color w:val="auto"/>
              </w:rPr>
              <w:t>与相关法律法规及政策”符合性分析一览表</w:t>
            </w:r>
          </w:p>
          <w:tbl>
            <w:tblPr>
              <w:tblpPr w:leftFromText="180" w:rightFromText="180" w:vertAnchor="text" w:tblpXSpec="center" w:tblpY="1"/>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9"/>
              <w:gridCol w:w="462"/>
              <w:gridCol w:w="1377"/>
              <w:gridCol w:w="2305"/>
              <w:gridCol w:w="2029"/>
              <w:gridCol w:w="446"/>
            </w:tblGrid>
            <w:tr>
              <w:trPr>
                <w:trHeight w:val="57"/>
              </w:trPr>
              <w:tc>
                <w:tcPr>
                  <w:tcW w:w="431" w:type="dxa"/>
                  <w:vAlign w:val="center"/>
                </w:tcPr>
                <w:p>
                  <w:pPr>
                    <w:pStyle w:val="39"/>
                    <w:rPr>
                      <w:color w:val="auto"/>
                    </w:rPr>
                  </w:pPr>
                  <w:r>
                    <w:rPr>
                      <w:color w:val="auto"/>
                    </w:rPr>
                    <w:t>序号</w:t>
                  </w:r>
                </w:p>
              </w:tc>
              <w:tc>
                <w:tcPr>
                  <w:tcW w:w="1849" w:type="dxa"/>
                  <w:gridSpan w:val="2"/>
                  <w:vAlign w:val="center"/>
                </w:tcPr>
                <w:p>
                  <w:pPr>
                    <w:pStyle w:val="39"/>
                    <w:rPr>
                      <w:color w:val="auto"/>
                    </w:rPr>
                  </w:pPr>
                  <w:r>
                    <w:rPr>
                      <w:color w:val="auto"/>
                    </w:rPr>
                    <w:t>法律法规名称</w:t>
                  </w:r>
                </w:p>
              </w:tc>
              <w:tc>
                <w:tcPr>
                  <w:tcW w:w="2317" w:type="dxa"/>
                  <w:vAlign w:val="center"/>
                </w:tcPr>
                <w:p>
                  <w:pPr>
                    <w:pStyle w:val="39"/>
                    <w:rPr>
                      <w:color w:val="auto"/>
                    </w:rPr>
                  </w:pPr>
                  <w:r>
                    <w:rPr>
                      <w:color w:val="auto"/>
                    </w:rPr>
                    <w:t>相关法律法规及政策内容</w:t>
                  </w:r>
                </w:p>
              </w:tc>
              <w:tc>
                <w:tcPr>
                  <w:tcW w:w="2040" w:type="dxa"/>
                  <w:vAlign w:val="center"/>
                </w:tcPr>
                <w:p>
                  <w:pPr>
                    <w:pStyle w:val="39"/>
                    <w:rPr>
                      <w:color w:val="auto"/>
                    </w:rPr>
                  </w:pPr>
                  <w:r>
                    <w:rPr>
                      <w:color w:val="auto"/>
                    </w:rPr>
                    <w:t>本项目情况</w:t>
                  </w:r>
                </w:p>
              </w:tc>
              <w:tc>
                <w:tcPr>
                  <w:tcW w:w="448" w:type="dxa"/>
                  <w:vAlign w:val="center"/>
                </w:tcPr>
                <w:p>
                  <w:pPr>
                    <w:pStyle w:val="39"/>
                    <w:rPr>
                      <w:color w:val="auto"/>
                    </w:rPr>
                  </w:pPr>
                  <w:r>
                    <w:rPr>
                      <w:color w:val="auto"/>
                    </w:rPr>
                    <w:t>符合性分析</w:t>
                  </w:r>
                </w:p>
              </w:tc>
            </w:tr>
            <w:tr>
              <w:trPr>
                <w:trHeight w:val="57"/>
              </w:trPr>
              <w:tc>
                <w:tcPr>
                  <w:tcW w:w="431" w:type="dxa"/>
                  <w:vMerge w:val="restart"/>
                  <w:vAlign w:val="center"/>
                </w:tcPr>
                <w:p>
                  <w:pPr>
                    <w:pStyle w:val="39"/>
                    <w:rPr>
                      <w:rFonts w:eastAsia="宋体" w:hint="eastAsia"/>
                      <w:color w:val="auto"/>
                      <w:lang w:val="en-US" w:eastAsia="zh-CN"/>
                    </w:rPr>
                  </w:pPr>
                  <w:r>
                    <w:rPr>
                      <w:rFonts w:hint="eastAsia"/>
                      <w:color w:val="auto"/>
                      <w:lang w:val="en-US" w:eastAsia="zh-CN"/>
                    </w:rPr>
                    <w:t>1</w:t>
                  </w:r>
                </w:p>
              </w:tc>
              <w:tc>
                <w:tcPr>
                  <w:tcW w:w="465" w:type="dxa"/>
                  <w:vMerge w:val="restart"/>
                  <w:tcBorders>
                    <w:left w:val="single" w:sz="4" w:space="0" w:color="auto"/>
                  </w:tcBorders>
                  <w:vAlign w:val="center"/>
                </w:tcPr>
                <w:p>
                  <w:pPr>
                    <w:pStyle w:val="39"/>
                    <w:rPr>
                      <w:color w:val="auto"/>
                    </w:rPr>
                  </w:pPr>
                  <w:r>
                    <w:rPr>
                      <w:color w:val="auto"/>
                    </w:rPr>
                    <w:t>大气污染防治政策</w:t>
                  </w:r>
                </w:p>
              </w:tc>
              <w:tc>
                <w:tcPr>
                  <w:tcW w:w="1384" w:type="dxa"/>
                  <w:vMerge w:val="restart"/>
                  <w:tcBorders>
                    <w:left w:val="single" w:sz="4" w:space="0" w:color="auto"/>
                  </w:tcBorders>
                  <w:vAlign w:val="center"/>
                </w:tcPr>
                <w:p>
                  <w:pPr>
                    <w:pStyle w:val="39"/>
                    <w:rPr>
                      <w:color w:val="auto"/>
                    </w:rPr>
                  </w:pPr>
                  <w:r>
                    <w:rPr>
                      <w:color w:val="auto"/>
                      <w:lang w:val="en-US" w:eastAsia="zh-CN"/>
                    </w:rPr>
                    <w:t>《河北省空气质量持续改善行动计划实施方案》冀政发〔2024〕4号</w:t>
                  </w:r>
                </w:p>
              </w:tc>
              <w:tc>
                <w:tcPr>
                  <w:tcW w:w="231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color w:val="auto"/>
                    </w:rPr>
                    <w:t>加快退出重点行业落后产能和优化产业布局</w:t>
                  </w:r>
                  <w:r>
                    <w:rPr>
                      <w:rFonts w:hint="eastAsia"/>
                      <w:color w:val="auto"/>
                    </w:rPr>
                    <w:t>，</w:t>
                  </w:r>
                  <w:r>
                    <w:rPr>
                      <w:color w:val="auto"/>
                    </w:rPr>
                    <w:t>严格执行《产业结构调整指导目录(2024年本)》,逐步淘汰步进式烧结机和球团竖炉以及半封闭式硅锰合金、镍铁、高碳铬铁、高碳锰铁矿热炉。加快调整优化不符合生态环境功能定位的产业布局、规模和结构。加快推动邢台钢铁、邯郸热电、秦皇岛北方玻璃等污染企业退城搬迁。</w:t>
                  </w:r>
                </w:p>
              </w:tc>
              <w:tc>
                <w:tcPr>
                  <w:tcW w:w="204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本</w:t>
                  </w:r>
                  <w:r>
                    <w:rPr>
                      <w:color w:val="auto"/>
                    </w:rPr>
                    <w:t>项目不属于重点行业落后产能</w:t>
                  </w:r>
                  <w:r>
                    <w:rPr>
                      <w:rFonts w:hint="eastAsia"/>
                      <w:color w:val="auto"/>
                    </w:rPr>
                    <w:t>，经对照《产业结构调整指导目录(2024年本)》不属于所列的限制类和淘汰类项目。</w:t>
                  </w:r>
                </w:p>
              </w:tc>
              <w:tc>
                <w:tcPr>
                  <w:tcW w:w="448"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color w:val="auto"/>
                    </w:rPr>
                    <w:t>开展燃煤(燃气)锅炉关停整合</w:t>
                  </w:r>
                  <w:r>
                    <w:rPr>
                      <w:rFonts w:hint="eastAsia"/>
                      <w:color w:val="auto"/>
                    </w:rPr>
                    <w:t>，</w:t>
                  </w:r>
                  <w:r>
                    <w:rPr>
                      <w:color w:val="auto"/>
                    </w:rPr>
                    <w:t>将燃煤供热锅炉替代项目纳入城镇供热规划,原则上不再新建除集中供暖外的燃煤锅炉</w:t>
                  </w:r>
                  <w:r>
                    <w:rPr>
                      <w:rFonts w:hint="eastAsia"/>
                      <w:color w:val="auto"/>
                    </w:rPr>
                    <w:t>，</w:t>
                  </w:r>
                  <w:r>
                    <w:rPr>
                      <w:color w:val="auto"/>
                    </w:rPr>
                    <w:t>积极推进远距离输热,石家庄市加快上安电厂余热入市项目等建设</w:t>
                  </w:r>
                  <w:r>
                    <w:rPr>
                      <w:rFonts w:hint="eastAsia"/>
                      <w:color w:val="auto"/>
                    </w:rPr>
                    <w:t>，</w:t>
                  </w:r>
                  <w:r>
                    <w:rPr>
                      <w:color w:val="auto"/>
                    </w:rPr>
                    <w:t>推进燃气锅炉替代</w:t>
                  </w:r>
                  <w:r>
                    <w:rPr>
                      <w:rFonts w:hint="eastAsia"/>
                      <w:color w:val="auto"/>
                    </w:rPr>
                    <w:t>。</w:t>
                  </w:r>
                </w:p>
              </w:tc>
              <w:tc>
                <w:tcPr>
                  <w:tcW w:w="204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本项目不涉及燃煤，生产用热采用</w:t>
                  </w:r>
                  <w:r>
                    <w:rPr>
                      <w:rFonts w:hint="eastAsia"/>
                      <w:color w:val="auto"/>
                      <w:lang w:val="en-US" w:eastAsia="zh-CN"/>
                    </w:rPr>
                    <w:t>天然气燃烧</w:t>
                  </w:r>
                  <w:r>
                    <w:rPr>
                      <w:rFonts w:hint="eastAsia"/>
                      <w:color w:val="auto"/>
                    </w:rPr>
                    <w:t>。</w:t>
                  </w:r>
                </w:p>
              </w:tc>
              <w:tc>
                <w:tcPr>
                  <w:tcW w:w="448"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color w:val="auto"/>
                    </w:rPr>
                    <w:t>强化VOCs、恶臭异味治理</w:t>
                  </w:r>
                  <w:r>
                    <w:rPr>
                      <w:rFonts w:hint="eastAsia"/>
                      <w:color w:val="auto"/>
                    </w:rPr>
                    <w:t>，</w:t>
                  </w:r>
                  <w:r>
                    <w:rPr>
                      <w:color w:val="auto"/>
                    </w:rPr>
                    <w:t>大力实施涉VOCs原辅材料源头替代。严格控制生产和使用高VOCs含量涂料、油墨、胶粘剂、清洗剂等建设项目</w:t>
                  </w:r>
                  <w:r>
                    <w:rPr>
                      <w:rFonts w:hint="eastAsia"/>
                      <w:color w:val="auto"/>
                    </w:rPr>
                    <w:t>，</w:t>
                  </w:r>
                  <w:r>
                    <w:rPr>
                      <w:color w:val="auto"/>
                    </w:rPr>
                    <w:t>提高低(无)VOCs含量产品比重。</w:t>
                  </w:r>
                </w:p>
              </w:tc>
              <w:tc>
                <w:tcPr>
                  <w:tcW w:w="204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本</w:t>
                  </w:r>
                  <w:r>
                    <w:rPr>
                      <w:color w:val="auto"/>
                    </w:rPr>
                    <w:t>项目</w:t>
                  </w:r>
                  <w:r>
                    <w:rPr>
                      <w:rFonts w:hint="eastAsia"/>
                      <w:color w:val="auto"/>
                      <w:lang w:val="en-US" w:eastAsia="zh-CN"/>
                    </w:rPr>
                    <w:t>使用的脲甲醛溶液和包裹油不属于高VOCs含量辅料</w:t>
                  </w:r>
                  <w:r>
                    <w:rPr>
                      <w:rFonts w:hint="eastAsia"/>
                      <w:color w:val="auto"/>
                    </w:rPr>
                    <w:t>。</w:t>
                  </w:r>
                </w:p>
              </w:tc>
              <w:tc>
                <w:tcPr>
                  <w:tcW w:w="448"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大力实施VOCs治理。开展VOCs治理专项攻坚行动，大力推进原辅材料源头替代、工业源无组织排放和工业企业深度治理.全年完成400个VOCs治理提升工程。</w:t>
                  </w:r>
                </w:p>
              </w:tc>
              <w:tc>
                <w:tcPr>
                  <w:tcW w:w="204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本项目</w:t>
                  </w:r>
                  <w:r>
                    <w:rPr>
                      <w:rFonts w:hint="eastAsia"/>
                      <w:color w:val="auto"/>
                      <w:lang w:val="en-US" w:eastAsia="zh-CN"/>
                    </w:rPr>
                    <w:t>不涉及</w:t>
                  </w:r>
                  <w:r>
                    <w:rPr>
                      <w:rFonts w:hint="eastAsia"/>
                      <w:color w:val="auto"/>
                    </w:rPr>
                    <w:t>。</w:t>
                  </w:r>
                </w:p>
              </w:tc>
              <w:tc>
                <w:tcPr>
                  <w:tcW w:w="448"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vAlign w:val="center"/>
                </w:tcPr>
                <w:p>
                  <w:pPr>
                    <w:pStyle w:val="39"/>
                    <w:rPr>
                      <w:color w:val="auto"/>
                    </w:rPr>
                  </w:pPr>
                  <w:r>
                    <w:rPr>
                      <w:color w:val="auto"/>
                      <w:lang w:val="en-US" w:eastAsia="zh-CN"/>
                    </w:rPr>
                    <w:t>强化VOCs、恶臭异味治理。大力实施涉VOCs原辅材料源头替代。严格控制生产和使用高VOCs含量涂料、油墨、胶粘剂、清洗剂等建设项目，提高低（无）VOCs含量产品比重。在生产、销售、进口、使用等环节严格执行VOCs含量限值标准。推广使用低VOCs含量涂料和胶粘剂。鼓励储罐使用低泄漏的呼吸阀、紧急泄压阀，定期开展密封性检测。污水处理场所加大有机废气收集处理力度。重点区域石化、化工行业集中的城市和区域，2024年建立统一的泄漏检测与修复信息管理平台。加强部门联动，因地制宜解决群众反映集中的油烟及恶臭异味扰民问题</w:t>
                  </w:r>
                  <w:r>
                    <w:rPr>
                      <w:rFonts w:hint="eastAsia"/>
                      <w:color w:val="auto"/>
                      <w:lang w:val="en-US" w:eastAsia="zh-CN"/>
                    </w:rPr>
                    <w:t>。</w:t>
                  </w:r>
                </w:p>
              </w:tc>
              <w:tc>
                <w:tcPr>
                  <w:tcW w:w="2040" w:type="dxa"/>
                  <w:tcBorders>
                    <w:left w:val="single" w:sz="4" w:space="0" w:color="auto"/>
                  </w:tcBorders>
                  <w:vAlign w:val="center"/>
                </w:tcPr>
                <w:p>
                  <w:pPr>
                    <w:pStyle w:val="39"/>
                    <w:rPr>
                      <w:color w:val="auto"/>
                    </w:rPr>
                  </w:pPr>
                  <w:r>
                    <w:rPr>
                      <w:rFonts w:hint="eastAsia"/>
                      <w:color w:val="auto"/>
                      <w:lang w:val="en-US" w:eastAsia="zh-CN"/>
                    </w:rPr>
                    <w:t>本项目使用的脲甲醛溶液和包裹油不属于高VOCs含量辅料。</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Merge w:val="restart"/>
                  <w:vAlign w:val="center"/>
                </w:tcPr>
                <w:p>
                  <w:pPr>
                    <w:pStyle w:val="39"/>
                    <w:rPr>
                      <w:rFonts w:eastAsia="宋体"/>
                      <w:color w:val="auto"/>
                      <w:lang w:val="en-US" w:eastAsia="zh-CN"/>
                    </w:rPr>
                  </w:pPr>
                  <w:r>
                    <w:rPr>
                      <w:rFonts w:hint="eastAsia"/>
                      <w:color w:val="auto"/>
                      <w:lang w:val="en-US" w:eastAsia="zh-CN"/>
                    </w:rPr>
                    <w:t>2</w:t>
                  </w:r>
                </w:p>
              </w:tc>
              <w:tc>
                <w:tcPr>
                  <w:tcW w:w="465" w:type="dxa"/>
                  <w:vMerge/>
                  <w:tcBorders>
                    <w:left w:val="single" w:sz="4" w:space="0" w:color="auto"/>
                  </w:tcBorders>
                  <w:vAlign w:val="center"/>
                </w:tcPr>
                <w:p/>
              </w:tc>
              <w:tc>
                <w:tcPr>
                  <w:tcW w:w="1384" w:type="dxa"/>
                  <w:vMerge w:val="restart"/>
                  <w:tcBorders>
                    <w:left w:val="single" w:sz="4" w:space="0" w:color="auto"/>
                  </w:tcBorders>
                  <w:vAlign w:val="center"/>
                </w:tcPr>
                <w:p>
                  <w:pPr>
                    <w:pStyle w:val="39"/>
                    <w:rPr>
                      <w:color w:val="auto"/>
                      <w:highlight w:val="yellow"/>
                    </w:rPr>
                  </w:pPr>
                  <w:r>
                    <w:rPr>
                      <w:color w:val="auto"/>
                      <w:highlight w:val="none"/>
                    </w:rPr>
                    <w:t>《重点行业挥发性有机物综合治理方案》环大气〔2019〕53号</w:t>
                  </w:r>
                </w:p>
              </w:tc>
              <w:tc>
                <w:tcPr>
                  <w:tcW w:w="2317" w:type="dxa"/>
                  <w:tcBorders>
                    <w:left w:val="single" w:sz="4" w:space="0" w:color="auto"/>
                  </w:tcBorders>
                  <w:vAlign w:val="center"/>
                </w:tcPr>
                <w:p>
                  <w:pPr>
                    <w:pStyle w:val="39"/>
                    <w:rPr>
                      <w:color w:val="auto"/>
                    </w:rPr>
                  </w:pPr>
                  <w:r>
                    <w:rPr>
                      <w:color w:val="auto"/>
                    </w:rPr>
                    <w:t>大力推进源头替代。通过使用水性、粉末、高固体分、无溶剂、辐射固化等低VOCs含量的涂料，水性、辐射固化、植物基等低VOCs含量的油墨，水基、热熔、无溶剂、辐射固化、改性、生物降解等低VOCs含量的胶粘剂，以及低VOCs含量、低反应活性的清洗剂等，替代溶剂型涂料、油墨、胶粘剂、清洗剂等，从源头减少VOCs产生。工业涂装、包装印刷等行业要加大源头替代力度；化工行业要推广使用低(无)VOCs含量、低反应活性的原辅材料，加快对芳香烃、含卤素有机化合物的绿色替代。企业应大力推广使用低VOCs含量木器涂料、车辆涂料、机械设备涂料、集装箱涂料以及建筑物和构筑物防护涂料等，在技术成熟的行业，推广使用低VOCs含量油墨和胶粘剂，重点区域到2020年年底前基本完成。鼓励加快低VOCs含量涂料、油墨、胶粘剂等研发和生产。</w:t>
                  </w:r>
                </w:p>
              </w:tc>
              <w:tc>
                <w:tcPr>
                  <w:tcW w:w="2040" w:type="dxa"/>
                  <w:tcBorders>
                    <w:left w:val="single" w:sz="4" w:space="0" w:color="auto"/>
                  </w:tcBorders>
                  <w:vAlign w:val="center"/>
                </w:tcPr>
                <w:p>
                  <w:pPr>
                    <w:pStyle w:val="39"/>
                    <w:rPr>
                      <w:color w:val="auto"/>
                      <w:highlight w:val="yellow"/>
                    </w:rPr>
                  </w:pPr>
                  <w:r>
                    <w:rPr>
                      <w:rFonts w:hint="eastAsia"/>
                      <w:color w:val="auto"/>
                    </w:rPr>
                    <w:t>本项目</w:t>
                  </w:r>
                  <w:r>
                    <w:rPr>
                      <w:rFonts w:hint="eastAsia"/>
                      <w:color w:val="auto"/>
                      <w:lang w:val="en-US" w:eastAsia="zh-CN"/>
                    </w:rPr>
                    <w:t>使用的脲甲醛溶液和包裹油不属于高VOCs含量辅料</w:t>
                  </w:r>
                  <w:r>
                    <w:rPr>
                      <w:rFonts w:hint="eastAsia"/>
                      <w:color w:val="auto"/>
                    </w:rPr>
                    <w:t>。</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vAlign w:val="center"/>
                </w:tcPr>
                <w:p>
                  <w:pPr>
                    <w:pStyle w:val="39"/>
                    <w:rPr>
                      <w:color w:val="auto"/>
                    </w:rPr>
                  </w:pPr>
                  <w:r>
                    <w:rPr>
                      <w:color w:val="auto"/>
                    </w:rPr>
                    <w:t>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加强设备与场所密闭管理。含VOCs物料应储存于密闭容器、包装袋，高效密封储罐，封闭式储库、料仓等。含VOCs物料转移和输送，应采用密闭管道或密闭容器、罐车等。含VOCs物料生产和使用过程，应采取有效收集措施或在密闭空间中操作。</w:t>
                  </w:r>
                </w:p>
              </w:tc>
              <w:tc>
                <w:tcPr>
                  <w:tcW w:w="2040" w:type="dxa"/>
                  <w:tcBorders>
                    <w:left w:val="single" w:sz="4" w:space="0" w:color="auto"/>
                  </w:tcBorders>
                  <w:vAlign w:val="center"/>
                </w:tcPr>
                <w:p>
                  <w:pPr>
                    <w:pStyle w:val="39"/>
                    <w:rPr>
                      <w:color w:val="auto"/>
                    </w:rPr>
                  </w:pPr>
                  <w:r>
                    <w:rPr>
                      <w:rFonts w:hint="eastAsia"/>
                      <w:color w:val="auto"/>
                    </w:rPr>
                    <w:t>本项目</w:t>
                  </w:r>
                  <w:r>
                    <w:rPr>
                      <w:rFonts w:hint="eastAsia"/>
                      <w:color w:val="auto"/>
                      <w:lang w:val="en-US" w:eastAsia="zh-CN"/>
                    </w:rPr>
                    <w:t>脲甲醛储罐和包裹油罐均密闭储存，全厂含VOCs危险废物均放置于密闭容器中暂存于危废间，定期交由资质单位处理。</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vAlign w:val="center"/>
                </w:tcPr>
                <w:p>
                  <w:pPr>
                    <w:pStyle w:val="39"/>
                    <w:rPr>
                      <w:color w:val="auto"/>
                    </w:rPr>
                  </w:pPr>
                  <w:r>
                    <w:rPr>
                      <w:color w:val="auto"/>
                    </w:rPr>
                    <w:t>提高废气收集率。遵</w:t>
                  </w:r>
                  <w:r>
                    <w:rPr>
                      <w:rFonts w:hint="eastAsia"/>
                      <w:color w:val="auto"/>
                    </w:rPr>
                    <w:t>循“应收尽收、分质收集”的</w:t>
                  </w:r>
                  <w:r>
                    <w:rPr>
                      <w:color w:val="auto"/>
                    </w:rPr>
                    <w:t>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VOCs无组织排放位置，控制风速应不低于0.3米/秒，有行业要求的按相关规定执行。</w:t>
                  </w:r>
                </w:p>
              </w:tc>
              <w:tc>
                <w:tcPr>
                  <w:tcW w:w="2040" w:type="dxa"/>
                  <w:tcBorders>
                    <w:left w:val="single" w:sz="4" w:space="0" w:color="auto"/>
                  </w:tcBorders>
                  <w:vAlign w:val="center"/>
                </w:tcPr>
                <w:p>
                  <w:pPr>
                    <w:pStyle w:val="39"/>
                    <w:rPr>
                      <w:color w:val="auto"/>
                    </w:rPr>
                  </w:pPr>
                  <w:r>
                    <w:rPr>
                      <w:rFonts w:hint="eastAsia"/>
                      <w:color w:val="auto"/>
                      <w:highlight w:val="none"/>
                    </w:rPr>
                    <w:t>本项目</w:t>
                  </w:r>
                  <w:r>
                    <w:rPr>
                      <w:rFonts w:hint="eastAsia"/>
                      <w:color w:val="auto"/>
                      <w:lang w:val="en-US" w:eastAsia="zh-CN"/>
                      <w:highlight w:val="none"/>
                    </w:rPr>
                    <w:t>脲甲醛储罐和包裹油罐均密闭储存，挤压造粒生产线产生的有机废气收集后经经旋风除尘器TA001+袋式除尘器TA002+二级活性炭吸附装置TA002+15m排气筒P2达标排放；挤压造粒生产线车间烘干工序排气经管道+旋风除尘器（TA002）+袋式除尘器（TA003）+旋转吸附机+水喷淋塔+15m排气筒P3达标排放；化验室产生的废气收集后经集气罩+二级活性炭吸附装置TA001+干式酸雾净化器+15m排气筒P4达标排放。</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Align w:val="center"/>
                </w:tcPr>
                <w:p>
                  <w:pPr>
                    <w:pStyle w:val="39"/>
                    <w:rPr>
                      <w:rFonts w:eastAsia="宋体" w:hint="eastAsia"/>
                      <w:color w:val="auto"/>
                      <w:lang w:val="en-US" w:eastAsia="zh-CN"/>
                    </w:rPr>
                  </w:pPr>
                  <w:r>
                    <w:rPr>
                      <w:rFonts w:hint="eastAsia"/>
                      <w:color w:val="auto"/>
                      <w:lang w:val="en-US" w:eastAsia="zh-CN"/>
                    </w:rPr>
                    <w:t>3</w:t>
                  </w:r>
                </w:p>
              </w:tc>
              <w:tc>
                <w:tcPr>
                  <w:tcW w:w="465" w:type="dxa"/>
                  <w:vMerge/>
                  <w:tcBorders>
                    <w:left w:val="single" w:sz="4" w:space="0" w:color="auto"/>
                  </w:tcBorders>
                  <w:vAlign w:val="center"/>
                </w:tcPr>
                <w:p/>
              </w:tc>
              <w:tc>
                <w:tcPr>
                  <w:tcW w:w="1384" w:type="dxa"/>
                  <w:tcBorders>
                    <w:left w:val="single" w:sz="4" w:space="0" w:color="auto"/>
                  </w:tcBorders>
                  <w:vAlign w:val="center"/>
                </w:tcPr>
                <w:p>
                  <w:pPr>
                    <w:pStyle w:val="39"/>
                    <w:rPr>
                      <w:color w:val="auto"/>
                    </w:rPr>
                  </w:pPr>
                  <w:r>
                    <w:rPr>
                      <w:color w:val="auto"/>
                    </w:rPr>
                    <w:t>河北省生态环境保</w:t>
                  </w:r>
                  <w:r>
                    <w:rPr>
                      <w:rFonts w:hint="eastAsia"/>
                      <w:color w:val="auto"/>
                    </w:rPr>
                    <w:t>护“十四五”规</w:t>
                  </w:r>
                  <w:r>
                    <w:rPr>
                      <w:color w:val="auto"/>
                    </w:rPr>
                    <w:t>划</w:t>
                  </w:r>
                </w:p>
              </w:tc>
              <w:tc>
                <w:tcPr>
                  <w:tcW w:w="2317" w:type="dxa"/>
                  <w:tcBorders>
                    <w:left w:val="single" w:sz="4" w:space="0" w:color="auto"/>
                  </w:tcBorders>
                  <w:vAlign w:val="center"/>
                </w:tcPr>
                <w:p>
                  <w:pPr>
                    <w:pStyle w:val="39"/>
                    <w:rPr>
                      <w:color w:val="auto"/>
                    </w:rPr>
                  </w:pPr>
                  <w:r>
                    <w:rPr>
                      <w:color w:val="auto"/>
                    </w:rPr>
                    <w:t>控制煤炭消费总量。全面实施煤炭消费总量控制，建设项目严格执行煤炭减量替代。严格控制燃煤发电装机规模，严禁新建自备燃煤机组，推动自备燃煤机组实施清洁能源替代，鼓励自备电厂转为公用电厂。加强农村散煤复燃管控，强化散煤治理监督体系建设。</w:t>
                  </w:r>
                </w:p>
              </w:tc>
              <w:tc>
                <w:tcPr>
                  <w:tcW w:w="2040" w:type="dxa"/>
                  <w:tcBorders>
                    <w:left w:val="single" w:sz="4" w:space="0" w:color="auto"/>
                  </w:tcBorders>
                  <w:vAlign w:val="center"/>
                </w:tcPr>
                <w:p>
                  <w:pPr>
                    <w:pStyle w:val="39"/>
                    <w:rPr>
                      <w:color w:val="auto"/>
                    </w:rPr>
                  </w:pPr>
                  <w:r>
                    <w:rPr>
                      <w:color w:val="auto"/>
                    </w:rPr>
                    <w:t>本项目生产过程</w:t>
                  </w:r>
                  <w:r>
                    <w:rPr>
                      <w:rFonts w:hint="eastAsia"/>
                      <w:color w:val="auto"/>
                      <w:lang w:val="en-US" w:eastAsia="zh-CN"/>
                    </w:rPr>
                    <w:t>不涉及煤炭</w:t>
                  </w:r>
                  <w:r>
                    <w:rPr>
                      <w:rFonts w:hint="eastAsia"/>
                      <w:color w:val="auto"/>
                    </w:rPr>
                    <w:t>。</w:t>
                  </w:r>
                </w:p>
              </w:tc>
              <w:tc>
                <w:tcPr>
                  <w:tcW w:w="448" w:type="dxa"/>
                  <w:tcBorders>
                    <w:left w:val="single" w:sz="4" w:space="0" w:color="auto"/>
                  </w:tcBorders>
                  <w:vAlign w:val="center"/>
                </w:tcPr>
                <w:p>
                  <w:pPr>
                    <w:pStyle w:val="39"/>
                    <w:rPr>
                      <w:color w:val="auto"/>
                    </w:rPr>
                  </w:pPr>
                  <w:r>
                    <w:rPr>
                      <w:rFonts w:hint="eastAsia"/>
                      <w:color w:val="auto"/>
                    </w:rPr>
                    <w:t>符合</w:t>
                  </w:r>
                </w:p>
              </w:tc>
            </w:tr>
            <w:tr>
              <w:trPr>
                <w:trHeight w:val="57"/>
              </w:trPr>
              <w:tc>
                <w:tcPr>
                  <w:tcW w:w="431" w:type="dxa"/>
                  <w:vMerge w:val="restart"/>
                  <w:vAlign w:val="center"/>
                </w:tcPr>
                <w:p>
                  <w:pPr>
                    <w:pStyle w:val="39"/>
                    <w:rPr>
                      <w:rFonts w:eastAsia="宋体" w:hint="eastAsia"/>
                      <w:color w:val="auto"/>
                      <w:lang w:val="en-US" w:eastAsia="zh-CN"/>
                    </w:rPr>
                  </w:pPr>
                  <w:r>
                    <w:rPr>
                      <w:rFonts w:hint="eastAsia"/>
                      <w:color w:val="auto"/>
                      <w:lang w:val="en-US" w:eastAsia="zh-CN"/>
                    </w:rPr>
                    <w:t>4</w:t>
                  </w:r>
                </w:p>
              </w:tc>
              <w:tc>
                <w:tcPr>
                  <w:tcW w:w="465" w:type="dxa"/>
                  <w:vMerge/>
                  <w:tcBorders>
                    <w:left w:val="single" w:sz="4" w:space="0" w:color="auto"/>
                  </w:tcBorders>
                  <w:vAlign w:val="center"/>
                </w:tcPr>
                <w:p/>
              </w:tc>
              <w:tc>
                <w:tcPr>
                  <w:tcW w:w="1384" w:type="dxa"/>
                  <w:vMerge w:val="restart"/>
                  <w:tcBorders>
                    <w:left w:val="single" w:sz="4" w:space="0" w:color="auto"/>
                  </w:tcBorders>
                  <w:vAlign w:val="center"/>
                </w:tcPr>
                <w:p>
                  <w:pPr>
                    <w:pStyle w:val="39"/>
                    <w:rPr>
                      <w:color w:val="auto"/>
                    </w:rPr>
                  </w:pPr>
                  <w:r>
                    <w:rPr>
                      <w:color w:val="auto"/>
                    </w:rPr>
                    <w:t>《石家庄市生态环境保护“十四五”规划》</w:t>
                  </w:r>
                </w:p>
              </w:tc>
              <w:tc>
                <w:tcPr>
                  <w:tcW w:w="2317" w:type="dxa"/>
                  <w:tcBorders>
                    <w:left w:val="single" w:sz="4" w:space="0" w:color="auto"/>
                  </w:tcBorders>
                  <w:vAlign w:val="center"/>
                </w:tcPr>
                <w:p>
                  <w:pPr>
                    <w:pStyle w:val="39"/>
                    <w:rPr>
                      <w:color w:val="auto"/>
                    </w:rPr>
                  </w:pPr>
                  <w:r>
                    <w:rPr>
                      <w:color w:val="auto"/>
                    </w:rPr>
                    <w:t>严格环境准入门槛，全市禁止钢铁、焦化、水泥、平板玻璃、铸造(高端或精密铸造项目以及《产业结构调整指导目录(2019年本)》第一类鼓励类项目除外)、有色、炭素、钙镁、煤化工、陶瓷、砖瓦等行业新建、扩建单纯新增产能(搬迁升级改造项目和产能置换项目除外)的项目和企业。对搬迁升级改造项目的环境影响评价，应满足规划环评要求，对本地过剩产能重点行业搬迁、改建项目，实行大气污染物排放倍量替代。严格控制新增燃煤项目(产能置换项目除外)</w:t>
                  </w:r>
                  <w:r>
                    <w:rPr>
                      <w:rFonts w:hint="eastAsia"/>
                      <w:color w:val="auto"/>
                    </w:rPr>
                    <w:t>建设</w:t>
                  </w:r>
                  <w:r>
                    <w:rPr>
                      <w:color w:val="auto"/>
                    </w:rPr>
                    <w:t>。</w:t>
                  </w:r>
                </w:p>
              </w:tc>
              <w:tc>
                <w:tcPr>
                  <w:tcW w:w="2040" w:type="dxa"/>
                  <w:tcBorders>
                    <w:left w:val="single" w:sz="4" w:space="0" w:color="auto"/>
                  </w:tcBorders>
                  <w:vAlign w:val="center"/>
                </w:tcPr>
                <w:p>
                  <w:pPr>
                    <w:pStyle w:val="39"/>
                    <w:rPr>
                      <w:color w:val="auto"/>
                    </w:rPr>
                  </w:pPr>
                  <w:r>
                    <w:rPr>
                      <w:color w:val="auto"/>
                    </w:rPr>
                    <w:t>本项目属于</w:t>
                  </w:r>
                  <w:r>
                    <w:rPr>
                      <w:rFonts w:hint="eastAsia"/>
                      <w:color w:val="auto"/>
                    </w:rPr>
                    <w:t>非金属矿物制品业</w:t>
                  </w:r>
                  <w:r>
                    <w:rPr>
                      <w:color w:val="auto"/>
                    </w:rPr>
                    <w:t>，不属于有色、炭素、钙镁、煤化工、陶瓷、砖瓦等行业；本项目不涉及燃煤</w:t>
                  </w:r>
                </w:p>
              </w:tc>
              <w:tc>
                <w:tcPr>
                  <w:tcW w:w="448" w:type="dxa"/>
                  <w:tcBorders>
                    <w:left w:val="single" w:sz="4" w:space="0" w:color="auto"/>
                  </w:tcBorders>
                  <w:vAlign w:val="center"/>
                </w:tcPr>
                <w:p>
                  <w:pPr>
                    <w:pStyle w:val="39"/>
                    <w:rPr>
                      <w:color w:val="auto"/>
                    </w:rPr>
                  </w:pPr>
                  <w:r>
                    <w:rPr>
                      <w:rFonts w:hint="eastAsia"/>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vAlign w:val="center"/>
                </w:tcPr>
                <w:p>
                  <w:pPr>
                    <w:pStyle w:val="39"/>
                    <w:rPr>
                      <w:color w:val="auto"/>
                    </w:rPr>
                  </w:pPr>
                  <w:r>
                    <w:rPr>
                      <w:color w:val="auto"/>
                    </w:rPr>
                    <w:t>严格高污染燃料禁燃区管理，禁燃区内禁止使用原(散)煤、煤研石、粉煤、煤泥、燃料油(煤焦油、重油和渣油等)、各种可燃废物和直接燃用的生物质燃料、不符合标准的洁净颗粒型煤以及其他国家规定的高污染燃料：不新批准建设高污染燃料的燃用设施，现有燃烧高污染燃料的设施不扩大规模建设。全市所有镇级及以上(除偏远山区外)建成区达到Ⅲ类禁燃区覆盖</w:t>
                  </w:r>
                </w:p>
              </w:tc>
              <w:tc>
                <w:tcPr>
                  <w:tcW w:w="2040" w:type="dxa"/>
                  <w:tcBorders>
                    <w:left w:val="single" w:sz="4" w:space="0" w:color="auto"/>
                  </w:tcBorders>
                  <w:vAlign w:val="center"/>
                </w:tcPr>
                <w:p>
                  <w:pPr>
                    <w:pStyle w:val="39"/>
                    <w:rPr>
                      <w:color w:val="auto"/>
                    </w:rPr>
                  </w:pPr>
                  <w:r>
                    <w:rPr>
                      <w:rFonts w:hint="eastAsia"/>
                      <w:color w:val="auto"/>
                      <w:lang w:val="en-US" w:eastAsia="zh-CN"/>
                    </w:rPr>
                    <w:t>企业现有工程生产用燃料为天然气，本项目不新增</w:t>
                  </w:r>
                  <w:r>
                    <w:rPr>
                      <w:color w:val="auto"/>
                    </w:rPr>
                    <w:t>。</w:t>
                  </w:r>
                </w:p>
              </w:tc>
              <w:tc>
                <w:tcPr>
                  <w:tcW w:w="448" w:type="dxa"/>
                  <w:tcBorders>
                    <w:left w:val="single" w:sz="4" w:space="0" w:color="auto"/>
                  </w:tcBorders>
                  <w:vAlign w:val="center"/>
                </w:tcPr>
                <w:p>
                  <w:pPr>
                    <w:pStyle w:val="39"/>
                    <w:rPr>
                      <w:color w:val="auto"/>
                    </w:rPr>
                  </w:pPr>
                  <w:r>
                    <w:rPr>
                      <w:rFonts w:hint="eastAsia"/>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vAlign w:val="center"/>
                </w:tcPr>
                <w:p>
                  <w:pPr>
                    <w:pStyle w:val="39"/>
                    <w:rPr>
                      <w:color w:val="auto"/>
                    </w:rPr>
                  </w:pPr>
                  <w:r>
                    <w:rPr>
                      <w:color w:val="auto"/>
                    </w:rPr>
                    <w:t>开展土壤污染治理，全面防控土壤污染风险；防范工</w:t>
                  </w:r>
                  <w:r>
                    <w:rPr>
                      <w:rFonts w:hint="eastAsia"/>
                      <w:color w:val="auto"/>
                    </w:rPr>
                    <w:t>矿</w:t>
                  </w:r>
                  <w:r>
                    <w:rPr>
                      <w:color w:val="auto"/>
                    </w:rPr>
                    <w:t>企业用地新增土壤污染，严格落实环境影响评价制度，涉及排放有毒有害物质可能造成土壤污染的新（改、扩）建设项目，依法进行环境影响评价。</w:t>
                  </w:r>
                </w:p>
              </w:tc>
              <w:tc>
                <w:tcPr>
                  <w:tcW w:w="2040" w:type="dxa"/>
                  <w:tcBorders>
                    <w:left w:val="single" w:sz="4" w:space="0" w:color="auto"/>
                  </w:tcBorders>
                  <w:vAlign w:val="center"/>
                </w:tcPr>
                <w:p>
                  <w:pPr>
                    <w:pStyle w:val="39"/>
                    <w:rPr>
                      <w:color w:val="auto"/>
                    </w:rPr>
                  </w:pPr>
                  <w:r>
                    <w:rPr>
                      <w:color w:val="auto"/>
                    </w:rPr>
                    <w:t>本项目</w:t>
                  </w:r>
                  <w:r>
                    <w:rPr>
                      <w:rFonts w:hint="eastAsia"/>
                      <w:color w:val="auto"/>
                      <w:lang w:val="en-US" w:eastAsia="zh-CN"/>
                    </w:rPr>
                    <w:t>已</w:t>
                  </w:r>
                  <w:r>
                    <w:rPr>
                      <w:color w:val="auto"/>
                    </w:rPr>
                    <w:t>采取分区防渗、应急响应措施等措施，确保本项目不会对土壤环境造成污染</w:t>
                  </w:r>
                </w:p>
              </w:tc>
              <w:tc>
                <w:tcPr>
                  <w:tcW w:w="448" w:type="dxa"/>
                  <w:tcBorders>
                    <w:left w:val="single" w:sz="4" w:space="0" w:color="auto"/>
                  </w:tcBorders>
                  <w:vAlign w:val="center"/>
                </w:tcPr>
                <w:p>
                  <w:pPr>
                    <w:pStyle w:val="39"/>
                    <w:rPr>
                      <w:color w:val="auto"/>
                    </w:rPr>
                  </w:pPr>
                  <w:r>
                    <w:rPr>
                      <w:rFonts w:hint="eastAsia"/>
                      <w:color w:val="auto"/>
                    </w:rPr>
                    <w:t>符合</w:t>
                  </w:r>
                </w:p>
              </w:tc>
            </w:tr>
            <w:tr>
              <w:trPr>
                <w:trHeight w:val="57"/>
              </w:trPr>
              <w:tc>
                <w:tcPr>
                  <w:tcW w:w="431" w:type="dxa"/>
                  <w:vMerge/>
                  <w:vAlign w:val="center"/>
                </w:tcPr>
                <w:p/>
              </w:tc>
              <w:tc>
                <w:tcPr>
                  <w:tcW w:w="465" w:type="dxa"/>
                  <w:vMerge/>
                  <w:tcBorders>
                    <w:left w:val="single" w:sz="4" w:space="0" w:color="auto"/>
                  </w:tcBorders>
                  <w:vAlign w:val="center"/>
                </w:tcPr>
                <w:p/>
              </w:tc>
              <w:tc>
                <w:tcPr>
                  <w:tcW w:w="1384" w:type="dxa"/>
                  <w:vMerge/>
                  <w:tcBorders>
                    <w:left w:val="single" w:sz="4" w:space="0" w:color="auto"/>
                  </w:tcBorders>
                  <w:vAlign w:val="center"/>
                </w:tcPr>
                <w:p/>
              </w:tc>
              <w:tc>
                <w:tcPr>
                  <w:tcW w:w="2317" w:type="dxa"/>
                  <w:tcBorders>
                    <w:left w:val="single" w:sz="4" w:space="0" w:color="auto"/>
                  </w:tcBorders>
                  <w:vAlign w:val="center"/>
                </w:tcPr>
                <w:p>
                  <w:pPr>
                    <w:pStyle w:val="39"/>
                    <w:rPr>
                      <w:color w:val="auto"/>
                    </w:rPr>
                  </w:pPr>
                  <w:r>
                    <w:rPr>
                      <w:color w:val="auto"/>
                    </w:rPr>
                    <w:t>提高固体废物利用效率，全面落实安全处置措施；稳固危险废物无害化处置率，积极推动源头减量，全面落实涉危险废物企业法人主体责任承诺制，严禁委托无资质第三方转运处置，严防风险外溢。</w:t>
                  </w:r>
                </w:p>
              </w:tc>
              <w:tc>
                <w:tcPr>
                  <w:tcW w:w="2040" w:type="dxa"/>
                  <w:tcBorders>
                    <w:left w:val="single" w:sz="4" w:space="0" w:color="auto"/>
                  </w:tcBorders>
                  <w:vAlign w:val="center"/>
                </w:tcPr>
                <w:p>
                  <w:pPr>
                    <w:pStyle w:val="39"/>
                    <w:rPr>
                      <w:color w:val="auto"/>
                    </w:rPr>
                  </w:pPr>
                  <w:r>
                    <w:rPr>
                      <w:rFonts w:hint="eastAsia"/>
                      <w:color w:val="auto"/>
                    </w:rPr>
                    <w:t>本项目</w:t>
                  </w:r>
                  <w:r>
                    <w:rPr>
                      <w:color w:val="auto"/>
                    </w:rPr>
                    <w:t>一般固废</w:t>
                  </w:r>
                  <w:r>
                    <w:rPr>
                      <w:rFonts w:hint="eastAsia"/>
                      <w:color w:val="auto"/>
                    </w:rPr>
                    <w:t>及危险废物</w:t>
                  </w:r>
                  <w:r>
                    <w:rPr>
                      <w:color w:val="auto"/>
                    </w:rPr>
                    <w:t>全部妥善处置</w:t>
                  </w:r>
                  <w:r>
                    <w:rPr>
                      <w:rFonts w:hint="eastAsia"/>
                      <w:color w:val="auto"/>
                    </w:rPr>
                    <w:t>不外排。</w:t>
                  </w:r>
                </w:p>
              </w:tc>
              <w:tc>
                <w:tcPr>
                  <w:tcW w:w="448" w:type="dxa"/>
                  <w:tcBorders>
                    <w:left w:val="single" w:sz="4" w:space="0" w:color="auto"/>
                  </w:tcBorders>
                  <w:vAlign w:val="center"/>
                </w:tcPr>
                <w:p>
                  <w:pPr>
                    <w:pStyle w:val="39"/>
                    <w:rPr>
                      <w:color w:val="auto"/>
                    </w:rPr>
                  </w:pPr>
                  <w:r>
                    <w:rPr>
                      <w:rFonts w:hint="eastAsia"/>
                      <w:color w:val="auto"/>
                    </w:rPr>
                    <w:t>符合</w:t>
                  </w:r>
                </w:p>
              </w:tc>
            </w:tr>
            <w:tr>
              <w:trPr>
                <w:trHeight w:val="90"/>
              </w:trPr>
              <w:tc>
                <w:tcPr>
                  <w:tcW w:w="431" w:type="dxa"/>
                  <w:vAlign w:val="center"/>
                </w:tcPr>
                <w:p>
                  <w:pPr>
                    <w:pStyle w:val="39"/>
                    <w:rPr>
                      <w:rFonts w:eastAsia="宋体" w:hint="eastAsia"/>
                      <w:color w:val="auto"/>
                      <w:lang w:val="en-US" w:eastAsia="zh-CN"/>
                    </w:rPr>
                  </w:pPr>
                  <w:r>
                    <w:rPr>
                      <w:rFonts w:hint="eastAsia"/>
                      <w:color w:val="auto"/>
                      <w:lang w:val="en-US" w:eastAsia="zh-CN"/>
                    </w:rPr>
                    <w:t>5</w:t>
                  </w:r>
                </w:p>
              </w:tc>
              <w:tc>
                <w:tcPr>
                  <w:tcW w:w="465" w:type="dxa"/>
                  <w:vMerge w:val="restart"/>
                  <w:tcBorders>
                    <w:left w:val="single" w:sz="4" w:space="0" w:color="auto"/>
                  </w:tcBorders>
                  <w:vAlign w:val="center"/>
                </w:tcPr>
                <w:p>
                  <w:pPr>
                    <w:pStyle w:val="39"/>
                    <w:rPr>
                      <w:color w:val="auto"/>
                    </w:rPr>
                  </w:pPr>
                  <w:r>
                    <w:rPr>
                      <w:color w:val="auto"/>
                    </w:rPr>
                    <w:t>水污染防治政策</w:t>
                  </w:r>
                </w:p>
              </w:tc>
              <w:tc>
                <w:tcPr>
                  <w:tcW w:w="1384" w:type="dxa"/>
                  <w:tcBorders>
                    <w:left w:val="single" w:sz="4" w:space="0" w:color="auto"/>
                  </w:tcBorders>
                  <w:vAlign w:val="center"/>
                </w:tcPr>
                <w:p>
                  <w:pPr>
                    <w:pStyle w:val="39"/>
                    <w:rPr>
                      <w:color w:val="auto"/>
                    </w:rPr>
                  </w:pPr>
                  <w:r>
                    <w:rPr>
                      <w:color w:val="auto"/>
                    </w:rPr>
                    <w:t>《国务院关于印发水污染防治行动计划的通知》</w:t>
                  </w:r>
                </w:p>
              </w:tc>
              <w:tc>
                <w:tcPr>
                  <w:tcW w:w="2317" w:type="dxa"/>
                  <w:tcBorders>
                    <w:left w:val="single" w:sz="4" w:space="0" w:color="auto"/>
                  </w:tcBorders>
                  <w:vAlign w:val="center"/>
                </w:tcPr>
                <w:p>
                  <w:pPr>
                    <w:pStyle w:val="39"/>
                    <w:rPr>
                      <w:color w:val="auto"/>
                    </w:rPr>
                  </w:pPr>
                  <w:r>
                    <w:rPr>
                      <w:color w:val="auto"/>
                    </w:rPr>
                    <w:t>集中治理工业集聚区水污染。集聚区内工业废水必须经预处理达到集中处理要求，方可进入污水集中处理设施。</w:t>
                  </w:r>
                </w:p>
              </w:tc>
              <w:tc>
                <w:tcPr>
                  <w:tcW w:w="2040" w:type="dxa"/>
                  <w:tcBorders>
                    <w:left w:val="single" w:sz="4" w:space="0" w:color="auto"/>
                  </w:tcBorders>
                  <w:vAlign w:val="center"/>
                </w:tcPr>
                <w:p>
                  <w:pPr>
                    <w:pStyle w:val="39"/>
                    <w:rPr>
                      <w:color w:val="auto"/>
                    </w:rPr>
                  </w:pPr>
                  <w:r>
                    <w:rPr>
                      <w:rFonts w:hint="eastAsia"/>
                      <w:color w:val="auto"/>
                    </w:rPr>
                    <w:t>本项目无生产废水外排，</w:t>
                  </w:r>
                  <w:r>
                    <w:rPr>
                      <w:rFonts w:hint="eastAsia"/>
                      <w:color w:val="auto"/>
                      <w:lang w:val="en-US" w:eastAsia="zh-CN"/>
                    </w:rPr>
                    <w:t>生活污水进入厂区多格生物化粪池处理，处理后经园区污水管网进入石家庄装备制造基地绿源污水处理有限公司进一步处理。</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Align w:val="center"/>
                </w:tcPr>
                <w:p>
                  <w:pPr>
                    <w:pStyle w:val="39"/>
                    <w:rPr>
                      <w:rFonts w:eastAsia="宋体" w:hint="eastAsia"/>
                      <w:color w:val="auto"/>
                      <w:lang w:val="en-US" w:eastAsia="zh-CN"/>
                    </w:rPr>
                  </w:pPr>
                  <w:r>
                    <w:rPr>
                      <w:rFonts w:hint="eastAsia"/>
                      <w:color w:val="auto"/>
                      <w:lang w:val="en-US" w:eastAsia="zh-CN"/>
                    </w:rPr>
                    <w:t>6</w:t>
                  </w:r>
                </w:p>
              </w:tc>
              <w:tc>
                <w:tcPr>
                  <w:tcW w:w="465" w:type="dxa"/>
                  <w:vMerge/>
                  <w:tcBorders>
                    <w:left w:val="single" w:sz="4" w:space="0" w:color="auto"/>
                  </w:tcBorders>
                  <w:vAlign w:val="center"/>
                </w:tcPr>
                <w:p/>
              </w:tc>
              <w:tc>
                <w:tcPr>
                  <w:tcW w:w="1384" w:type="dxa"/>
                  <w:tcBorders>
                    <w:left w:val="single" w:sz="4" w:space="0" w:color="auto"/>
                  </w:tcBorders>
                  <w:vAlign w:val="center"/>
                </w:tcPr>
                <w:p>
                  <w:pPr>
                    <w:pStyle w:val="39"/>
                    <w:rPr>
                      <w:color w:val="auto"/>
                    </w:rPr>
                  </w:pPr>
                  <w:r>
                    <w:rPr>
                      <w:color w:val="auto"/>
                    </w:rPr>
                    <w:t>《河北省水污染防治工作方案》</w:t>
                  </w:r>
                </w:p>
              </w:tc>
              <w:tc>
                <w:tcPr>
                  <w:tcW w:w="2317" w:type="dxa"/>
                  <w:tcBorders>
                    <w:left w:val="single" w:sz="4" w:space="0" w:color="auto"/>
                  </w:tcBorders>
                  <w:vAlign w:val="center"/>
                </w:tcPr>
                <w:p>
                  <w:pPr>
                    <w:pStyle w:val="39"/>
                    <w:rPr>
                      <w:color w:val="auto"/>
                    </w:rPr>
                  </w:pPr>
                  <w:r>
                    <w:rPr>
                      <w:color w:val="auto"/>
                    </w:rPr>
                    <w:t>坚持空间均衡。全省七大水系干流沿岸、重要饮用水水源地补给区，严格控制化学原料和化学制品制造、医药制造、制革、造纸、焦化、化学纤维制造、石油加工、纺织印染等项目环境风险，合理布局生产装置及危险化学品仓储等设施。重大项目原则上布局在优化开发区和重点开发区，并符合城乡规划和土地利用总体规划。</w:t>
                  </w:r>
                </w:p>
              </w:tc>
              <w:tc>
                <w:tcPr>
                  <w:tcW w:w="2040" w:type="dxa"/>
                  <w:tcBorders>
                    <w:left w:val="single" w:sz="4" w:space="0" w:color="auto"/>
                  </w:tcBorders>
                  <w:vAlign w:val="center"/>
                </w:tcPr>
                <w:p>
                  <w:pPr>
                    <w:pStyle w:val="39"/>
                    <w:rPr>
                      <w:color w:val="auto"/>
                    </w:rPr>
                  </w:pPr>
                  <w:r>
                    <w:rPr>
                      <w:rFonts w:hint="eastAsia"/>
                      <w:color w:val="auto"/>
                    </w:rPr>
                    <w:t>本</w:t>
                  </w:r>
                  <w:r>
                    <w:rPr>
                      <w:color w:val="auto"/>
                    </w:rPr>
                    <w:t>项目采取了严格的污染治理措施。本项目</w:t>
                  </w:r>
                  <w:r>
                    <w:rPr>
                      <w:rFonts w:hint="eastAsia"/>
                      <w:color w:val="auto"/>
                    </w:rPr>
                    <w:t>用地为工业用地</w:t>
                  </w:r>
                  <w:r>
                    <w:rPr>
                      <w:color w:val="auto"/>
                    </w:rPr>
                    <w:t>，符合城乡规划和土地利用总体规划。</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Align w:val="center"/>
                </w:tcPr>
                <w:p>
                  <w:pPr>
                    <w:pStyle w:val="39"/>
                    <w:rPr>
                      <w:rFonts w:eastAsia="宋体" w:hint="eastAsia"/>
                      <w:color w:val="auto"/>
                      <w:lang w:val="en-US" w:eastAsia="zh-CN"/>
                    </w:rPr>
                  </w:pPr>
                  <w:r>
                    <w:rPr>
                      <w:rFonts w:hint="eastAsia"/>
                      <w:color w:val="auto"/>
                      <w:lang w:val="en-US" w:eastAsia="zh-CN"/>
                    </w:rPr>
                    <w:t>7</w:t>
                  </w:r>
                </w:p>
              </w:tc>
              <w:tc>
                <w:tcPr>
                  <w:tcW w:w="465" w:type="dxa"/>
                  <w:vMerge/>
                  <w:tcBorders>
                    <w:left w:val="single" w:sz="4" w:space="0" w:color="auto"/>
                  </w:tcBorders>
                  <w:vAlign w:val="center"/>
                </w:tcPr>
                <w:p/>
              </w:tc>
              <w:tc>
                <w:tcPr>
                  <w:tcW w:w="1384" w:type="dxa"/>
                  <w:tcBorders>
                    <w:left w:val="single" w:sz="4" w:space="0" w:color="auto"/>
                  </w:tcBorders>
                  <w:vAlign w:val="center"/>
                </w:tcPr>
                <w:p>
                  <w:pPr>
                    <w:pStyle w:val="39"/>
                    <w:rPr>
                      <w:color w:val="auto"/>
                    </w:rPr>
                  </w:pPr>
                  <w:r>
                    <w:rPr>
                      <w:color w:val="auto"/>
                    </w:rPr>
                    <w:t>《石家庄市重点流域水污染防治专项行动》</w:t>
                  </w:r>
                </w:p>
              </w:tc>
              <w:tc>
                <w:tcPr>
                  <w:tcW w:w="2317" w:type="dxa"/>
                  <w:tcBorders>
                    <w:left w:val="single" w:sz="4" w:space="0" w:color="auto"/>
                  </w:tcBorders>
                  <w:vAlign w:val="center"/>
                </w:tcPr>
                <w:p>
                  <w:pPr>
                    <w:pStyle w:val="39"/>
                    <w:rPr>
                      <w:color w:val="auto"/>
                    </w:rPr>
                  </w:pPr>
                  <w:r>
                    <w:rPr>
                      <w:color w:val="auto"/>
                    </w:rPr>
                    <w:t>对造纸、医药、纺织、印染、化工、钢铁、食品、酿造、皮革、电镀等10个重污染行业日排水量100立方米或日排COD30千克以上的企业和城镇污水处理厂安装在线监控装置，并与环保部门联网，实行全天候、全自动监控。2008年6月底前，国家、省、市控重点污染源和污水处理厂的污染物排放情况都要纳入自动监控范围。</w:t>
                  </w:r>
                </w:p>
              </w:tc>
              <w:tc>
                <w:tcPr>
                  <w:tcW w:w="2040" w:type="dxa"/>
                  <w:tcBorders>
                    <w:left w:val="single" w:sz="4" w:space="0" w:color="auto"/>
                  </w:tcBorders>
                  <w:vAlign w:val="center"/>
                </w:tcPr>
                <w:p>
                  <w:pPr>
                    <w:pStyle w:val="39"/>
                    <w:rPr>
                      <w:color w:val="auto"/>
                      <w:highlight w:val="yellow"/>
                    </w:rPr>
                  </w:pPr>
                  <w:r>
                    <w:rPr>
                      <w:rFonts w:hint="eastAsia"/>
                      <w:color w:val="auto"/>
                    </w:rPr>
                    <w:t>本项目无生产废水外排，</w:t>
                  </w:r>
                  <w:r>
                    <w:rPr>
                      <w:rFonts w:hint="eastAsia"/>
                      <w:color w:val="auto"/>
                      <w:lang w:val="en-US" w:eastAsia="zh-CN"/>
                    </w:rPr>
                    <w:t>生活污水进入厂区多格生物化粪池处理，处理后经园区污水管网进入石家庄装备制造基地绿源污水处理有限公司进一步处理。</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Align w:val="center"/>
                </w:tcPr>
                <w:p>
                  <w:pPr>
                    <w:pStyle w:val="39"/>
                    <w:rPr>
                      <w:rFonts w:eastAsia="宋体" w:hint="eastAsia"/>
                      <w:color w:val="auto"/>
                      <w:lang w:val="en-US" w:eastAsia="zh-CN"/>
                    </w:rPr>
                  </w:pPr>
                  <w:r>
                    <w:rPr>
                      <w:rFonts w:hint="eastAsia"/>
                      <w:color w:val="auto"/>
                      <w:lang w:val="en-US" w:eastAsia="zh-CN"/>
                    </w:rPr>
                    <w:t>8</w:t>
                  </w:r>
                </w:p>
              </w:tc>
              <w:tc>
                <w:tcPr>
                  <w:tcW w:w="465" w:type="dxa"/>
                  <w:vMerge w:val="restart"/>
                  <w:tcBorders>
                    <w:left w:val="single" w:sz="4" w:space="0" w:color="auto"/>
                  </w:tcBorders>
                  <w:vAlign w:val="center"/>
                </w:tcPr>
                <w:p>
                  <w:pPr>
                    <w:pStyle w:val="39"/>
                    <w:rPr>
                      <w:color w:val="auto"/>
                    </w:rPr>
                  </w:pPr>
                  <w:r>
                    <w:rPr>
                      <w:color w:val="auto"/>
                    </w:rPr>
                    <w:t>土壤污染防治</w:t>
                  </w:r>
                  <w:r>
                    <w:rPr>
                      <w:rFonts w:hint="eastAsia"/>
                      <w:color w:val="auto"/>
                    </w:rPr>
                    <w:t>政策</w:t>
                  </w:r>
                </w:p>
              </w:tc>
              <w:tc>
                <w:tcPr>
                  <w:tcW w:w="1384" w:type="dxa"/>
                  <w:tcBorders>
                    <w:left w:val="single" w:sz="4" w:space="0" w:color="auto"/>
                  </w:tcBorders>
                  <w:vAlign w:val="center"/>
                </w:tcPr>
                <w:p>
                  <w:pPr>
                    <w:pStyle w:val="39"/>
                    <w:rPr>
                      <w:color w:val="auto"/>
                    </w:rPr>
                  </w:pPr>
                  <w:r>
                    <w:rPr>
                      <w:color w:val="auto"/>
                    </w:rPr>
                    <w:t>《土壤污染防治行动计划》</w:t>
                  </w:r>
                </w:p>
              </w:tc>
              <w:tc>
                <w:tcPr>
                  <w:tcW w:w="2317" w:type="dxa"/>
                  <w:tcBorders>
                    <w:left w:val="single" w:sz="4" w:space="0" w:color="auto"/>
                  </w:tcBorders>
                  <w:vAlign w:val="center"/>
                </w:tcPr>
                <w:p>
                  <w:pPr>
                    <w:pStyle w:val="39"/>
                    <w:rPr>
                      <w:color w:val="auto"/>
                    </w:rPr>
                  </w:pPr>
                  <w:r>
                    <w:rPr>
                      <w:color w:val="auto"/>
                    </w:rPr>
                    <w:t>切实加大保护力度，各地要将符合条件的优先保护类耕地划为永久基本农田，实现严格保护，确保其面积不减少、土壤环境质量不下降；防控企业污染，严格控制在优先保护类耕地集中区域新建有色金属冶炼、石油加工、化工、焦化、电镀、制革等行业企业；防范建设用地新增污染，排放重点污染物的项目，在开展环境影响</w:t>
                  </w:r>
                  <w:r>
                    <w:rPr>
                      <w:rFonts w:hint="eastAsia"/>
                      <w:color w:val="auto"/>
                    </w:rPr>
                    <w:t>评价</w:t>
                  </w:r>
                  <w:r>
                    <w:rPr>
                      <w:color w:val="auto"/>
                    </w:rPr>
                    <w:t>时，要增加对土壤环境影响的评价内容，并提出防范土壤污染的具体措施。</w:t>
                  </w:r>
                </w:p>
              </w:tc>
              <w:tc>
                <w:tcPr>
                  <w:tcW w:w="2040" w:type="dxa"/>
                  <w:tcBorders>
                    <w:left w:val="single" w:sz="4" w:space="0" w:color="auto"/>
                  </w:tcBorders>
                  <w:vAlign w:val="center"/>
                </w:tcPr>
                <w:p>
                  <w:pPr>
                    <w:pStyle w:val="39"/>
                    <w:rPr>
                      <w:color w:val="auto"/>
                    </w:rPr>
                  </w:pPr>
                  <w:r>
                    <w:rPr>
                      <w:rStyle w:val="39Char"/>
                      <w:rFonts w:hint="eastAsia"/>
                      <w:color w:val="auto"/>
                    </w:rPr>
                    <w:t>本项目</w:t>
                  </w:r>
                  <w:r>
                    <w:rPr>
                      <w:rStyle w:val="39Char"/>
                      <w:color w:val="auto"/>
                    </w:rPr>
                    <w:t>占地</w:t>
                  </w:r>
                  <w:r>
                    <w:rPr>
                      <w:rStyle w:val="39Char"/>
                      <w:rFonts w:hint="eastAsia"/>
                      <w:color w:val="auto"/>
                    </w:rPr>
                    <w:t>为</w:t>
                  </w:r>
                  <w:r>
                    <w:rPr>
                      <w:rStyle w:val="39Char"/>
                      <w:color w:val="auto"/>
                    </w:rPr>
                    <w:t>工业用地</w:t>
                  </w:r>
                  <w:r>
                    <w:rPr>
                      <w:rStyle w:val="39Char"/>
                      <w:rFonts w:hint="eastAsia"/>
                      <w:color w:val="auto"/>
                    </w:rPr>
                    <w:t>，</w:t>
                  </w:r>
                  <w:r>
                    <w:rPr>
                      <w:rFonts w:hint="eastAsia"/>
                      <w:color w:val="auto"/>
                    </w:rPr>
                    <w:t>不属于有色金属冶炼、石油加工、化工、焦化、电镀、制革等行业，各区域均设置相应的防渗措施</w:t>
                  </w:r>
                  <w:r>
                    <w:rPr>
                      <w:color w:val="auto"/>
                    </w:rPr>
                    <w:t>。</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Align w:val="center"/>
                </w:tcPr>
                <w:p>
                  <w:pPr>
                    <w:pStyle w:val="39"/>
                    <w:rPr>
                      <w:rFonts w:eastAsia="宋体" w:hint="eastAsia"/>
                      <w:color w:val="auto"/>
                      <w:lang w:val="en-US" w:eastAsia="zh-CN"/>
                    </w:rPr>
                  </w:pPr>
                  <w:r>
                    <w:rPr>
                      <w:rFonts w:hint="eastAsia"/>
                      <w:color w:val="auto"/>
                      <w:lang w:val="en-US" w:eastAsia="zh-CN"/>
                    </w:rPr>
                    <w:t>9</w:t>
                  </w:r>
                </w:p>
              </w:tc>
              <w:tc>
                <w:tcPr>
                  <w:tcW w:w="465" w:type="dxa"/>
                  <w:vMerge/>
                  <w:tcBorders>
                    <w:left w:val="single" w:sz="4" w:space="0" w:color="auto"/>
                  </w:tcBorders>
                  <w:vAlign w:val="center"/>
                </w:tcPr>
                <w:p/>
              </w:tc>
              <w:tc>
                <w:tcPr>
                  <w:tcW w:w="1384" w:type="dxa"/>
                  <w:tcBorders>
                    <w:left w:val="single" w:sz="4" w:space="0" w:color="auto"/>
                  </w:tcBorders>
                  <w:vAlign w:val="center"/>
                </w:tcPr>
                <w:p>
                  <w:pPr>
                    <w:pStyle w:val="39"/>
                    <w:rPr>
                      <w:color w:val="auto"/>
                    </w:rPr>
                  </w:pPr>
                  <w:r>
                    <w:rPr>
                      <w:color w:val="auto"/>
                    </w:rPr>
                    <w:t>《河北省</w:t>
                  </w:r>
                  <w:r>
                    <w:rPr>
                      <w:rFonts w:hint="eastAsia"/>
                      <w:color w:val="auto"/>
                    </w:rPr>
                    <w:t>“净土行动”</w:t>
                  </w:r>
                  <w:r>
                    <w:rPr>
                      <w:color w:val="auto"/>
                    </w:rPr>
                    <w:t>土壤污染防治工作方案》</w:t>
                  </w:r>
                </w:p>
              </w:tc>
              <w:tc>
                <w:tcPr>
                  <w:tcW w:w="2317" w:type="dxa"/>
                  <w:tcBorders>
                    <w:left w:val="single" w:sz="4" w:space="0" w:color="auto"/>
                  </w:tcBorders>
                  <w:vAlign w:val="center"/>
                </w:tcPr>
                <w:p>
                  <w:pPr>
                    <w:pStyle w:val="39"/>
                    <w:rPr>
                      <w:color w:val="auto"/>
                    </w:rPr>
                  </w:pPr>
                  <w:r>
                    <w:rPr>
                      <w:color w:val="auto"/>
                    </w:rPr>
                    <w:t>各市、县（市、区）政府编制城市总体规划时，要根据疑似污染地块、污染地块名录及其土壤环境质量评估结果、负面清单，合理确定污染地块的土地用途。城乡规划部门在编制控制性详细规划时，要根据疑似污染地块、污染地块名录及其土壤环境质量评估结果、负面清单，合理确定污染地块的土地用途，明确污染地块再开发利用必须符合规划用途的土壤环境质量要求，并征求同级生态环境部门意见，反馈意见作为附件随控制性详细规划报批。不符合相应规划用地土壤环境质量要求的地块，不得核发建设工程规划许可证。</w:t>
                  </w:r>
                </w:p>
              </w:tc>
              <w:tc>
                <w:tcPr>
                  <w:tcW w:w="2040" w:type="dxa"/>
                  <w:tcBorders>
                    <w:left w:val="single" w:sz="4" w:space="0" w:color="auto"/>
                  </w:tcBorders>
                  <w:vAlign w:val="center"/>
                </w:tcPr>
                <w:p>
                  <w:pPr>
                    <w:pStyle w:val="39"/>
                    <w:rPr>
                      <w:color w:val="auto"/>
                    </w:rPr>
                  </w:pPr>
                  <w:r>
                    <w:rPr>
                      <w:rFonts w:hint="eastAsia"/>
                      <w:color w:val="auto"/>
                      <w:lang w:val="en-US" w:eastAsia="zh-CN"/>
                    </w:rPr>
                    <w:t>根据河北石家庄装备制造产业园总体规划（2022-2030年）环境影响报告书石家庄装备制造产业园国土空间规划图</w:t>
                  </w:r>
                  <w:r>
                    <w:rPr>
                      <w:color w:val="auto"/>
                    </w:rPr>
                    <w:t>本项目占地类型是工业用地，符合用地规划。</w:t>
                  </w:r>
                </w:p>
              </w:tc>
              <w:tc>
                <w:tcPr>
                  <w:tcW w:w="448" w:type="dxa"/>
                  <w:tcBorders>
                    <w:left w:val="single" w:sz="4" w:space="0" w:color="auto"/>
                  </w:tcBorders>
                  <w:vAlign w:val="center"/>
                </w:tcPr>
                <w:p>
                  <w:pPr>
                    <w:pStyle w:val="39"/>
                    <w:rPr>
                      <w:color w:val="auto"/>
                    </w:rPr>
                  </w:pPr>
                  <w:r>
                    <w:rPr>
                      <w:color w:val="auto"/>
                    </w:rPr>
                    <w:t>符合</w:t>
                  </w:r>
                </w:p>
              </w:tc>
            </w:tr>
            <w:tr>
              <w:trPr>
                <w:trHeight w:val="57"/>
              </w:trPr>
              <w:tc>
                <w:tcPr>
                  <w:tcW w:w="431" w:type="dxa"/>
                  <w:vAlign w:val="center"/>
                </w:tcPr>
                <w:p>
                  <w:pPr>
                    <w:pStyle w:val="39"/>
                    <w:rPr>
                      <w:rFonts w:eastAsia="宋体"/>
                      <w:color w:val="auto"/>
                      <w:lang w:val="en-US" w:eastAsia="zh-CN"/>
                    </w:rPr>
                  </w:pPr>
                  <w:r>
                    <w:rPr>
                      <w:rFonts w:hint="eastAsia"/>
                      <w:color w:val="auto"/>
                      <w:lang w:val="en-US" w:eastAsia="zh-CN"/>
                    </w:rPr>
                    <w:t>10</w:t>
                  </w:r>
                </w:p>
              </w:tc>
              <w:tc>
                <w:tcPr>
                  <w:tcW w:w="465" w:type="dxa"/>
                  <w:tcBorders>
                    <w:left w:val="single" w:sz="4" w:space="0" w:color="auto"/>
                  </w:tcBorders>
                  <w:vAlign w:val="center"/>
                </w:tcPr>
                <w:p>
                  <w:pPr>
                    <w:pStyle w:val="39"/>
                    <w:rPr>
                      <w:color w:val="auto"/>
                    </w:rPr>
                  </w:pPr>
                  <w:r>
                    <w:rPr>
                      <w:rFonts w:hint="eastAsia"/>
                      <w:color w:val="auto"/>
                      <w:lang w:val="en-US" w:eastAsia="zh-CN"/>
                    </w:rPr>
                    <w:t>固体废物</w:t>
                  </w:r>
                  <w:r>
                    <w:rPr>
                      <w:color w:val="auto"/>
                    </w:rPr>
                    <w:t>污染防治</w:t>
                  </w:r>
                  <w:r>
                    <w:rPr>
                      <w:rFonts w:hint="eastAsia"/>
                      <w:color w:val="auto"/>
                    </w:rPr>
                    <w:t>政策</w:t>
                  </w:r>
                </w:p>
              </w:tc>
              <w:tc>
                <w:tcPr>
                  <w:tcW w:w="1384" w:type="dxa"/>
                  <w:tcBorders>
                    <w:left w:val="single" w:sz="4" w:space="0" w:color="auto"/>
                  </w:tcBorders>
                  <w:vAlign w:val="center"/>
                </w:tcPr>
                <w:p>
                  <w:pPr>
                    <w:pStyle w:val="39"/>
                    <w:rPr>
                      <w:color w:val="auto"/>
                      <w:lang w:val="en-US"/>
                    </w:rPr>
                  </w:pPr>
                  <w:r>
                    <w:rPr>
                      <w:color w:val="auto"/>
                      <w:lang w:val="en-US" w:eastAsia="zh-CN"/>
                    </w:rPr>
                    <w:t>国务院关于印发《固体废物综合治理行动计划》的通知</w:t>
                  </w:r>
                  <w:r>
                    <w:rPr>
                      <w:rFonts w:hint="eastAsia"/>
                      <w:color w:val="auto"/>
                      <w:lang w:val="en-US" w:eastAsia="zh-CN"/>
                    </w:rPr>
                    <w:t>国发【2025】14号</w:t>
                  </w:r>
                </w:p>
                <w:p>
                  <w:pPr>
                    <w:pStyle w:val="39"/>
                    <w:rPr>
                      <w:color w:val="auto"/>
                    </w:rPr>
                  </w:pPr>
                </w:p>
              </w:tc>
              <w:tc>
                <w:tcPr>
                  <w:tcW w:w="2317" w:type="dxa"/>
                  <w:tcBorders>
                    <w:left w:val="single" w:sz="4" w:space="0" w:color="auto"/>
                  </w:tcBorders>
                  <w:vAlign w:val="center"/>
                </w:tcPr>
                <w:p>
                  <w:pPr>
                    <w:pStyle w:val="39"/>
                    <w:rPr>
                      <w:color w:val="auto"/>
                    </w:rPr>
                  </w:pPr>
                  <w:r>
                    <w:rPr>
                      <w:rFonts w:hint="eastAsia"/>
                      <w:color w:val="auto"/>
                      <w:lang w:val="en-US" w:eastAsia="zh-CN"/>
                    </w:rPr>
                    <w:t>一、</w:t>
                  </w:r>
                  <w:r>
                    <w:rPr>
                      <w:color w:val="auto"/>
                      <w:lang w:val="en-US" w:eastAsia="zh-CN"/>
                    </w:rPr>
                    <w:t>推动源头管控和减量</w:t>
                  </w:r>
                  <w:r>
                    <w:rPr>
                      <w:rFonts w:hint="eastAsia"/>
                      <w:color w:val="auto"/>
                      <w:lang w:val="en-US" w:eastAsia="zh-CN"/>
                    </w:rPr>
                    <w:t>：</w:t>
                  </w:r>
                  <w:r>
                    <w:rPr>
                      <w:color w:val="auto"/>
                      <w:lang w:val="en-US" w:eastAsia="zh-CN"/>
                    </w:rPr>
                    <w:t>加强工业固体废物源头减量</w:t>
                  </w:r>
                  <w:r>
                    <w:rPr>
                      <w:rFonts w:hint="eastAsia"/>
                      <w:color w:val="auto"/>
                      <w:lang w:val="en-US" w:eastAsia="zh-CN"/>
                    </w:rPr>
                    <w:t>，实施城镇固体废物源头管控，减少农林固体废物产生。二、规范收集转运和贮存：加强工业固体废物规范化管理、规范城镇固体废物回收转运体系、提高农林固体废物收集转运能力。三、提升资源化利用水平：加强大宗固体废弃物综合利用、提升再生资源循环利用水平、加强再生材料应用推广、四、增加无害化治理能力：提升全过程无害化水平、稳妥有序探索规模化消纳利用渠道。五、实施重点领域专项整治：开展非法倾倒处置固体废物专项整治、开展生活垃圾填埋场环境污染隐患专项整治、深入推进建筑垃圾专项整治、开展历史遗留固体废物堆存场所专项整治、深入推进磷石膏综合治理。六、严格全过程监管和执法督察：提升信息化监管能力、强化环境执法督察。七、完善法规标准和技术体系：）健全法律法规制度体系、发挥标准牵引作用、强化科技创新支撑。八、加强政策保障：强化用地保障、强化投资财税金融政策支持、完善收费制度。九、强化实施保障：加强组织领导、深化宣传引导和国际合作。</w:t>
                  </w:r>
                </w:p>
              </w:tc>
              <w:tc>
                <w:tcPr>
                  <w:tcW w:w="2040" w:type="dxa"/>
                  <w:tcBorders>
                    <w:left w:val="single" w:sz="4" w:space="0" w:color="auto"/>
                  </w:tcBorders>
                  <w:vAlign w:val="center"/>
                </w:tcPr>
                <w:p>
                  <w:pPr>
                    <w:pStyle w:val="39"/>
                    <w:rPr>
                      <w:rFonts w:hint="eastAsia"/>
                      <w:color w:val="auto"/>
                      <w:lang w:val="en-US" w:eastAsia="zh-CN"/>
                    </w:rPr>
                  </w:pPr>
                  <w:r>
                    <w:rPr>
                      <w:rFonts w:hint="eastAsia"/>
                      <w:color w:val="auto"/>
                      <w:lang w:val="en-US" w:eastAsia="zh-CN"/>
                      <w:highlight w:val="none"/>
                    </w:rPr>
                    <w:t>本项目不新增劳动定员，不新增生活垃圾。本项目运营期固体废物主要为原料包装袋、化验室废液、化验室废包装、废机油、废润滑油、废油桶、除尘灰、废活性炭、废干式酸雾净化器吸附剂。其中，原料废包装袋统一收集后外售，除尘灰回用于生产。化验室废液、化验室废包装、废机油、废润滑油、废油桶、废活性炭、废干式酸雾净化器吸附剂分类密闭容器收集后暂存危废间，定期送有资质单位处理。</w:t>
                  </w:r>
                </w:p>
              </w:tc>
              <w:tc>
                <w:tcPr>
                  <w:tcW w:w="448"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符合</w:t>
                  </w:r>
                </w:p>
              </w:tc>
            </w:tr>
          </w:tbl>
          <w:p>
            <w:pPr>
              <w:rPr>
                <w:color w:val="auto"/>
              </w:rPr>
            </w:pPr>
            <w:r>
              <w:rPr>
                <w:color w:val="auto"/>
              </w:rPr>
              <w:t>综合以上分析可知，本项目建设符合</w:t>
            </w:r>
            <w:r>
              <w:rPr>
                <w:rFonts w:hint="eastAsia"/>
                <w:color w:val="auto"/>
              </w:rPr>
              <w:t>大气、土壤、水</w:t>
            </w:r>
            <w:r>
              <w:rPr>
                <w:color w:val="auto"/>
              </w:rPr>
              <w:t>污染防治</w:t>
            </w:r>
            <w:r>
              <w:rPr>
                <w:rFonts w:hint="eastAsia"/>
                <w:color w:val="auto"/>
              </w:rPr>
              <w:t>政策的</w:t>
            </w:r>
            <w:r>
              <w:rPr>
                <w:color w:val="auto"/>
              </w:rPr>
              <w:t>要求。</w:t>
            </w:r>
          </w:p>
          <w:p>
            <w:pPr>
              <w:rPr>
                <w:b/>
                <w:bCs/>
                <w:color w:val="auto"/>
              </w:rPr>
            </w:pPr>
            <w:r>
              <w:rPr>
                <w:rFonts w:hint="eastAsia"/>
                <w:b/>
                <w:bCs/>
                <w:color w:val="auto"/>
                <w:lang w:val="en-US" w:eastAsia="zh-CN"/>
              </w:rPr>
              <w:t>5</w:t>
            </w:r>
            <w:r>
              <w:rPr>
                <w:b/>
                <w:bCs/>
                <w:color w:val="auto"/>
              </w:rPr>
              <w:t>、</w:t>
            </w:r>
            <w:r>
              <w:rPr>
                <w:rFonts w:hint="eastAsia"/>
                <w:b/>
                <w:bCs/>
                <w:color w:val="auto"/>
                <w:lang w:val="en-US" w:eastAsia="zh-CN"/>
              </w:rPr>
              <w:t>与全国防沙治沙规划符合性分析</w:t>
            </w:r>
          </w:p>
          <w:p>
            <w:pPr>
              <w:rPr>
                <w:color w:val="auto"/>
              </w:rPr>
            </w:pPr>
            <w:r>
              <w:rPr>
                <w:rFonts w:hint="eastAsia"/>
                <w:color w:val="auto"/>
                <w:lang w:val="en-US" w:eastAsia="zh-CN"/>
              </w:rPr>
              <w:t>《中华人民共和国防沙治沙法》规定“在沙化土地范围内从事开发建设活动的，必须事先就该项目可能对当地及相关地区生态产生的影响进行环境影响评价，依法提交环境影响报告，环境影响报告中应包含有关防沙治沙内容”。</w:t>
            </w:r>
          </w:p>
          <w:p>
            <w:pPr>
              <w:rPr>
                <w:color w:val="auto"/>
                <w:highlight w:val="yellow"/>
              </w:rPr>
            </w:pPr>
            <w:r>
              <w:rPr>
                <w:rFonts w:hint="eastAsia"/>
                <w:color w:val="auto"/>
                <w:lang w:val="en-US" w:eastAsia="zh-CN"/>
              </w:rPr>
              <w:t>根据《河北省生态环境厅办公室关于进一步做好沙区建设项目环境影响评价工作的通知》（冀环办字函〔</w:t>
            </w:r>
            <w:r>
              <w:rPr>
                <w:color w:val="auto"/>
                <w:lang w:val="en-US" w:eastAsia="zh-CN"/>
              </w:rPr>
              <w:t>2023</w:t>
            </w:r>
            <w:r>
              <w:rPr>
                <w:rFonts w:hint="eastAsia"/>
                <w:color w:val="auto"/>
                <w:lang w:val="en-US" w:eastAsia="zh-CN"/>
              </w:rPr>
              <w:t>〕</w:t>
            </w:r>
            <w:r>
              <w:rPr>
                <w:color w:val="auto"/>
                <w:lang w:val="en-US" w:eastAsia="zh-CN"/>
              </w:rPr>
              <w:t>326</w:t>
            </w:r>
            <w:r>
              <w:rPr>
                <w:rFonts w:hint="eastAsia"/>
                <w:color w:val="auto"/>
                <w:lang w:val="en-US" w:eastAsia="zh-CN"/>
              </w:rPr>
              <w:t>号），石家庄沙区范围中沙区范围主要涉及的地域包括：藁城区、行唐县、晋州市、灵寿县、深泽县、无极县、新乐市、赵县、正定县。</w:t>
            </w:r>
          </w:p>
          <w:p>
            <w:pPr>
              <w:rPr>
                <w:b/>
                <w:bCs/>
                <w:color w:val="auto"/>
                <w:highlight w:val="none"/>
              </w:rPr>
            </w:pPr>
            <w:r>
              <w:rPr>
                <w:rFonts w:hint="eastAsia"/>
                <w:color w:val="auto"/>
                <w:lang w:val="en-US" w:eastAsia="zh-CN"/>
                <w:highlight w:val="none"/>
              </w:rPr>
              <w:t>本项目位于河北省石家庄装备制造基地胜利南街903号，对照沙区范围主要涉及的地域可知，本项目不涉及沙区地域。</w:t>
            </w:r>
          </w:p>
          <w:p>
            <w:pPr>
              <w:rPr>
                <w:rFonts w:hint="eastAsia"/>
                <w:color w:val="auto"/>
                <w:lang w:val="en-US" w:eastAsia="zh-CN"/>
              </w:rPr>
            </w:pPr>
            <w:r>
              <w:rPr>
                <w:rFonts w:hint="eastAsia"/>
                <w:color w:val="auto"/>
                <w:lang w:val="en-US" w:eastAsia="zh-CN"/>
              </w:rPr>
              <w:t>综上，本项目建设符合污染防治政策要求。</w:t>
            </w:r>
          </w:p>
        </w:tc>
      </w:tr>
    </w:tbl>
    <w:p>
      <w:pPr>
        <w:outlineLvl w:val="0"/>
        <w:rPr>
          <w:rFonts w:eastAsia="黑体"/>
          <w:color w:val="auto"/>
        </w:rPr>
        <w:sectPr>
          <w:footerReference w:type="default" r:id="rId15"/>
          <w:pgSz w:w="11906" w:h="16838"/>
          <w:pgMar w:top="1417" w:right="1417" w:bottom="1417" w:left="1417" w:header="851" w:footer="1077" w:gutter="0"/>
          <w:pgNumType w:start="1"/>
          <w:cols w:num="1" w:space="720"/>
          <w:docGrid w:linePitch="312" w:charSpace="0"/>
        </w:sectPr>
      </w:pPr>
    </w:p>
    <w:p>
      <w:pPr>
        <w:ind w:firstLineChars="0" w:firstLine="0"/>
        <w:jc w:val="center"/>
        <w:outlineLvl w:val="0"/>
        <w:rPr>
          <w:rFonts w:hint="eastAsia"/>
          <w:color w:val="auto"/>
        </w:rPr>
      </w:pPr>
      <w:r>
        <w:rPr>
          <w:rFonts w:ascii="宋体" w:eastAsia="宋体" w:cs="宋体" w:hAnsi="宋体" w:hint="eastAsia"/>
          <w:b/>
          <w:bCs/>
          <w:snapToGrid w:val="0"/>
          <w:color w:val="auto"/>
          <w:sz w:val="30"/>
          <w:szCs w:val="30"/>
        </w:rPr>
        <w:t>二、建设项目工程分析</w:t>
      </w:r>
    </w:p>
    <w:tbl>
      <w:tblPr>
        <w:jc w:val="center"/>
        <w:tblW w:w="539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56"/>
        <w:gridCol w:w="8481"/>
      </w:tblGrid>
      <w:tr>
        <w:trPr>
          <w:trHeight w:val="12542"/>
        </w:trPr>
        <w:tc>
          <w:tcPr>
            <w:tcW w:w="322" w:type="pct"/>
            <w:vAlign w:val="center"/>
          </w:tcPr>
          <w:p>
            <w:pPr>
              <w:adjustRightInd w:val="0"/>
              <w:snapToGrid w:val="0"/>
              <w:spacing w:line="240" w:lineRule="auto"/>
              <w:ind w:firstLineChars="0" w:firstLine="0"/>
              <w:jc w:val="center"/>
              <w:rPr>
                <w:color w:val="auto"/>
              </w:rPr>
            </w:pPr>
            <w:r>
              <w:rPr>
                <w:rFonts w:ascii="宋体" w:cs="宋体" w:hAnsi="宋体" w:hint="eastAsia"/>
                <w:b/>
                <w:bCs/>
                <w:snapToGrid w:val="0"/>
                <w:color w:val="auto"/>
                <w:sz w:val="30"/>
                <w:szCs w:val="30"/>
                <w:lang w:val="en-US" w:eastAsia="zh-CN"/>
              </w:rPr>
              <w:t>-</w:t>
            </w:r>
            <w:r>
              <w:rPr>
                <w:rFonts w:hint="eastAsia"/>
                <w:color w:val="auto"/>
              </w:rPr>
              <w:t>建设内容</w:t>
            </w:r>
          </w:p>
        </w:tc>
        <w:tc>
          <w:tcPr>
            <w:tcW w:w="4677" w:type="pct"/>
          </w:tcPr>
          <w:p>
            <w:pPr>
              <w:adjustRightInd w:val="0"/>
              <w:snapToGrid w:val="0"/>
              <w:rPr>
                <w:b/>
                <w:bCs/>
                <w:color w:val="auto"/>
                <w:szCs w:val="32"/>
              </w:rPr>
            </w:pPr>
            <w:r>
              <w:rPr>
                <w:b/>
                <w:bCs/>
                <w:color w:val="auto"/>
                <w:szCs w:val="32"/>
              </w:rPr>
              <w:t>1、主要建设内容</w:t>
            </w:r>
          </w:p>
          <w:p>
            <w:pPr>
              <w:keepNext w:val="0"/>
              <w:keepLines w:val="0"/>
              <w:widowControl/>
              <w:suppressLineNumbers w:val="0"/>
              <w:jc w:val="left"/>
              <w:rPr>
                <w:rFonts w:ascii="宋体" w:eastAsia="宋体" w:cs="宋体" w:hAnsi="宋体" w:hint="eastAsia"/>
                <w:color w:val="000000"/>
                <w:kern w:val="0"/>
                <w:sz w:val="24"/>
                <w:szCs w:val="24"/>
                <w:lang w:val="en-US" w:eastAsia="zh-CN"/>
              </w:rPr>
            </w:pPr>
            <w:r>
              <w:rPr>
                <w:rFonts w:ascii="宋体" w:eastAsia="宋体" w:cs="宋体" w:hAnsi="宋体" w:hint="eastAsia"/>
                <w:color w:val="000000"/>
                <w:kern w:val="0"/>
                <w:sz w:val="24"/>
                <w:szCs w:val="24"/>
                <w:lang w:val="en-US" w:eastAsia="zh-CN"/>
              </w:rPr>
              <w:t>随着居民的膳食结构和营养需求逐步升级，人们对高品质、多样化、营养健康、绿色安全的农产品需求越来越大，中高端肥料消费群体的不断扩大是必然趋势。着眼于营养提高、功能改善、减量增效、土壤改良、环境友好等需求的新型缓控释肥</w:t>
            </w:r>
            <w:r>
              <w:rPr>
                <w:rFonts w:ascii="宋体" w:cs="宋体" w:hAnsi="宋体" w:hint="eastAsia"/>
                <w:color w:val="000000"/>
                <w:kern w:val="0"/>
                <w:sz w:val="24"/>
                <w:szCs w:val="24"/>
                <w:lang w:val="en-US" w:eastAsia="zh-CN"/>
              </w:rPr>
              <w:t>料</w:t>
            </w:r>
            <w:r>
              <w:rPr>
                <w:rFonts w:ascii="宋体" w:eastAsia="宋体" w:cs="宋体" w:hAnsi="宋体" w:hint="eastAsia"/>
                <w:color w:val="000000"/>
                <w:kern w:val="0"/>
                <w:sz w:val="24"/>
                <w:szCs w:val="24"/>
                <w:lang w:val="en-US" w:eastAsia="zh-CN"/>
              </w:rPr>
              <w:t>，将具有广阔的市场前景。为此，河北卓峰化肥有限公司拟投资200万元建设河北卓峰化肥有限公司产品品质升级技术改造项目</w:t>
            </w:r>
            <w:r>
              <w:rPr>
                <w:rFonts w:ascii="宋体" w:cs="宋体" w:hAnsi="宋体" w:hint="eastAsia"/>
                <w:color w:val="000000"/>
                <w:kern w:val="0"/>
                <w:sz w:val="24"/>
                <w:szCs w:val="24"/>
                <w:lang w:val="en-US" w:eastAsia="zh-CN"/>
              </w:rPr>
              <w:t>，生产包衣复混肥（缓控释肥）。</w:t>
            </w:r>
            <w:r>
              <w:rPr>
                <w:rFonts w:ascii="宋体" w:eastAsia="宋体" w:cs="宋体" w:hAnsi="宋体" w:hint="eastAsia"/>
                <w:color w:val="000000"/>
                <w:kern w:val="0"/>
                <w:sz w:val="24"/>
                <w:szCs w:val="24"/>
                <w:lang w:val="en-US" w:eastAsia="zh-CN"/>
              </w:rPr>
              <w:t>缓控释肥是指施入土壤后转变为植物有效养分的速度比普通肥料缓慢的肥料，其养分释放速率、方式和持续时间可以预先设定，使其与作物生长需求基本同步，从而提高肥效。</w:t>
            </w:r>
          </w:p>
          <w:p>
            <w:pPr>
              <w:keepNext w:val="0"/>
              <w:keepLines w:val="0"/>
              <w:widowControl/>
              <w:suppressLineNumbers w:val="0"/>
              <w:jc w:val="left"/>
              <w:rPr>
                <w:lang w:val="en-US"/>
              </w:rPr>
            </w:pPr>
            <w:r>
              <w:rPr>
                <w:rFonts w:ascii="宋体" w:eastAsia="宋体" w:cs="宋体" w:hAnsi="宋体" w:hint="eastAsia"/>
                <w:color w:val="000000"/>
                <w:kern w:val="0"/>
                <w:sz w:val="24"/>
                <w:szCs w:val="24"/>
                <w:lang w:val="en-US" w:eastAsia="zh-CN"/>
              </w:rPr>
              <w:t>根据《建设项目环境影响评价分类管理名录》（2021年版）的有关规定，本项目属于“二十三、化学原料和化学制品制造业“肥料制造”中“其他””，应编制环境影响报告表。</w:t>
            </w:r>
            <w:r>
              <w:rPr>
                <w:rFonts w:ascii="宋体" w:cs="宋体" w:hAnsi="宋体" w:hint="eastAsia"/>
                <w:color w:val="000000"/>
                <w:kern w:val="0"/>
                <w:sz w:val="24"/>
                <w:szCs w:val="24"/>
                <w:lang w:val="en-US" w:eastAsia="zh-CN"/>
              </w:rPr>
              <w:t>根据建设项目环境影响报告表编制技术指南（污染影响类）（试行）表1专项评价设置原则表可知本项目排放废气含有毒有害污染物甲醛，但厂界外500米范围内没有环境空气保护目标，故无需开展专项评价。</w:t>
            </w:r>
          </w:p>
          <w:p>
            <w:pPr>
              <w:rPr>
                <w:color w:val="auto"/>
                <w:szCs w:val="32"/>
              </w:rPr>
            </w:pPr>
            <w:r>
              <w:rPr>
                <w:rFonts w:hint="eastAsia"/>
                <w:color w:val="auto"/>
                <w:lang w:val="en-US" w:eastAsia="zh-CN"/>
              </w:rPr>
              <w:t>本项目对现有挤压造粒生产线进行技改，增加整形、喷脲、裹油、铺粉工序，其它生产工艺流程不变。新增电蒸汽发生器1台，硫酸脲储存罐1台，脲甲醛储存罐1台，密闭式颗粒整形机1台，防结块粉计量添加机1台，包裹油储存与化料罐1台，斗式提升机2台。年产复混肥10万吨/年，其原有总产能不变，其中：含硫酸脲包衣复混肥1万吨/年；含脲甲醛包衣复混肥2万吨/年；普通复混肥7万吨/年。本项目完成后全厂</w:t>
            </w:r>
            <w:r>
              <w:rPr>
                <w:color w:val="auto"/>
                <w:szCs w:val="32"/>
              </w:rPr>
              <w:t>主要建设内容见表</w:t>
            </w:r>
            <w:r>
              <w:rPr>
                <w:rFonts w:hint="eastAsia"/>
                <w:color w:val="auto"/>
                <w:szCs w:val="32"/>
              </w:rPr>
              <w:t>2</w:t>
            </w:r>
            <w:r>
              <w:rPr>
                <w:color w:val="auto"/>
                <w:szCs w:val="32"/>
              </w:rPr>
              <w:t>-1。</w:t>
            </w:r>
          </w:p>
          <w:p>
            <w:pPr>
              <w:pStyle w:val="40"/>
              <w:rPr>
                <w:color w:val="auto"/>
              </w:rPr>
            </w:pPr>
            <w:r>
              <w:rPr>
                <w:color w:val="auto"/>
              </w:rPr>
              <w:t>表2-1</w:t>
            </w:r>
            <w:r>
              <w:rPr>
                <w:rFonts w:hint="eastAsia"/>
                <w:color w:val="auto"/>
              </w:rPr>
              <w:t xml:space="preserve">  </w:t>
            </w:r>
            <w:r>
              <w:rPr>
                <w:rFonts w:hint="eastAsia"/>
                <w:color w:val="auto"/>
                <w:lang w:val="en-US" w:eastAsia="zh-CN"/>
              </w:rPr>
              <w:t>本项目主要建设内容一览表</w:t>
            </w:r>
          </w:p>
          <w:tbl>
            <w:tblPr>
              <w:jc w:val="center"/>
              <w:tblW w:w="486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716"/>
              <w:gridCol w:w="1068"/>
              <w:gridCol w:w="2341"/>
              <w:gridCol w:w="2500"/>
              <w:gridCol w:w="1402"/>
            </w:tblGrid>
            <w:tr>
              <w:trPr>
                <w:trHeight w:val="379"/>
              </w:trPr>
              <w:tc>
                <w:tcPr>
                  <w:tcW w:w="44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b w:val="0"/>
                      <w:bCs w:val="0"/>
                      <w:color w:val="auto"/>
                      <w:sz w:val="21"/>
                      <w:szCs w:val="21"/>
                      <w:highlight w:val="none"/>
                    </w:rPr>
                  </w:pPr>
                  <w:r>
                    <w:rPr>
                      <w:rFonts w:ascii="Times New Roman" w:eastAsia="宋体" w:hAnsi="Times New Roman"/>
                      <w:b w:val="0"/>
                      <w:bCs w:val="0"/>
                      <w:color w:val="auto"/>
                      <w:sz w:val="21"/>
                      <w:szCs w:val="21"/>
                      <w:highlight w:val="none"/>
                    </w:rPr>
                    <w:t>工程类别</w:t>
                  </w:r>
                </w:p>
              </w:tc>
              <w:tc>
                <w:tcPr>
                  <w:tcW w:w="665"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b w:val="0"/>
                      <w:bCs w:val="0"/>
                      <w:color w:val="auto"/>
                      <w:sz w:val="21"/>
                      <w:szCs w:val="21"/>
                      <w:highlight w:val="none"/>
                    </w:rPr>
                  </w:pPr>
                  <w:r>
                    <w:rPr>
                      <w:rFonts w:ascii="Times New Roman" w:eastAsia="宋体" w:hAnsi="Times New Roman"/>
                      <w:b w:val="0"/>
                      <w:bCs w:val="0"/>
                      <w:color w:val="auto"/>
                      <w:sz w:val="21"/>
                      <w:szCs w:val="21"/>
                      <w:highlight w:val="none"/>
                    </w:rPr>
                    <w:t>项目名称</w:t>
                  </w:r>
                </w:p>
              </w:tc>
              <w:tc>
                <w:tcPr>
                  <w:tcW w:w="3015" w:type="pct"/>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b w:val="0"/>
                      <w:bCs w:val="0"/>
                      <w:color w:val="auto"/>
                      <w:sz w:val="21"/>
                      <w:szCs w:val="21"/>
                      <w:highlight w:val="none"/>
                    </w:rPr>
                  </w:pPr>
                  <w:r>
                    <w:rPr>
                      <w:rFonts w:ascii="Times New Roman" w:eastAsia="宋体" w:hAnsi="Times New Roman"/>
                      <w:b w:val="0"/>
                      <w:bCs w:val="0"/>
                      <w:color w:val="auto"/>
                      <w:sz w:val="21"/>
                      <w:szCs w:val="21"/>
                      <w:highlight w:val="none"/>
                    </w:rPr>
                    <w:t>建设内容</w:t>
                  </w:r>
                </w:p>
              </w:tc>
              <w:tc>
                <w:tcPr>
                  <w:tcW w:w="873"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hint="eastAsia"/>
                      <w:b w:val="0"/>
                      <w:bCs w:val="0"/>
                      <w:color w:val="auto"/>
                      <w:sz w:val="21"/>
                      <w:szCs w:val="21"/>
                      <w:lang w:val="en-US" w:eastAsia="zh-CN"/>
                      <w:highlight w:val="none"/>
                    </w:rPr>
                  </w:pPr>
                  <w:r>
                    <w:rPr>
                      <w:rFonts w:hint="eastAsia"/>
                      <w:b w:val="0"/>
                      <w:bCs w:val="0"/>
                      <w:color w:val="auto"/>
                      <w:sz w:val="21"/>
                      <w:szCs w:val="21"/>
                      <w:lang w:val="en-US" w:eastAsia="zh-CN"/>
                      <w:highlight w:val="none"/>
                    </w:rPr>
                    <w:t>备注</w:t>
                  </w:r>
                </w:p>
              </w:tc>
            </w:tr>
            <w:tr>
              <w:trPr>
                <w:trHeight w:val="439"/>
              </w:trPr>
              <w:tc>
                <w:tcPr>
                  <w:tcW w:w="446" w:type="pct"/>
                  <w:vMerge/>
                  <w:tcBorders>
                    <w:tl2br w:val="nil"/>
                    <w:tr2bl w:val="nil"/>
                  </w:tcBorders>
                  <w:vAlign w:val="center"/>
                </w:tcPr>
                <w:p/>
              </w:tc>
              <w:tc>
                <w:tcPr>
                  <w:tcW w:w="665" w:type="pct"/>
                  <w:vMerge/>
                  <w:tcBorders>
                    <w:tl2br w:val="nil"/>
                    <w:tr2bl w:val="nil"/>
                  </w:tcBorders>
                  <w:vAlign w:val="center"/>
                </w:tcP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hint="eastAsia"/>
                      <w:b w:val="0"/>
                      <w:bCs w:val="0"/>
                      <w:color w:val="auto"/>
                      <w:sz w:val="21"/>
                      <w:szCs w:val="21"/>
                      <w:lang w:val="en-US" w:eastAsia="zh-CN"/>
                      <w:highlight w:val="none"/>
                    </w:rPr>
                  </w:pPr>
                  <w:r>
                    <w:rPr>
                      <w:rFonts w:hint="eastAsia"/>
                      <w:b w:val="0"/>
                      <w:bCs w:val="0"/>
                      <w:color w:val="auto"/>
                      <w:sz w:val="21"/>
                      <w:szCs w:val="21"/>
                      <w:lang w:val="en-US" w:eastAsia="zh-CN"/>
                      <w:highlight w:val="none"/>
                    </w:rPr>
                    <w:t>现有工程</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b w:val="0"/>
                      <w:bCs w:val="0"/>
                      <w:color w:val="auto"/>
                      <w:sz w:val="21"/>
                      <w:szCs w:val="21"/>
                      <w:lang w:val="en-US" w:eastAsia="zh-CN"/>
                      <w:highlight w:val="none"/>
                    </w:rPr>
                  </w:pPr>
                  <w:r>
                    <w:rPr>
                      <w:rFonts w:hint="eastAsia"/>
                      <w:b w:val="0"/>
                      <w:bCs w:val="0"/>
                      <w:color w:val="auto"/>
                      <w:sz w:val="21"/>
                      <w:szCs w:val="21"/>
                      <w:lang w:val="en-US" w:eastAsia="zh-CN"/>
                      <w:highlight w:val="none"/>
                    </w:rPr>
                    <w:t>本项目</w:t>
                  </w:r>
                </w:p>
              </w:tc>
              <w:tc>
                <w:tcPr>
                  <w:tcW w:w="873" w:type="pct"/>
                  <w:vMerge/>
                  <w:tcBorders>
                    <w:tl2br w:val="nil"/>
                    <w:tr2bl w:val="nil"/>
                  </w:tcBorders>
                  <w:vAlign w:val="center"/>
                </w:tcPr>
                <w:p/>
              </w:tc>
            </w:tr>
            <w:tr>
              <w:trPr>
                <w:trHeight w:val="641"/>
              </w:trPr>
              <w:tc>
                <w:tcPr>
                  <w:tcW w:w="44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highlight w:val="none"/>
                    </w:rPr>
                    <w:t>主体工程</w:t>
                  </w: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lang w:val="en-US" w:eastAsia="zh-CN"/>
                      <w:highlight w:val="none"/>
                    </w:rPr>
                  </w:pPr>
                  <w:r>
                    <w:rPr>
                      <w:rFonts w:hint="eastAsia"/>
                      <w:color w:val="auto"/>
                      <w:sz w:val="21"/>
                      <w:szCs w:val="21"/>
                      <w:lang w:val="en-US" w:eastAsia="zh-CN"/>
                      <w:highlight w:val="none"/>
                    </w:rPr>
                    <w:t>团粒型复混肥料生产车间</w:t>
                  </w:r>
                </w:p>
              </w:tc>
              <w:tc>
                <w:tcPr>
                  <w:tcW w:w="1457" w:type="pct"/>
                  <w:tcBorders>
                    <w:tl2br w:val="nil"/>
                    <w:tr2bl w:val="nil"/>
                  </w:tcBorders>
                  <w:vAlign w:val="center"/>
                </w:tcPr>
                <w:p>
                  <w:pPr>
                    <w:snapToGrid w:val="0"/>
                    <w:spacing w:after="0" w:line="280" w:lineRule="exact"/>
                    <w:ind w:right="113"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1座，1层，</w:t>
                  </w:r>
                  <w:r>
                    <w:rPr>
                      <w:rFonts w:ascii="Times New Roman" w:eastAsia="宋体" w:cs="Times New Roman" w:hAnsi="Times New Roman"/>
                      <w:color w:val="auto"/>
                      <w:kern w:val="2"/>
                      <w:sz w:val="21"/>
                      <w:szCs w:val="21"/>
                      <w:lang w:val="en-US" w:eastAsia="zh-CN" w:bidi="ar-SA"/>
                      <w:highlight w:val="none"/>
                    </w:rPr>
                    <w:t>建筑</w:t>
                  </w:r>
                  <w:r>
                    <w:rPr>
                      <w:rFonts w:ascii="Times New Roman" w:eastAsia="宋体" w:cs="Times New Roman" w:hAnsi="Times New Roman" w:hint="eastAsia"/>
                      <w:color w:val="auto"/>
                      <w:kern w:val="2"/>
                      <w:sz w:val="21"/>
                      <w:szCs w:val="21"/>
                      <w:lang w:val="en-US" w:eastAsia="zh-CN" w:bidi="ar-SA"/>
                      <w:highlight w:val="none"/>
                    </w:rPr>
                    <w:t>面积</w:t>
                  </w:r>
                  <w:r>
                    <w:rPr>
                      <w:rFonts w:ascii="Times New Roman" w:eastAsia="宋体" w:cs="Times New Roman" w:hAnsi="Times New Roman"/>
                      <w:color w:val="auto"/>
                      <w:kern w:val="2"/>
                      <w:sz w:val="21"/>
                      <w:szCs w:val="21"/>
                      <w:lang w:val="en-US" w:eastAsia="zh-CN" w:bidi="ar-SA"/>
                      <w:highlight w:val="none"/>
                    </w:rPr>
                    <w:t>4508m</w:t>
                  </w:r>
                  <w:r>
                    <w:rPr>
                      <w:rFonts w:ascii="Times New Roman" w:eastAsia="宋体" w:cs="Times New Roman" w:hAnsi="Times New Roman"/>
                      <w:color w:val="auto"/>
                      <w:kern w:val="2"/>
                      <w:sz w:val="21"/>
                      <w:szCs w:val="21"/>
                      <w:vertAlign w:val="superscript"/>
                      <w:lang w:val="en-US" w:eastAsia="zh-CN" w:bidi="ar-SA"/>
                      <w:highlight w:val="none"/>
                    </w:rPr>
                    <w:t>2</w:t>
                  </w:r>
                  <w:r>
                    <w:rPr>
                      <w:rFonts w:ascii="Times New Roman" w:eastAsia="宋体" w:cs="Times New Roman" w:hAnsi="Times New Roman"/>
                      <w:color w:val="auto"/>
                      <w:kern w:val="2"/>
                      <w:sz w:val="21"/>
                      <w:szCs w:val="21"/>
                      <w:lang w:val="en-US" w:eastAsia="zh-CN" w:bidi="ar-SA"/>
                      <w:highlight w:val="none"/>
                    </w:rPr>
                    <w:t>。</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color w:val="auto"/>
                      <w:sz w:val="21"/>
                      <w:szCs w:val="21"/>
                      <w:lang w:val="en-US" w:eastAsia="zh-CN"/>
                      <w:highlight w:val="none"/>
                    </w:rPr>
                  </w:pPr>
                  <w:r>
                    <w:rPr>
                      <w:rFonts w:ascii="Times New Roman" w:hAnsi="Times New Roman"/>
                      <w:color w:val="auto"/>
                      <w:sz w:val="21"/>
                      <w:szCs w:val="21"/>
                      <w:lang w:val="en-US" w:eastAsia="zh-CN"/>
                      <w:highlight w:val="none"/>
                    </w:rPr>
                    <w:t>挤压造粒生产线</w:t>
                  </w:r>
                  <w:r>
                    <w:rPr>
                      <w:rFonts w:hint="eastAsia"/>
                      <w:color w:val="auto"/>
                      <w:sz w:val="21"/>
                      <w:szCs w:val="21"/>
                      <w:lang w:val="en-US" w:eastAsia="zh-CN"/>
                      <w:highlight w:val="none"/>
                    </w:rPr>
                    <w:t>增加整形、喷脲、裹油、铺粉工序，新增生产设备。</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color w:val="auto"/>
                      <w:sz w:val="21"/>
                      <w:szCs w:val="21"/>
                      <w:lang w:val="en-US" w:eastAsia="zh-CN"/>
                      <w:highlight w:val="none"/>
                    </w:rPr>
                  </w:pPr>
                  <w:r>
                    <w:rPr>
                      <w:rFonts w:ascii="Times New Roman" w:hAnsi="Times New Roman"/>
                      <w:color w:val="auto"/>
                      <w:sz w:val="21"/>
                      <w:szCs w:val="21"/>
                      <w:lang w:val="en-US" w:eastAsia="zh-CN"/>
                      <w:highlight w:val="none"/>
                    </w:rPr>
                    <w:t>依托现有生产车间，新增部分生产设备</w:t>
                  </w:r>
                </w:p>
              </w:tc>
            </w:tr>
            <w:tr>
              <w:trPr>
                <w:trHeight w:val="641"/>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color w:val="auto"/>
                      <w:sz w:val="21"/>
                      <w:szCs w:val="21"/>
                      <w:lang w:val="en-US" w:eastAsia="zh-CN"/>
                      <w:highlight w:val="none"/>
                    </w:rPr>
                  </w:pPr>
                  <w:r>
                    <w:rPr>
                      <w:rFonts w:hint="eastAsia"/>
                      <w:color w:val="auto"/>
                      <w:sz w:val="21"/>
                      <w:szCs w:val="21"/>
                      <w:lang w:val="en-US" w:eastAsia="zh-CN"/>
                      <w:highlight w:val="none"/>
                    </w:rPr>
                    <w:t>掺混型复混肥料生产车间</w:t>
                  </w:r>
                </w:p>
              </w:tc>
              <w:tc>
                <w:tcPr>
                  <w:tcW w:w="1457" w:type="pct"/>
                  <w:tcBorders>
                    <w:tl2br w:val="nil"/>
                    <w:tr2bl w:val="nil"/>
                  </w:tcBorders>
                  <w:vAlign w:val="center"/>
                </w:tcPr>
                <w:p>
                  <w:pPr>
                    <w:snapToGrid w:val="0"/>
                    <w:spacing w:after="0" w:line="280" w:lineRule="exact"/>
                    <w:ind w:right="113"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1座，1层，</w:t>
                  </w:r>
                  <w:r>
                    <w:rPr>
                      <w:rFonts w:ascii="Times New Roman" w:eastAsia="宋体" w:cs="Times New Roman" w:hAnsi="Times New Roman"/>
                      <w:color w:val="auto"/>
                      <w:kern w:val="2"/>
                      <w:sz w:val="21"/>
                      <w:szCs w:val="21"/>
                      <w:lang w:val="en-US" w:eastAsia="zh-CN" w:bidi="ar-SA"/>
                      <w:highlight w:val="none"/>
                    </w:rPr>
                    <w:t>建筑</w:t>
                  </w:r>
                  <w:r>
                    <w:rPr>
                      <w:rFonts w:ascii="Times New Roman" w:eastAsia="宋体" w:cs="Times New Roman" w:hAnsi="Times New Roman" w:hint="eastAsia"/>
                      <w:color w:val="auto"/>
                      <w:kern w:val="2"/>
                      <w:sz w:val="21"/>
                      <w:szCs w:val="21"/>
                      <w:lang w:val="en-US" w:eastAsia="zh-CN" w:bidi="ar-SA"/>
                      <w:highlight w:val="none"/>
                    </w:rPr>
                    <w:t>面积</w:t>
                  </w:r>
                  <w:r>
                    <w:rPr>
                      <w:rFonts w:ascii="Times New Roman" w:eastAsia="宋体" w:cs="Times New Roman" w:hAnsi="Times New Roman"/>
                      <w:color w:val="auto"/>
                      <w:kern w:val="2"/>
                      <w:sz w:val="21"/>
                      <w:szCs w:val="21"/>
                      <w:lang w:val="en-US" w:eastAsia="zh-CN" w:bidi="ar-SA"/>
                      <w:highlight w:val="none"/>
                    </w:rPr>
                    <w:t>4</w:t>
                  </w:r>
                  <w:r>
                    <w:rPr>
                      <w:rFonts w:cs="Times New Roman" w:hint="eastAsia"/>
                      <w:color w:val="auto"/>
                      <w:kern w:val="2"/>
                      <w:sz w:val="21"/>
                      <w:szCs w:val="21"/>
                      <w:lang w:val="en-US" w:eastAsia="zh-CN" w:bidi="ar-SA"/>
                      <w:highlight w:val="none"/>
                    </w:rPr>
                    <w:t>000</w:t>
                  </w:r>
                  <w:r>
                    <w:rPr>
                      <w:rFonts w:ascii="Times New Roman" w:eastAsia="宋体" w:cs="Times New Roman" w:hAnsi="Times New Roman"/>
                      <w:color w:val="auto"/>
                      <w:kern w:val="2"/>
                      <w:sz w:val="21"/>
                      <w:szCs w:val="21"/>
                      <w:lang w:val="en-US" w:eastAsia="zh-CN" w:bidi="ar-SA"/>
                      <w:highlight w:val="none"/>
                    </w:rPr>
                    <w:t>m</w:t>
                  </w:r>
                  <w:r>
                    <w:rPr>
                      <w:rFonts w:ascii="Times New Roman" w:eastAsia="宋体" w:cs="Times New Roman" w:hAnsi="Times New Roman"/>
                      <w:color w:val="auto"/>
                      <w:kern w:val="2"/>
                      <w:sz w:val="21"/>
                      <w:szCs w:val="21"/>
                      <w:vertAlign w:val="superscript"/>
                      <w:lang w:val="en-US" w:eastAsia="zh-CN" w:bidi="ar-SA"/>
                      <w:highlight w:val="none"/>
                    </w:rPr>
                    <w:t>2</w:t>
                  </w:r>
                  <w:r>
                    <w:rPr>
                      <w:rFonts w:ascii="Times New Roman" w:eastAsia="宋体" w:cs="Times New Roman" w:hAnsi="Times New Roman"/>
                      <w:color w:val="auto"/>
                      <w:kern w:val="2"/>
                      <w:sz w:val="21"/>
                      <w:szCs w:val="21"/>
                      <w:lang w:val="en-US" w:eastAsia="zh-CN" w:bidi="ar-SA"/>
                      <w:highlight w:val="none"/>
                    </w:rPr>
                    <w:t>。</w:t>
                  </w:r>
                </w:p>
              </w:tc>
              <w:tc>
                <w:tcPr>
                  <w:tcW w:w="15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不变</w:t>
                  </w:r>
                </w:p>
              </w:tc>
              <w:tc>
                <w:tcPr>
                  <w:tcW w:w="87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highlight w:val="none"/>
                    </w:rPr>
                  </w:pPr>
                  <w:r>
                    <w:rPr>
                      <w:rFonts w:hint="eastAsia"/>
                      <w:color w:val="auto"/>
                      <w:sz w:val="21"/>
                      <w:szCs w:val="21"/>
                      <w:lang w:val="en-US" w:eastAsia="zh-CN"/>
                      <w:highlight w:val="none"/>
                    </w:rPr>
                    <w:t>依托现有</w:t>
                  </w:r>
                </w:p>
              </w:tc>
            </w:tr>
            <w:tr>
              <w:trPr>
                <w:trHeight w:val="641"/>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color w:val="auto"/>
                      <w:sz w:val="21"/>
                      <w:szCs w:val="21"/>
                      <w:lang w:val="en-US" w:eastAsia="zh-CN"/>
                      <w:highlight w:val="none"/>
                    </w:rPr>
                  </w:pPr>
                  <w:r>
                    <w:rPr>
                      <w:rFonts w:hint="eastAsia"/>
                      <w:color w:val="auto"/>
                      <w:sz w:val="21"/>
                      <w:szCs w:val="21"/>
                      <w:lang w:val="en-US" w:eastAsia="zh-CN"/>
                      <w:highlight w:val="none"/>
                    </w:rPr>
                    <w:t>中</w:t>
                  </w:r>
                  <w:r>
                    <w:rPr>
                      <w:rFonts w:ascii="Times New Roman" w:hAnsi="Times New Roman"/>
                      <w:color w:val="auto"/>
                      <w:sz w:val="21"/>
                      <w:szCs w:val="21"/>
                      <w:lang w:val="en-US" w:eastAsia="zh-CN"/>
                      <w:highlight w:val="none"/>
                    </w:rPr>
                    <w:t>微量元素混合车间</w:t>
                  </w:r>
                </w:p>
              </w:tc>
              <w:tc>
                <w:tcPr>
                  <w:tcW w:w="1457" w:type="pct"/>
                  <w:tcBorders>
                    <w:tl2br w:val="nil"/>
                    <w:tr2bl w:val="nil"/>
                  </w:tcBorders>
                  <w:shd w:val="clear" w:color="auto" w:fill="auto"/>
                  <w:vAlign w:val="center"/>
                </w:tcPr>
                <w:p>
                  <w:pPr>
                    <w:snapToGrid w:val="0"/>
                    <w:spacing w:after="0" w:line="280" w:lineRule="exact"/>
                    <w:ind w:right="113"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1座，1层，建筑面300m</w:t>
                  </w:r>
                  <w:r>
                    <w:rPr>
                      <w:rFonts w:ascii="Times New Roman" w:eastAsia="宋体" w:cs="Times New Roman" w:hAnsi="Times New Roman" w:hint="eastAsia"/>
                      <w:color w:val="auto"/>
                      <w:kern w:val="2"/>
                      <w:sz w:val="21"/>
                      <w:szCs w:val="21"/>
                      <w:vertAlign w:val="super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w:t>
                  </w:r>
                </w:p>
              </w:tc>
              <w:tc>
                <w:tcPr>
                  <w:tcW w:w="15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不变</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color w:val="auto"/>
                      <w:sz w:val="21"/>
                      <w:szCs w:val="21"/>
                      <w:lang w:val="en-US" w:eastAsia="zh-CN"/>
                      <w:highlight w:val="none"/>
                    </w:rPr>
                  </w:pPr>
                  <w:r>
                    <w:rPr>
                      <w:rFonts w:hint="eastAsia"/>
                      <w:color w:val="auto"/>
                      <w:sz w:val="21"/>
                      <w:szCs w:val="21"/>
                      <w:lang w:val="en-US" w:eastAsia="zh-CN"/>
                      <w:highlight w:val="none"/>
                    </w:rPr>
                    <w:t>依托现有</w:t>
                  </w:r>
                </w:p>
              </w:tc>
            </w:tr>
            <w:tr>
              <w:trPr>
                <w:trHeight w:val="641"/>
              </w:trPr>
              <w:tc>
                <w:tcPr>
                  <w:tcW w:w="44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lang w:val="en-US" w:eastAsia="zh-CN"/>
                      <w:highlight w:val="none"/>
                    </w:rPr>
                  </w:pPr>
                  <w:r>
                    <w:rPr>
                      <w:rFonts w:ascii="Times New Roman" w:hAnsi="Times New Roman" w:hint="eastAsia"/>
                      <w:color w:val="auto"/>
                      <w:sz w:val="21"/>
                      <w:szCs w:val="21"/>
                      <w:lang w:val="en-US" w:eastAsia="zh-CN"/>
                      <w:highlight w:val="none"/>
                    </w:rPr>
                    <w:t>辅助工程</w:t>
                  </w:r>
                </w:p>
              </w:tc>
              <w:tc>
                <w:tcPr>
                  <w:tcW w:w="66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办公楼</w:t>
                  </w:r>
                </w:p>
              </w:tc>
              <w:tc>
                <w:tcPr>
                  <w:tcW w:w="1457" w:type="pct"/>
                  <w:tcBorders>
                    <w:tl2br w:val="nil"/>
                    <w:tr2bl w:val="nil"/>
                  </w:tcBorders>
                  <w:vAlign w:val="center"/>
                </w:tcPr>
                <w:p>
                  <w:pPr>
                    <w:snapToGrid w:val="0"/>
                    <w:spacing w:after="0" w:line="280" w:lineRule="exact"/>
                    <w:ind w:right="113"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color w:val="auto"/>
                      <w:kern w:val="2"/>
                      <w:sz w:val="21"/>
                      <w:szCs w:val="21"/>
                      <w:lang w:val="en-US" w:eastAsia="zh-CN" w:bidi="ar-SA"/>
                      <w:highlight w:val="none"/>
                    </w:rPr>
                    <w:t>1</w:t>
                  </w:r>
                  <w:r>
                    <w:rPr>
                      <w:rFonts w:ascii="Times New Roman" w:eastAsia="宋体" w:cs="Times New Roman" w:hAnsi="Times New Roman" w:hint="eastAsia"/>
                      <w:color w:val="auto"/>
                      <w:kern w:val="2"/>
                      <w:sz w:val="21"/>
                      <w:szCs w:val="21"/>
                      <w:lang w:val="en-US" w:eastAsia="zh-CN" w:bidi="ar-SA"/>
                      <w:highlight w:val="none"/>
                    </w:rPr>
                    <w:t>座，</w:t>
                  </w:r>
                  <w:r>
                    <w:rPr>
                      <w:rFonts w:ascii="Times New Roman" w:eastAsia="宋体" w:cs="Times New Roman" w:hAnsi="Times New Roman"/>
                      <w:color w:val="auto"/>
                      <w:kern w:val="2"/>
                      <w:sz w:val="21"/>
                      <w:szCs w:val="21"/>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层。建筑面积1066.76m</w:t>
                  </w:r>
                  <w:r>
                    <w:rPr>
                      <w:rFonts w:ascii="Times New Roman" w:eastAsia="宋体" w:cs="Times New Roman" w:hAnsi="Times New Roman" w:hint="eastAsia"/>
                      <w:color w:val="auto"/>
                      <w:kern w:val="2"/>
                      <w:sz w:val="21"/>
                      <w:szCs w:val="21"/>
                      <w:vertAlign w:val="super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color w:val="auto"/>
                      <w:kern w:val="2"/>
                      <w:sz w:val="21"/>
                      <w:szCs w:val="21"/>
                      <w:lang w:val="en-US" w:eastAsia="zh-CN" w:bidi="ar-SA"/>
                      <w:highlight w:val="none"/>
                    </w:rPr>
                  </w:pPr>
                  <w:r>
                    <w:rPr>
                      <w:rFonts w:cs="Times New Roman"/>
                      <w:color w:val="auto"/>
                      <w:kern w:val="2"/>
                      <w:sz w:val="21"/>
                      <w:szCs w:val="21"/>
                      <w:lang w:val="en-US" w:eastAsia="zh-CN" w:bidi="ar-SA"/>
                      <w:highlight w:val="none"/>
                    </w:rPr>
                    <w:t>不变</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color w:val="auto"/>
                      <w:sz w:val="21"/>
                      <w:szCs w:val="21"/>
                      <w:lang w:val="en-US" w:eastAsia="zh-CN"/>
                      <w:highlight w:val="none"/>
                    </w:rPr>
                  </w:pPr>
                  <w:r>
                    <w:rPr>
                      <w:rFonts w:hint="eastAsia"/>
                      <w:color w:val="auto"/>
                      <w:sz w:val="21"/>
                      <w:szCs w:val="21"/>
                      <w:lang w:val="en-US" w:eastAsia="zh-CN"/>
                      <w:highlight w:val="none"/>
                    </w:rPr>
                    <w:t>依托现有</w:t>
                  </w:r>
                </w:p>
              </w:tc>
            </w:tr>
            <w:tr>
              <w:trPr>
                <w:trHeight w:val="629"/>
              </w:trPr>
              <w:tc>
                <w:tcPr>
                  <w:tcW w:w="446" w:type="pct"/>
                  <w:vMerge/>
                  <w:tcBorders>
                    <w:tl2br w:val="nil"/>
                    <w:tr2bl w:val="nil"/>
                  </w:tcBorders>
                  <w:vAlign w:val="center"/>
                </w:tcPr>
                <w:p/>
              </w:tc>
              <w:tc>
                <w:tcPr>
                  <w:tcW w:w="66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化验室</w:t>
                  </w:r>
                </w:p>
              </w:tc>
              <w:tc>
                <w:tcPr>
                  <w:tcW w:w="1457" w:type="pct"/>
                  <w:tcBorders>
                    <w:tl2br w:val="nil"/>
                    <w:tr2bl w:val="nil"/>
                  </w:tcBorders>
                  <w:vAlign w:val="center"/>
                </w:tcPr>
                <w:p>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firstLineChars="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kern w:val="2"/>
                      <w:sz w:val="21"/>
                      <w:szCs w:val="21"/>
                      <w:lang w:val="en-US" w:eastAsia="zh-CN" w:bidi="ar-SA"/>
                      <w:highlight w:val="none"/>
                    </w:rPr>
                    <w:t>办公楼西南角</w:t>
                  </w:r>
                  <w:r>
                    <w:rPr>
                      <w:rFonts w:eastAsia="宋体" w:cs="Times New Roman" w:hint="eastAsia"/>
                      <w:color w:val="auto"/>
                      <w:kern w:val="2"/>
                      <w:sz w:val="21"/>
                      <w:szCs w:val="21"/>
                      <w:lang w:val="en-US" w:eastAsia="zh-CN" w:bidi="ar-SA"/>
                      <w:highlight w:val="none"/>
                    </w:rPr>
                    <w:t>房间</w:t>
                  </w:r>
                  <w:r>
                    <w:rPr>
                      <w:rFonts w:ascii="Times New Roman" w:eastAsia="宋体" w:cs="Times New Roman" w:hAnsi="Times New Roman" w:hint="eastAsia"/>
                      <w:color w:val="auto"/>
                      <w:kern w:val="2"/>
                      <w:sz w:val="21"/>
                      <w:szCs w:val="21"/>
                      <w:lang w:val="en-US" w:eastAsia="zh-CN" w:bidi="ar-SA"/>
                      <w:highlight w:val="none"/>
                    </w:rPr>
                    <w:t>，占地面积46.08m</w:t>
                  </w:r>
                  <w:r>
                    <w:rPr>
                      <w:rFonts w:ascii="Times New Roman" w:eastAsia="宋体" w:cs="Times New Roman" w:hAnsi="Times New Roman" w:hint="eastAsia"/>
                      <w:color w:val="auto"/>
                      <w:kern w:val="2"/>
                      <w:sz w:val="21"/>
                      <w:szCs w:val="21"/>
                      <w:vertAlign w:val="superscript"/>
                      <w:lang w:val="en-US" w:eastAsia="zh-CN" w:bidi="ar-SA"/>
                      <w:highlight w:val="none"/>
                    </w:rPr>
                    <w:t>2</w:t>
                  </w:r>
                  <w:r>
                    <w:rPr>
                      <w:rFonts w:ascii="Times New Roman" w:eastAsia="宋体" w:cs="Times New Roman" w:hAnsi="Times New Roman" w:hint="eastAsia"/>
                      <w:color w:val="auto"/>
                      <w:kern w:val="2"/>
                      <w:sz w:val="21"/>
                      <w:szCs w:val="21"/>
                      <w:lang w:val="en-US" w:eastAsia="zh-CN" w:bidi="ar-SA"/>
                      <w:highlight w:val="none"/>
                    </w:rPr>
                    <w:t>。</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color w:val="auto"/>
                      <w:sz w:val="21"/>
                      <w:szCs w:val="21"/>
                      <w:lang w:val="en-US" w:eastAsia="zh-CN"/>
                      <w:highlight w:val="none"/>
                    </w:rPr>
                  </w:pPr>
                  <w:r>
                    <w:rPr>
                      <w:rFonts w:ascii="Times New Roman" w:hAnsi="Times New Roman"/>
                      <w:color w:val="auto"/>
                      <w:sz w:val="21"/>
                      <w:szCs w:val="21"/>
                      <w:lang w:val="en-US" w:eastAsia="zh-CN"/>
                      <w:highlight w:val="none"/>
                    </w:rPr>
                    <w:t>不变</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color w:val="auto"/>
                      <w:sz w:val="21"/>
                      <w:szCs w:val="21"/>
                      <w:lang w:val="en-US" w:eastAsia="zh-CN"/>
                      <w:highlight w:val="none"/>
                    </w:rPr>
                  </w:pPr>
                  <w:r>
                    <w:rPr>
                      <w:rFonts w:ascii="Times New Roman" w:hAnsi="Times New Roman"/>
                      <w:color w:val="auto"/>
                      <w:sz w:val="21"/>
                      <w:szCs w:val="21"/>
                      <w:lang w:val="en-US" w:eastAsia="zh-CN"/>
                      <w:highlight w:val="none"/>
                    </w:rPr>
                    <w:t>依托现有</w:t>
                  </w:r>
                </w:p>
              </w:tc>
            </w:tr>
            <w:tr>
              <w:trPr>
                <w:trHeight w:val="629"/>
              </w:trPr>
              <w:tc>
                <w:tcPr>
                  <w:tcW w:w="44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color w:val="auto"/>
                      <w:sz w:val="21"/>
                      <w:szCs w:val="21"/>
                      <w:lang w:val="en-US" w:eastAsia="zh-CN"/>
                      <w:highlight w:val="none"/>
                    </w:rPr>
                  </w:pPr>
                  <w:r>
                    <w:rPr>
                      <w:rFonts w:ascii="Times New Roman" w:hAnsi="Times New Roman" w:hint="eastAsia"/>
                      <w:color w:val="auto"/>
                      <w:sz w:val="21"/>
                      <w:szCs w:val="21"/>
                      <w:lang w:val="en-US" w:eastAsia="zh-CN"/>
                      <w:highlight w:val="none"/>
                    </w:rPr>
                    <w:t>储运工程</w:t>
                  </w:r>
                </w:p>
              </w:tc>
              <w:tc>
                <w:tcPr>
                  <w:tcW w:w="66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成品库</w:t>
                  </w:r>
                </w:p>
              </w:tc>
              <w:tc>
                <w:tcPr>
                  <w:tcW w:w="1457" w:type="pct"/>
                  <w:tcBorders>
                    <w:tl2br w:val="nil"/>
                    <w:tr2bl w:val="nil"/>
                  </w:tcBorders>
                  <w:shd w:val="clear" w:color="auto" w:fill="auto"/>
                  <w:vAlign w:val="center"/>
                </w:tcPr>
                <w:p>
                  <w:pPr>
                    <w:snapToGrid w:val="0"/>
                    <w:spacing w:after="0" w:line="280" w:lineRule="exact"/>
                    <w:ind w:right="113" w:firstLineChars="0" w:firstLine="0"/>
                    <w:jc w:val="center"/>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2</w:t>
                  </w:r>
                  <w:r>
                    <w:rPr>
                      <w:rFonts w:ascii="Times New Roman" w:eastAsia="宋体" w:cs="Times New Roman" w:hAnsi="Times New Roman"/>
                      <w:color w:val="auto"/>
                      <w:kern w:val="2"/>
                      <w:sz w:val="21"/>
                      <w:szCs w:val="21"/>
                      <w:lang w:val="en-US" w:eastAsia="zh-CN" w:bidi="ar-SA"/>
                      <w:highlight w:val="none"/>
                    </w:rPr>
                    <w:t>座，储存产品</w:t>
                  </w:r>
                  <w:r>
                    <w:rPr>
                      <w:rFonts w:ascii="Times New Roman" w:eastAsia="宋体" w:cs="Times New Roman" w:hAnsi="Times New Roman" w:hint="eastAsia"/>
                      <w:color w:val="auto"/>
                      <w:kern w:val="2"/>
                      <w:sz w:val="21"/>
                      <w:szCs w:val="21"/>
                      <w:lang w:val="en-US" w:eastAsia="zh-CN" w:bidi="ar-SA"/>
                      <w:highlight w:val="none"/>
                    </w:rPr>
                    <w:t>。</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不变</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依托现有</w:t>
                  </w:r>
                </w:p>
              </w:tc>
            </w:tr>
            <w:tr>
              <w:trPr>
                <w:trHeight w:val="629"/>
              </w:trPr>
              <w:tc>
                <w:tcPr>
                  <w:tcW w:w="446" w:type="pct"/>
                  <w:vMerge/>
                  <w:tcBorders>
                    <w:tl2br w:val="nil"/>
                    <w:tr2bl w:val="nil"/>
                  </w:tcBorders>
                  <w:vAlign w:val="center"/>
                </w:tcPr>
                <w:p/>
              </w:tc>
              <w:tc>
                <w:tcPr>
                  <w:tcW w:w="66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原料库</w:t>
                  </w:r>
                </w:p>
              </w:tc>
              <w:tc>
                <w:tcPr>
                  <w:tcW w:w="1457" w:type="pct"/>
                  <w:tcBorders>
                    <w:tl2br w:val="nil"/>
                    <w:tr2bl w:val="nil"/>
                  </w:tcBorders>
                  <w:shd w:val="clear" w:color="auto" w:fill="auto"/>
                  <w:vAlign w:val="center"/>
                </w:tcPr>
                <w:p>
                  <w:pPr>
                    <w:snapToGrid w:val="0"/>
                    <w:spacing w:after="0" w:line="280" w:lineRule="exact"/>
                    <w:ind w:right="113" w:firstLineChars="0" w:firstLine="0"/>
                    <w:jc w:val="center"/>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4座，储存原辅材料</w:t>
                  </w:r>
                </w:p>
              </w:tc>
              <w:tc>
                <w:tcPr>
                  <w:tcW w:w="15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不变</w:t>
                  </w:r>
                </w:p>
              </w:tc>
              <w:tc>
                <w:tcPr>
                  <w:tcW w:w="87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依托现有</w:t>
                  </w:r>
                </w:p>
              </w:tc>
            </w:tr>
            <w:tr>
              <w:trPr>
                <w:trHeight w:val="397"/>
              </w:trPr>
              <w:tc>
                <w:tcPr>
                  <w:tcW w:w="44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sz w:val="21"/>
                      <w:szCs w:val="21"/>
                      <w:lang w:val="en-US" w:eastAsia="zh-CN"/>
                      <w:highlight w:val="none"/>
                    </w:rPr>
                  </w:pPr>
                  <w:r>
                    <w:rPr>
                      <w:rFonts w:ascii="Times New Roman" w:cs="Times New Roman" w:hAnsi="Times New Roman"/>
                      <w:color w:val="auto"/>
                      <w:sz w:val="21"/>
                      <w:szCs w:val="21"/>
                      <w:lang w:val="en-US" w:eastAsia="zh-CN"/>
                      <w:highlight w:val="none"/>
                    </w:rPr>
                    <w:t>公用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cs="Times New Roman" w:hAnsi="Times New Roman"/>
                      <w:color w:val="auto"/>
                      <w:sz w:val="21"/>
                      <w:szCs w:val="21"/>
                      <w:lang w:val="en-US" w:eastAsia="zh-CN"/>
                      <w:highlight w:val="none"/>
                    </w:rPr>
                    <w:t>工程</w:t>
                  </w: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highlight w:val="none"/>
                    </w:rPr>
                    <w:t>供水</w:t>
                  </w: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hint="eastAsia"/>
                      <w:color w:val="auto"/>
                      <w:sz w:val="21"/>
                      <w:szCs w:val="21"/>
                      <w:lang w:val="en-US" w:eastAsia="zh-CN"/>
                      <w:highlight w:val="none"/>
                    </w:rPr>
                    <w:t>由园区供水管网提供</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hint="eastAsia"/>
                      <w:color w:val="auto"/>
                      <w:sz w:val="21"/>
                      <w:szCs w:val="21"/>
                      <w:lang w:val="en-US" w:eastAsia="zh-CN"/>
                      <w:highlight w:val="none"/>
                    </w:rPr>
                    <w:t>不变</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lang w:val="en-US" w:eastAsia="zh-CN"/>
                      <w:highlight w:val="none"/>
                    </w:rPr>
                  </w:pPr>
                  <w:r>
                    <w:rPr>
                      <w:rFonts w:hint="eastAsia"/>
                      <w:color w:val="auto"/>
                      <w:sz w:val="21"/>
                      <w:szCs w:val="21"/>
                      <w:lang w:val="en-US" w:eastAsia="zh-CN"/>
                      <w:highlight w:val="none"/>
                    </w:rPr>
                    <w:t>依托现有</w:t>
                  </w:r>
                </w:p>
              </w:tc>
            </w:tr>
            <w:tr>
              <w:trPr>
                <w:trHeight w:val="90"/>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highlight w:val="none"/>
                    </w:rPr>
                    <w:t>供电</w:t>
                  </w: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lang w:val="en-US" w:eastAsia="zh-CN"/>
                      <w:highlight w:val="none"/>
                    </w:rPr>
                    <w:t>由园区变电站提供</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lang w:val="en-US" w:eastAsia="zh-CN"/>
                      <w:highlight w:val="none"/>
                    </w:rPr>
                  </w:pPr>
                  <w:r>
                    <w:rPr>
                      <w:rFonts w:hint="eastAsia"/>
                      <w:color w:val="auto"/>
                      <w:sz w:val="21"/>
                      <w:szCs w:val="21"/>
                      <w:lang w:val="en-US" w:eastAsia="zh-CN"/>
                      <w:highlight w:val="none"/>
                    </w:rPr>
                    <w:t>本</w:t>
                  </w:r>
                  <w:r>
                    <w:rPr>
                      <w:rFonts w:ascii="Times New Roman" w:eastAsia="宋体" w:hAnsi="Times New Roman"/>
                      <w:color w:val="auto"/>
                      <w:sz w:val="21"/>
                      <w:szCs w:val="21"/>
                      <w:highlight w:val="none"/>
                    </w:rPr>
                    <w:t>项目</w:t>
                  </w:r>
                  <w:r>
                    <w:rPr>
                      <w:rFonts w:hint="eastAsia"/>
                      <w:color w:val="auto"/>
                      <w:sz w:val="21"/>
                      <w:szCs w:val="21"/>
                      <w:lang w:val="en-US" w:eastAsia="zh-CN"/>
                      <w:highlight w:val="none"/>
                    </w:rPr>
                    <w:t>新增</w:t>
                  </w:r>
                  <w:r>
                    <w:rPr>
                      <w:rFonts w:ascii="Times New Roman" w:eastAsia="宋体" w:hAnsi="Times New Roman"/>
                      <w:color w:val="auto"/>
                      <w:sz w:val="21"/>
                      <w:szCs w:val="21"/>
                      <w:highlight w:val="none"/>
                    </w:rPr>
                    <w:t>用电量</w:t>
                  </w:r>
                  <w:r>
                    <w:rPr>
                      <w:rFonts w:hint="eastAsia"/>
                      <w:color w:val="auto"/>
                      <w:sz w:val="21"/>
                      <w:szCs w:val="21"/>
                      <w:lang w:val="en-US" w:eastAsia="zh-CN"/>
                      <w:highlight w:val="none"/>
                    </w:rPr>
                    <w:t>3万</w:t>
                  </w:r>
                  <w:r>
                    <w:rPr>
                      <w:rFonts w:ascii="Times New Roman" w:eastAsia="宋体" w:hAnsi="Times New Roman" w:hint="eastAsia"/>
                      <w:color w:val="auto"/>
                      <w:sz w:val="21"/>
                      <w:szCs w:val="21"/>
                      <w:lang w:val="en-US" w:eastAsia="zh-CN"/>
                      <w:highlight w:val="none"/>
                    </w:rPr>
                    <w:t>k</w:t>
                  </w:r>
                  <w:r>
                    <w:rPr>
                      <w:rFonts w:ascii="Times New Roman" w:eastAsia="宋体" w:hAnsi="Times New Roman"/>
                      <w:color w:val="auto"/>
                      <w:sz w:val="21"/>
                      <w:szCs w:val="21"/>
                      <w:highlight w:val="none"/>
                    </w:rPr>
                    <w:t>W·h</w:t>
                  </w:r>
                  <w:r>
                    <w:rPr>
                      <w:rFonts w:hint="eastAsia"/>
                      <w:color w:val="auto"/>
                      <w:sz w:val="21"/>
                      <w:szCs w:val="21"/>
                      <w:lang w:val="en-US" w:eastAsia="zh-CN"/>
                      <w:highlight w:val="none"/>
                    </w:rPr>
                    <w:t>/a</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lang w:val="en-US" w:eastAsia="zh-CN"/>
                      <w:highlight w:val="none"/>
                    </w:rPr>
                    <w:t>新增</w:t>
                  </w:r>
                  <w:r>
                    <w:rPr>
                      <w:rFonts w:ascii="Times New Roman" w:eastAsia="宋体" w:hAnsi="Times New Roman"/>
                      <w:color w:val="auto"/>
                      <w:sz w:val="21"/>
                      <w:szCs w:val="21"/>
                      <w:highlight w:val="none"/>
                    </w:rPr>
                    <w:t>用电量</w:t>
                  </w:r>
                  <w:r>
                    <w:rPr>
                      <w:rFonts w:ascii="Times New Roman" w:eastAsia="宋体" w:hAnsi="Times New Roman"/>
                      <w:color w:val="auto"/>
                      <w:sz w:val="21"/>
                      <w:szCs w:val="21"/>
                      <w:lang w:val="en-US" w:eastAsia="zh-CN"/>
                      <w:highlight w:val="none"/>
                    </w:rPr>
                    <w:t>3万k</w:t>
                  </w:r>
                  <w:r>
                    <w:rPr>
                      <w:rFonts w:ascii="Times New Roman" w:eastAsia="宋体" w:hAnsi="Times New Roman"/>
                      <w:color w:val="auto"/>
                      <w:sz w:val="21"/>
                      <w:szCs w:val="21"/>
                      <w:highlight w:val="none"/>
                    </w:rPr>
                    <w:t>W·h</w:t>
                  </w:r>
                  <w:r>
                    <w:rPr>
                      <w:rFonts w:ascii="Times New Roman" w:eastAsia="宋体" w:hAnsi="Times New Roman"/>
                      <w:color w:val="auto"/>
                      <w:sz w:val="21"/>
                      <w:szCs w:val="21"/>
                      <w:lang w:val="en-US" w:eastAsia="zh-CN"/>
                      <w:highlight w:val="none"/>
                    </w:rPr>
                    <w:t>/a</w:t>
                  </w:r>
                </w:p>
              </w:tc>
            </w:tr>
            <w:tr>
              <w:trPr>
                <w:trHeight w:val="90"/>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highlight w:val="none"/>
                    </w:rPr>
                    <w:t>供热</w:t>
                  </w: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hint="eastAsia"/>
                      <w:color w:val="auto"/>
                      <w:sz w:val="21"/>
                      <w:szCs w:val="21"/>
                      <w:lang w:val="en-US" w:eastAsia="zh-CN"/>
                      <w:highlight w:val="none"/>
                    </w:rPr>
                    <w:t>生产用热使用天然气，由石家庄新奥中泓天然气公司提供，办公楼冬季供暖由空调提供。</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color w:val="auto"/>
                      <w:sz w:val="21"/>
                      <w:szCs w:val="21"/>
                      <w:lang w:val="en-US" w:eastAsia="zh-CN"/>
                      <w:highlight w:val="none"/>
                    </w:rPr>
                  </w:pPr>
                  <w:r>
                    <w:rPr>
                      <w:rFonts w:hint="eastAsia"/>
                      <w:color w:val="auto"/>
                      <w:sz w:val="21"/>
                      <w:szCs w:val="21"/>
                      <w:lang w:val="en-US" w:eastAsia="zh-CN"/>
                      <w:highlight w:val="none"/>
                    </w:rPr>
                    <w:t>本项目不新增天然气用量。</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color w:val="auto"/>
                      <w:sz w:val="21"/>
                      <w:szCs w:val="21"/>
                      <w:lang w:val="en-US" w:eastAsia="zh-CN"/>
                      <w:highlight w:val="none"/>
                    </w:rPr>
                  </w:pPr>
                  <w:r>
                    <w:rPr>
                      <w:rFonts w:hint="eastAsia"/>
                      <w:color w:val="auto"/>
                      <w:sz w:val="21"/>
                      <w:szCs w:val="21"/>
                      <w:lang w:val="en-US" w:eastAsia="zh-CN"/>
                      <w:highlight w:val="none"/>
                    </w:rPr>
                    <w:t>依托现有</w:t>
                  </w:r>
                </w:p>
              </w:tc>
            </w:tr>
            <w:tr>
              <w:trPr>
                <w:trHeight w:val="667"/>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color w:val="auto"/>
                      <w:sz w:val="21"/>
                      <w:szCs w:val="21"/>
                      <w:lang w:val="en-US" w:eastAsia="zh-CN"/>
                      <w:highlight w:val="none"/>
                    </w:rPr>
                  </w:pPr>
                  <w:r>
                    <w:rPr>
                      <w:rFonts w:ascii="Times New Roman" w:hAnsi="Times New Roman" w:hint="eastAsia"/>
                      <w:color w:val="auto"/>
                      <w:sz w:val="21"/>
                      <w:szCs w:val="21"/>
                      <w:lang w:val="en-US" w:eastAsia="zh-CN"/>
                      <w:highlight w:val="none"/>
                    </w:rPr>
                    <w:t>制冷</w:t>
                  </w: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lang w:val="en-US" w:eastAsia="zh-CN"/>
                      <w:highlight w:val="none"/>
                    </w:rPr>
                  </w:pPr>
                  <w:r>
                    <w:rPr>
                      <w:rFonts w:ascii="Times New Roman" w:hAnsi="Times New Roman" w:hint="eastAsia"/>
                      <w:color w:val="auto"/>
                      <w:sz w:val="21"/>
                      <w:szCs w:val="21"/>
                      <w:lang w:val="en-US" w:eastAsia="zh-CN"/>
                      <w:highlight w:val="none"/>
                    </w:rPr>
                    <w:t>夏季办公区制冷采用单体空调。</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color w:val="auto"/>
                      <w:sz w:val="21"/>
                      <w:szCs w:val="21"/>
                      <w:lang w:val="en-US" w:eastAsia="zh-CN"/>
                      <w:highlight w:val="none"/>
                    </w:rPr>
                  </w:pPr>
                  <w:r>
                    <w:rPr>
                      <w:rFonts w:hint="eastAsia"/>
                      <w:color w:val="auto"/>
                      <w:sz w:val="21"/>
                      <w:szCs w:val="21"/>
                      <w:lang w:val="en-US" w:eastAsia="zh-CN"/>
                      <w:highlight w:val="none"/>
                    </w:rPr>
                    <w:t>不变</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color w:val="auto"/>
                      <w:sz w:val="21"/>
                      <w:szCs w:val="21"/>
                      <w:lang w:val="en-US" w:eastAsia="zh-CN"/>
                      <w:highlight w:val="none"/>
                    </w:rPr>
                  </w:pPr>
                  <w:r>
                    <w:rPr>
                      <w:rFonts w:hint="eastAsia"/>
                      <w:color w:val="auto"/>
                      <w:sz w:val="21"/>
                      <w:szCs w:val="21"/>
                      <w:lang w:val="en-US" w:eastAsia="zh-CN"/>
                      <w:highlight w:val="none"/>
                    </w:rPr>
                    <w:t>依托现有</w:t>
                  </w:r>
                </w:p>
              </w:tc>
            </w:tr>
            <w:tr>
              <w:trPr>
                <w:trHeight w:val="90"/>
              </w:trPr>
              <w:tc>
                <w:tcPr>
                  <w:tcW w:w="44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highlight w:val="none"/>
                    </w:rPr>
                    <w:t>环保工程</w:t>
                  </w: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hint="eastAsia"/>
                      <w:color w:val="auto"/>
                      <w:sz w:val="21"/>
                      <w:szCs w:val="21"/>
                      <w:lang w:val="en-US" w:eastAsia="zh-CN"/>
                      <w:highlight w:val="none"/>
                    </w:rPr>
                  </w:pPr>
                  <w:r>
                    <w:rPr>
                      <w:rFonts w:ascii="Times New Roman" w:eastAsia="宋体" w:hAnsi="Times New Roman"/>
                      <w:color w:val="auto"/>
                      <w:sz w:val="21"/>
                      <w:szCs w:val="21"/>
                      <w:highlight w:val="none"/>
                    </w:rPr>
                    <w:t>废气</w:t>
                  </w: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微量元素混合车间废气</w:t>
                  </w:r>
                  <w:r>
                    <w:rPr>
                      <w:rFonts w:cs="Times New Roman" w:hint="eastAsia"/>
                      <w:color w:val="auto"/>
                      <w:sz w:val="21"/>
                      <w:szCs w:val="21"/>
                      <w:lang w:val="en-US" w:eastAsia="zh-CN"/>
                      <w:highlight w:val="none"/>
                    </w:rPr>
                    <w:t>经集气罩+袋式除尘器（TA001）+15m排气筒P1排放；投料工序废气（粉末状投料废气和中微量元素投料废气）由2套集气罩+软帘收集，袋装废气由集气罩+软帘收集，第一次破碎废气、造粒废气、第二次破碎废气、第一次筛分废气、第二次筛分废气、冷却废气、抛光废气由密闭管路负压收集，以上废气经旋风除尘器（TA001）+袋式除尘器（TA002）+15m排气筒P2排放；生产车间烘干废气由密闭管路负压收集经旋风除尘器（TA002）+旋转吸附机+水喷淋塔+15m排气筒P3排放；燃烧废气通过15m排气筒P3排放。</w:t>
                  </w:r>
                </w:p>
              </w:tc>
              <w:tc>
                <w:tcPr>
                  <w:tcW w:w="15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highlight w:val="none"/>
                    </w:rPr>
                  </w:pPr>
                  <w:r>
                    <w:rPr>
                      <w:rFonts w:hint="eastAsia"/>
                      <w:color w:val="auto"/>
                      <w:sz w:val="21"/>
                      <w:szCs w:val="21"/>
                      <w:lang w:val="en-US" w:eastAsia="zh-CN"/>
                      <w:highlight w:val="none"/>
                    </w:rPr>
                    <w:t>微量元素混合车间废气经集气罩、管道+袋式除尘器（TA001）+15m排气筒P1排放；挤压造粒车间：投料工序废气、袋装废气由集气罩+软帘收集，第一次破碎废气、造粒废气、第二次破碎废气、第一次筛分废气、整形废气、喷脲废气、第二次筛分废气、裹油废气、铺粉废气、冷却废气、抛光废气由密闭管道收集，以上废气经旋风除尘器（TA001）+袋式除尘器（TA002）+ 二级活性炭吸附装置TA002+15m排气筒P2排放；生产车间烘干废气由密闭管路负压收集经旋风除尘器（TA002）+旋转吸附机+水喷淋塔+15m排气筒P3排放；燃烧废气通过15m排气筒P3排放。化验室废气经集气罩+二级活性炭吸附装置TA001+干式酸雾净化器15m排气筒P4排放。</w:t>
                  </w:r>
                </w:p>
              </w:tc>
              <w:tc>
                <w:tcPr>
                  <w:tcW w:w="87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highlight w:val="none"/>
                    </w:rPr>
                  </w:pPr>
                  <w:r>
                    <w:rPr>
                      <w:rFonts w:hint="eastAsia"/>
                      <w:color w:val="auto"/>
                      <w:sz w:val="21"/>
                      <w:szCs w:val="21"/>
                      <w:lang w:val="en-US" w:eastAsia="zh-CN"/>
                      <w:highlight w:val="none"/>
                    </w:rPr>
                    <w:t>本项目新建二级活性炭吸附装置TA001+干式酸雾净化器15m排气筒P4；现有P2排气筒治理措施新增二级活性炭吸附装置TA001一套，其余环保设施依托现有。</w:t>
                  </w:r>
                </w:p>
              </w:tc>
            </w:tr>
            <w:tr>
              <w:trPr>
                <w:trHeight w:val="646"/>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hint="eastAsia"/>
                      <w:color w:val="auto"/>
                      <w:sz w:val="21"/>
                      <w:szCs w:val="21"/>
                      <w:highlight w:val="none"/>
                    </w:rPr>
                  </w:pPr>
                  <w:r>
                    <w:rPr>
                      <w:rFonts w:ascii="Times New Roman" w:eastAsia="宋体" w:hAnsi="Times New Roman"/>
                      <w:color w:val="auto"/>
                      <w:sz w:val="21"/>
                      <w:szCs w:val="21"/>
                      <w:highlight w:val="none"/>
                    </w:rPr>
                    <w:t>废水</w:t>
                  </w: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生活污水经多格生物化粪池处理后排入污水管网，进入石家庄装备制造基地绿源污</w:t>
                  </w:r>
                  <w:r>
                    <w:rPr>
                      <w:rFonts w:cs="Times New Roman" w:hint="eastAsia"/>
                      <w:color w:val="auto"/>
                      <w:sz w:val="21"/>
                      <w:szCs w:val="21"/>
                      <w:lang w:val="en-US" w:eastAsia="zh-CN"/>
                      <w:highlight w:val="none"/>
                    </w:rPr>
                    <w:t>水处理有限公司</w:t>
                  </w:r>
                  <w:r>
                    <w:rPr>
                      <w:rFonts w:ascii="Times New Roman" w:cs="Times New Roman" w:hAnsi="Times New Roman" w:hint="eastAsia"/>
                      <w:color w:val="auto"/>
                      <w:sz w:val="21"/>
                      <w:szCs w:val="21"/>
                      <w:lang w:val="en-US" w:eastAsia="zh-CN"/>
                      <w:highlight w:val="none"/>
                    </w:rPr>
                    <w:t>处理。</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本项目不新增用水量。</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依托现有</w:t>
                  </w:r>
                </w:p>
              </w:tc>
            </w:tr>
            <w:tr>
              <w:trPr>
                <w:trHeight w:val="397"/>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highlight w:val="none"/>
                    </w:rPr>
                    <w:t>噪声</w:t>
                  </w:r>
                </w:p>
              </w:tc>
              <w:tc>
                <w:tcPr>
                  <w:tcW w:w="14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采取低噪声设备</w:t>
                  </w:r>
                  <w:r>
                    <w:rPr>
                      <w:rFonts w:ascii="Times New Roman" w:cs="Times New Roman" w:hAnsi="Times New Roman"/>
                      <w:color w:val="auto"/>
                      <w:sz w:val="21"/>
                      <w:szCs w:val="21"/>
                      <w:lang w:val="en-US" w:eastAsia="zh-CN"/>
                      <w:highlight w:val="none"/>
                    </w:rPr>
                    <w:t>，</w:t>
                  </w:r>
                  <w:r>
                    <w:rPr>
                      <w:rFonts w:cs="Times New Roman" w:hint="eastAsia"/>
                      <w:color w:val="auto"/>
                      <w:sz w:val="21"/>
                      <w:szCs w:val="21"/>
                      <w:lang w:val="en-US" w:eastAsia="zh-CN"/>
                      <w:highlight w:val="none"/>
                    </w:rPr>
                    <w:t>厂房隔声，基础减震</w:t>
                  </w:r>
                  <w:r>
                    <w:rPr>
                      <w:rFonts w:ascii="Times New Roman" w:cs="Times New Roman" w:hAnsi="Times New Roman" w:hint="eastAsia"/>
                      <w:color w:val="auto"/>
                      <w:sz w:val="21"/>
                      <w:szCs w:val="21"/>
                      <w:lang w:val="en-US" w:eastAsia="zh-CN"/>
                      <w:highlight w:val="none"/>
                    </w:rPr>
                    <w:t>。</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采取低噪声设备，厂房隔声，基础减震。</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新增设备</w:t>
                  </w:r>
                </w:p>
              </w:tc>
            </w:tr>
            <w:tr>
              <w:trPr>
                <w:trHeight w:val="259"/>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hint="eastAsia"/>
                      <w:color w:val="auto"/>
                      <w:sz w:val="21"/>
                      <w:szCs w:val="21"/>
                      <w:lang w:val="en-US" w:eastAsia="zh-CN"/>
                      <w:highlight w:val="none"/>
                    </w:rPr>
                  </w:pPr>
                  <w:r>
                    <w:rPr>
                      <w:rFonts w:ascii="Times New Roman" w:eastAsia="宋体" w:hAnsi="Times New Roman"/>
                      <w:color w:val="auto"/>
                      <w:sz w:val="21"/>
                      <w:szCs w:val="21"/>
                      <w:highlight w:val="none"/>
                    </w:rPr>
                    <w:t>固废</w:t>
                  </w:r>
                </w:p>
              </w:tc>
              <w:tc>
                <w:tcPr>
                  <w:tcW w:w="14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both"/>
                    <w:textAlignment w:val="auto"/>
                    <w:outlineLvl w:val="9"/>
                    <w:rPr>
                      <w:rFonts w:ascii="Times New Roman" w:eastAsia="宋体" w:cs="Times New Roman" w:hAnsi="Times New Roman"/>
                      <w:color w:val="auto"/>
                      <w:kern w:val="2"/>
                      <w:sz w:val="24"/>
                      <w:szCs w:val="24"/>
                      <w:vertAlign w:val="baseline"/>
                      <w:lang w:val="en-US" w:eastAsia="zh-CN" w:bidi="ar-SA"/>
                    </w:rPr>
                  </w:pPr>
                  <w:r>
                    <w:rPr>
                      <w:rFonts w:cs="Times New Roman" w:hint="eastAsia"/>
                      <w:color w:val="auto"/>
                      <w:sz w:val="21"/>
                      <w:szCs w:val="21"/>
                      <w:lang w:val="en-US" w:eastAsia="zh-CN"/>
                    </w:rPr>
                    <w:t>化验室废液、化验室废包装、废机油、废润滑油为危险废物，暂存危废间，定期交由有资质的危废单位处置；废包装收集后定期外售（暂存原料车间收集后外售），生活垃圾由环卫部门定期清运处理，除尘灰收集后回用于生产。</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化验室废液、化验室废包装、废机油、废润滑油</w:t>
                  </w:r>
                  <w:r>
                    <w:rPr>
                      <w:rFonts w:cs="Times New Roman" w:hint="eastAsia"/>
                      <w:color w:val="auto"/>
                      <w:sz w:val="21"/>
                      <w:szCs w:val="21"/>
                      <w:lang w:val="en-US" w:eastAsia="zh-CN"/>
                      <w:highlight w:val="none"/>
                    </w:rPr>
                    <w:t>、废活性炭</w:t>
                  </w:r>
                  <w:r>
                    <w:rPr>
                      <w:rFonts w:ascii="Times New Roman" w:cs="Times New Roman" w:hAnsi="Times New Roman"/>
                      <w:color w:val="auto"/>
                      <w:sz w:val="21"/>
                      <w:szCs w:val="21"/>
                      <w:lang w:val="en-US" w:eastAsia="zh-CN"/>
                      <w:highlight w:val="none"/>
                    </w:rPr>
                    <w:t>为危险废物，</w:t>
                  </w:r>
                  <w:r>
                    <w:rPr>
                      <w:rFonts w:cs="Times New Roman" w:hint="eastAsia"/>
                      <w:color w:val="auto"/>
                      <w:sz w:val="21"/>
                      <w:szCs w:val="21"/>
                      <w:lang w:val="en-US" w:eastAsia="zh-CN"/>
                      <w:highlight w:val="none"/>
                    </w:rPr>
                    <w:t>分类密闭容器收集</w:t>
                  </w:r>
                  <w:r>
                    <w:rPr>
                      <w:rFonts w:ascii="Times New Roman" w:cs="Times New Roman" w:hAnsi="Times New Roman"/>
                      <w:color w:val="auto"/>
                      <w:sz w:val="21"/>
                      <w:szCs w:val="21"/>
                      <w:lang w:val="en-US" w:eastAsia="zh-CN"/>
                      <w:highlight w:val="none"/>
                    </w:rPr>
                    <w:t>暂存危废间，定期交由有资质的危废单位处置；废包装收集后定期外售（暂存原料车间收集后外售），生活垃圾由环卫部门定期清运处理，除尘灰收集后回用于生产。</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新建危废间，增加危废种类。</w:t>
                  </w:r>
                </w:p>
              </w:tc>
            </w:tr>
            <w:tr>
              <w:trPr>
                <w:trHeight w:val="259"/>
              </w:trPr>
              <w:tc>
                <w:tcPr>
                  <w:tcW w:w="446" w:type="pct"/>
                  <w:vMerge/>
                  <w:tcBorders>
                    <w:tl2br w:val="nil"/>
                    <w:tr2bl w:val="nil"/>
                  </w:tcBorders>
                  <w:vAlign w:val="center"/>
                </w:tcPr>
                <w:p/>
              </w:tc>
              <w:tc>
                <w:tcPr>
                  <w:tcW w:w="66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lang w:val="en-US" w:eastAsia="zh-CN"/>
                      <w:highlight w:val="none"/>
                    </w:rPr>
                  </w:pPr>
                  <w:r>
                    <w:rPr>
                      <w:rFonts w:hint="eastAsia"/>
                      <w:color w:val="auto"/>
                      <w:sz w:val="21"/>
                      <w:szCs w:val="21"/>
                      <w:lang w:val="en-US" w:eastAsia="zh-CN"/>
                      <w:highlight w:val="none"/>
                    </w:rPr>
                    <w:t>一般固废间</w:t>
                  </w:r>
                </w:p>
              </w:tc>
              <w:tc>
                <w:tcPr>
                  <w:tcW w:w="14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both"/>
                    <w:textAlignment w:val="auto"/>
                    <w:outlineLvl w:val="9"/>
                    <w:rPr>
                      <w:rFonts w:cs="Times New Roman"/>
                      <w:color w:val="auto"/>
                      <w:sz w:val="21"/>
                      <w:szCs w:val="21"/>
                      <w:lang w:val="en-US" w:eastAsia="zh-CN"/>
                    </w:rPr>
                  </w:pPr>
                  <w:r>
                    <w:rPr>
                      <w:rFonts w:cs="Times New Roman" w:hint="eastAsia"/>
                      <w:color w:val="auto"/>
                      <w:sz w:val="21"/>
                      <w:szCs w:val="21"/>
                      <w:lang w:val="en-US" w:eastAsia="zh-CN"/>
                    </w:rPr>
                    <w:t>1座，位于东侧成品库东南角，用于储存一般固体废物。</w:t>
                  </w:r>
                </w:p>
              </w:tc>
              <w:tc>
                <w:tcPr>
                  <w:tcW w:w="15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不变</w:t>
                  </w:r>
                </w:p>
              </w:tc>
              <w:tc>
                <w:tcPr>
                  <w:tcW w:w="87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依托现有</w:t>
                  </w:r>
                </w:p>
              </w:tc>
            </w:tr>
            <w:tr>
              <w:trPr>
                <w:trHeight w:val="259"/>
              </w:trPr>
              <w:tc>
                <w:tcPr>
                  <w:tcW w:w="446" w:type="pct"/>
                  <w:vMerge/>
                  <w:tcBorders>
                    <w:tl2br w:val="nil"/>
                    <w:tr2bl w:val="nil"/>
                  </w:tcBorders>
                  <w:vAlign w:val="center"/>
                </w:tcPr>
                <w:p/>
              </w:tc>
              <w:tc>
                <w:tcPr>
                  <w:tcW w:w="66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危废间</w:t>
                  </w:r>
                </w:p>
              </w:tc>
              <w:tc>
                <w:tcPr>
                  <w:tcW w:w="1457" w:type="pct"/>
                  <w:tcBorders>
                    <w:tl2br w:val="nil"/>
                    <w:tr2bl w:val="nil"/>
                  </w:tcBorders>
                  <w:shd w:val="clear" w:color="auto" w:fill="auto"/>
                  <w:vAlign w:val="center"/>
                </w:tcPr>
                <w:p>
                  <w:pPr>
                    <w:snapToGrid w:val="0"/>
                    <w:spacing w:after="0" w:line="280" w:lineRule="exact"/>
                    <w:ind w:right="113"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cs="Times New Roman" w:hAnsi="Times New Roman"/>
                      <w:color w:val="auto"/>
                      <w:kern w:val="2"/>
                      <w:sz w:val="21"/>
                      <w:szCs w:val="21"/>
                      <w:lang w:val="en-US" w:eastAsia="zh-CN" w:bidi="ar-SA"/>
                      <w:highlight w:val="none"/>
                    </w:rPr>
                    <w:t>1</w:t>
                  </w:r>
                  <w:r>
                    <w:rPr>
                      <w:rFonts w:cs="Times New Roman" w:hint="eastAsia"/>
                      <w:color w:val="auto"/>
                      <w:kern w:val="2"/>
                      <w:sz w:val="21"/>
                      <w:szCs w:val="21"/>
                      <w:lang w:val="en-US" w:eastAsia="zh-CN" w:bidi="ar-SA"/>
                      <w:highlight w:val="none"/>
                    </w:rPr>
                    <w:t>座</w:t>
                  </w:r>
                  <w:r>
                    <w:rPr>
                      <w:rFonts w:ascii="Times New Roman" w:cs="Times New Roman" w:hAnsi="Times New Roman"/>
                      <w:color w:val="auto"/>
                      <w:kern w:val="2"/>
                      <w:sz w:val="21"/>
                      <w:szCs w:val="21"/>
                      <w:lang w:val="en-US" w:eastAsia="zh-CN" w:bidi="ar-SA"/>
                      <w:highlight w:val="none"/>
                    </w:rPr>
                    <w:t>，</w:t>
                  </w:r>
                  <w:r>
                    <w:rPr>
                      <w:rFonts w:cs="Times New Roman" w:hint="eastAsia"/>
                      <w:color w:val="auto"/>
                      <w:kern w:val="2"/>
                      <w:sz w:val="21"/>
                      <w:szCs w:val="21"/>
                      <w:lang w:val="en-US" w:eastAsia="zh-CN" w:bidi="ar-SA"/>
                      <w:highlight w:val="none"/>
                    </w:rPr>
                    <w:t>用于储存危险废物，占地</w:t>
                  </w:r>
                  <w:r>
                    <w:rPr>
                      <w:rFonts w:ascii="Times New Roman" w:cs="Times New Roman" w:hAnsi="Times New Roman"/>
                      <w:color w:val="auto"/>
                      <w:kern w:val="2"/>
                      <w:sz w:val="21"/>
                      <w:szCs w:val="21"/>
                      <w:lang w:val="en-US" w:eastAsia="zh-CN" w:bidi="ar-SA"/>
                      <w:highlight w:val="none"/>
                    </w:rPr>
                    <w:t>面积</w:t>
                  </w:r>
                  <w:r>
                    <w:rPr>
                      <w:rFonts w:cs="Times New Roman" w:hint="eastAsia"/>
                      <w:color w:val="auto"/>
                      <w:kern w:val="2"/>
                      <w:sz w:val="21"/>
                      <w:szCs w:val="21"/>
                      <w:lang w:val="en-US" w:eastAsia="zh-CN" w:bidi="ar-SA"/>
                      <w:highlight w:val="none"/>
                    </w:rPr>
                    <w:t>12</w:t>
                  </w:r>
                  <w:r>
                    <w:rPr>
                      <w:rFonts w:ascii="Times New Roman" w:cs="Times New Roman" w:hAnsi="Times New Roman"/>
                      <w:color w:val="auto"/>
                      <w:sz w:val="21"/>
                      <w:szCs w:val="16"/>
                      <w:highlight w:val="none"/>
                    </w:rPr>
                    <w:t>m²</w:t>
                  </w:r>
                  <w:r>
                    <w:rPr>
                      <w:rFonts w:cs="Times New Roman" w:hint="eastAsia"/>
                      <w:color w:val="auto"/>
                      <w:kern w:val="2"/>
                      <w:sz w:val="21"/>
                      <w:szCs w:val="21"/>
                      <w:lang w:val="en-US" w:eastAsia="zh-CN" w:bidi="ar-SA"/>
                      <w:highlight w:val="none"/>
                    </w:rPr>
                    <w:t>。</w:t>
                  </w:r>
                </w:p>
              </w:tc>
              <w:tc>
                <w:tcPr>
                  <w:tcW w:w="155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sz w:val="21"/>
                      <w:szCs w:val="21"/>
                      <w:lang w:val="en-US" w:eastAsia="zh-CN"/>
                      <w:highlight w:val="none"/>
                    </w:rPr>
                    <w:t>现有危废间不再使用，新建一座40m</w:t>
                  </w:r>
                  <w:r>
                    <w:rPr>
                      <w:rFonts w:cs="Times New Roman" w:hint="eastAsia"/>
                      <w:color w:val="auto"/>
                      <w:sz w:val="21"/>
                      <w:szCs w:val="21"/>
                      <w:vertAlign w:val="superscript"/>
                      <w:lang w:val="en-US" w:eastAsia="zh-CN"/>
                      <w:highlight w:val="none"/>
                    </w:rPr>
                    <w:t>2</w:t>
                  </w:r>
                  <w:r>
                    <w:rPr>
                      <w:rFonts w:cs="Times New Roman" w:hint="eastAsia"/>
                      <w:color w:val="auto"/>
                      <w:sz w:val="21"/>
                      <w:szCs w:val="21"/>
                      <w:lang w:val="en-US" w:eastAsia="zh-CN"/>
                      <w:highlight w:val="none"/>
                    </w:rPr>
                    <w:t>危废间用于储存危险废物。</w:t>
                  </w:r>
                </w:p>
              </w:tc>
              <w:tc>
                <w:tcPr>
                  <w:tcW w:w="87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1"/>
                      <w:lang w:val="en-US" w:eastAsia="zh-CN" w:bidi="ar-SA"/>
                      <w:highlight w:val="none"/>
                    </w:rPr>
                  </w:pPr>
                  <w:r>
                    <w:rPr>
                      <w:rFonts w:cs="Times New Roman" w:hint="eastAsia"/>
                      <w:color w:val="auto"/>
                      <w:sz w:val="21"/>
                      <w:szCs w:val="21"/>
                      <w:lang w:val="en-US" w:eastAsia="zh-CN"/>
                      <w:highlight w:val="none"/>
                    </w:rPr>
                    <w:t>技改</w:t>
                  </w:r>
                </w:p>
              </w:tc>
            </w:tr>
            <w:tr>
              <w:trPr>
                <w:trHeight w:val="1164"/>
              </w:trPr>
              <w:tc>
                <w:tcPr>
                  <w:tcW w:w="44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hAnsi="Times New Roman"/>
                      <w:color w:val="auto"/>
                      <w:sz w:val="21"/>
                      <w:szCs w:val="21"/>
                      <w:highlight w:val="none"/>
                    </w:rPr>
                  </w:pPr>
                  <w:r>
                    <w:rPr>
                      <w:rFonts w:ascii="Times New Roman" w:eastAsia="宋体" w:hAnsi="Times New Roman"/>
                      <w:color w:val="auto"/>
                      <w:sz w:val="21"/>
                      <w:szCs w:val="21"/>
                      <w:lang w:val="en-US" w:eastAsia="zh-CN"/>
                      <w:highlight w:val="none"/>
                    </w:rPr>
                    <w:t>劳动定员与制度</w:t>
                  </w:r>
                </w:p>
              </w:tc>
              <w:tc>
                <w:tcPr>
                  <w:tcW w:w="2123" w:type="pct"/>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现有工程劳动定员</w:t>
                  </w:r>
                  <w:r>
                    <w:rPr>
                      <w:rFonts w:cs="Times New Roman" w:hint="eastAsia"/>
                      <w:color w:val="auto"/>
                      <w:sz w:val="21"/>
                      <w:szCs w:val="21"/>
                      <w:lang w:val="en-US" w:eastAsia="zh-CN"/>
                      <w:highlight w:val="none"/>
                    </w:rPr>
                    <w:t>60</w:t>
                  </w:r>
                  <w:r>
                    <w:rPr>
                      <w:rFonts w:ascii="Times New Roman" w:cs="Times New Roman" w:hAnsi="Times New Roman" w:hint="eastAsia"/>
                      <w:color w:val="auto"/>
                      <w:sz w:val="21"/>
                      <w:szCs w:val="21"/>
                      <w:lang w:val="en-US" w:eastAsia="zh-CN"/>
                      <w:highlight w:val="none"/>
                    </w:rPr>
                    <w:t>人，</w:t>
                  </w:r>
                  <w:r>
                    <w:rPr>
                      <w:rFonts w:cs="Times New Roman" w:hint="eastAsia"/>
                      <w:color w:val="auto"/>
                      <w:sz w:val="21"/>
                      <w:szCs w:val="21"/>
                      <w:lang w:val="en-US" w:eastAsia="zh-CN"/>
                      <w:highlight w:val="none"/>
                    </w:rPr>
                    <w:t>两班制</w:t>
                  </w:r>
                  <w:r>
                    <w:rPr>
                      <w:rFonts w:ascii="Times New Roman" w:cs="Times New Roman" w:hAnsi="Times New Roman" w:hint="eastAsia"/>
                      <w:color w:val="auto"/>
                      <w:sz w:val="21"/>
                      <w:szCs w:val="21"/>
                      <w:lang w:val="en-US" w:eastAsia="zh-CN"/>
                      <w:highlight w:val="none"/>
                    </w:rPr>
                    <w:t>，</w:t>
                  </w:r>
                  <w:r>
                    <w:rPr>
                      <w:rFonts w:cs="Times New Roman" w:hint="eastAsia"/>
                      <w:color w:val="auto"/>
                      <w:sz w:val="21"/>
                      <w:szCs w:val="21"/>
                      <w:lang w:val="en-US" w:eastAsia="zh-CN"/>
                      <w:highlight w:val="none"/>
                    </w:rPr>
                    <w:t>每班8小时，</w:t>
                  </w:r>
                  <w:r>
                    <w:rPr>
                      <w:rFonts w:ascii="Times New Roman" w:cs="Times New Roman" w:hAnsi="Times New Roman" w:hint="eastAsia"/>
                      <w:color w:val="auto"/>
                      <w:sz w:val="21"/>
                      <w:szCs w:val="21"/>
                      <w:lang w:val="en-US" w:eastAsia="zh-CN"/>
                      <w:highlight w:val="none"/>
                    </w:rPr>
                    <w:t>年</w:t>
                  </w:r>
                  <w:r>
                    <w:rPr>
                      <w:rFonts w:cs="Times New Roman" w:hint="eastAsia"/>
                      <w:color w:val="auto"/>
                      <w:sz w:val="21"/>
                      <w:szCs w:val="21"/>
                      <w:lang w:val="en-US" w:eastAsia="zh-CN"/>
                      <w:highlight w:val="none"/>
                    </w:rPr>
                    <w:t>工作300</w:t>
                  </w:r>
                  <w:r>
                    <w:rPr>
                      <w:rFonts w:ascii="Times New Roman" w:cs="Times New Roman" w:hAnsi="Times New Roman" w:hint="eastAsia"/>
                      <w:color w:val="auto"/>
                      <w:sz w:val="21"/>
                      <w:szCs w:val="21"/>
                      <w:lang w:val="en-US" w:eastAsia="zh-CN"/>
                      <w:highlight w:val="none"/>
                    </w:rPr>
                    <w:t>d，年工作</w:t>
                  </w:r>
                  <w:r>
                    <w:rPr>
                      <w:rFonts w:cs="Times New Roman" w:hint="eastAsia"/>
                      <w:color w:val="auto"/>
                      <w:sz w:val="21"/>
                      <w:szCs w:val="21"/>
                      <w:lang w:val="en-US" w:eastAsia="zh-CN"/>
                      <w:highlight w:val="none"/>
                    </w:rPr>
                    <w:t>4800</w:t>
                  </w:r>
                  <w:r>
                    <w:rPr>
                      <w:rFonts w:ascii="Times New Roman" w:cs="Times New Roman" w:hAnsi="Times New Roman" w:hint="eastAsia"/>
                      <w:color w:val="auto"/>
                      <w:sz w:val="21"/>
                      <w:szCs w:val="21"/>
                      <w:lang w:val="en-US" w:eastAsia="zh-CN"/>
                      <w:highlight w:val="none"/>
                    </w:rPr>
                    <w:t>h。</w:t>
                  </w:r>
                </w:p>
              </w:tc>
              <w:tc>
                <w:tcPr>
                  <w:tcW w:w="155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不变</w:t>
                  </w:r>
                </w:p>
              </w:tc>
              <w:tc>
                <w:tcPr>
                  <w:tcW w:w="87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不新增劳动定员</w:t>
                  </w:r>
                </w:p>
              </w:tc>
            </w:tr>
          </w:tbl>
          <w:p>
            <w:pPr>
              <w:adjustRightInd w:val="0"/>
              <w:snapToGrid w:val="0"/>
              <w:rPr>
                <w:color w:val="auto"/>
                <w:szCs w:val="32"/>
              </w:rPr>
            </w:pPr>
            <w:r>
              <w:rPr>
                <w:b/>
                <w:bCs/>
                <w:color w:val="auto"/>
                <w:szCs w:val="32"/>
              </w:rPr>
              <w:t>2、主要生产设备</w:t>
            </w:r>
          </w:p>
          <w:p>
            <w:pPr>
              <w:adjustRightInd w:val="0"/>
              <w:snapToGrid w:val="0"/>
              <w:rPr>
                <w:rFonts w:hint="eastAsia"/>
                <w:color w:val="auto"/>
                <w:szCs w:val="20"/>
                <w:lang w:val="en-US" w:eastAsia="zh-CN"/>
              </w:rPr>
            </w:pPr>
            <w:r>
              <w:rPr>
                <w:rFonts w:hint="eastAsia"/>
                <w:color w:val="auto"/>
                <w:szCs w:val="20"/>
                <w:lang w:val="en-US" w:eastAsia="zh-CN"/>
              </w:rPr>
              <w:t>本项目设备变动只涉及挤压造粒生产线，其余生产线设备不变，本项目完成后全厂主要生产设备清单见表2-2。</w:t>
            </w:r>
          </w:p>
          <w:p>
            <w:pPr>
              <w:pStyle w:val="40"/>
              <w:rPr>
                <w:rFonts w:hint="eastAsia"/>
                <w:color w:val="auto"/>
                <w:lang w:val="en-US" w:eastAsia="zh-CN"/>
              </w:rPr>
            </w:pPr>
            <w:r>
              <w:rPr>
                <w:color w:val="auto"/>
              </w:rPr>
              <w:t>表2-2</w:t>
            </w:r>
            <w:r>
              <w:rPr>
                <w:rFonts w:hint="eastAsia"/>
                <w:color w:val="auto"/>
              </w:rPr>
              <w:t xml:space="preserve">   </w:t>
            </w:r>
            <w:r>
              <w:rPr>
                <w:rFonts w:hint="eastAsia"/>
                <w:color w:val="auto"/>
                <w:lang w:val="en-US" w:eastAsia="zh-CN"/>
              </w:rPr>
              <w:t>本项目完成后全厂主要生产设备一览表</w:t>
            </w:r>
          </w:p>
          <w:tbl>
            <w:tblPr>
              <w:jc w:val="center"/>
              <w:tblW w:w="499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552"/>
              <w:gridCol w:w="1540"/>
              <w:gridCol w:w="1615"/>
              <w:gridCol w:w="1253"/>
              <w:gridCol w:w="1126"/>
              <w:gridCol w:w="1207"/>
              <w:gridCol w:w="949"/>
            </w:tblGrid>
            <w:tr>
              <w:trPr>
                <w:trHeight w:val="262"/>
              </w:trPr>
              <w:tc>
                <w:tcPr>
                  <w:tcW w:w="335"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序号</w:t>
                  </w:r>
                </w:p>
              </w:tc>
              <w:tc>
                <w:tcPr>
                  <w:tcW w:w="93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b w:val="0"/>
                      <w:bCs w:val="0"/>
                      <w:color w:val="auto"/>
                      <w:sz w:val="21"/>
                      <w:lang w:val="en-US" w:eastAsia="zh-CN"/>
                      <w:highlight w:val="none"/>
                    </w:rPr>
                    <w:t>设备</w:t>
                  </w:r>
                  <w:r>
                    <w:rPr>
                      <w:rFonts w:ascii="Times New Roman" w:hAnsi="Times New Roman" w:hint="eastAsia"/>
                      <w:b w:val="0"/>
                      <w:bCs w:val="0"/>
                      <w:color w:val="auto"/>
                      <w:sz w:val="21"/>
                      <w:lang w:val="en-US" w:eastAsia="zh-CN"/>
                      <w:highlight w:val="none"/>
                    </w:rPr>
                    <w:t>名称</w:t>
                  </w:r>
                </w:p>
              </w:tc>
              <w:tc>
                <w:tcPr>
                  <w:tcW w:w="980"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型号规格</w:t>
                  </w:r>
                </w:p>
              </w:tc>
              <w:tc>
                <w:tcPr>
                  <w:tcW w:w="2175" w:type="pct"/>
                  <w:gridSpan w:val="3"/>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数量</w:t>
                  </w:r>
                  <w:r>
                    <w:rPr>
                      <w:rFonts w:hint="eastAsia"/>
                      <w:b w:val="0"/>
                      <w:bCs w:val="0"/>
                      <w:color w:val="auto"/>
                      <w:sz w:val="21"/>
                      <w:lang w:val="en-US" w:eastAsia="zh-CN"/>
                      <w:highlight w:val="none"/>
                    </w:rPr>
                    <w:t>（台套）</w:t>
                  </w:r>
                </w:p>
              </w:tc>
              <w:tc>
                <w:tcPr>
                  <w:tcW w:w="57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备注</w:t>
                  </w:r>
                </w:p>
              </w:tc>
            </w:tr>
            <w:tr>
              <w:trPr>
                <w:trHeight w:val="262"/>
              </w:trPr>
              <w:tc>
                <w:tcPr>
                  <w:tcW w:w="335" w:type="pct"/>
                  <w:vMerge/>
                  <w:tcBorders>
                    <w:tl2br w:val="nil"/>
                    <w:tr2bl w:val="nil"/>
                  </w:tcBorders>
                  <w:vAlign w:val="center"/>
                </w:tcPr>
                <w:p/>
              </w:tc>
              <w:tc>
                <w:tcPr>
                  <w:tcW w:w="934" w:type="pct"/>
                  <w:vMerge/>
                  <w:tcBorders>
                    <w:tl2br w:val="nil"/>
                    <w:tr2bl w:val="nil"/>
                  </w:tcBorders>
                  <w:vAlign w:val="center"/>
                </w:tcPr>
                <w:p/>
              </w:tc>
              <w:tc>
                <w:tcPr>
                  <w:tcW w:w="980" w:type="pct"/>
                  <w:vMerge/>
                  <w:tcBorders>
                    <w:tl2br w:val="nil"/>
                    <w:tr2bl w:val="nil"/>
                  </w:tcBorders>
                  <w:vAlign w:val="center"/>
                </w:tcP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现有工程</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本项目</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本项目完成后全厂</w:t>
                  </w:r>
                </w:p>
              </w:tc>
              <w:tc>
                <w:tcPr>
                  <w:tcW w:w="574" w:type="pct"/>
                  <w:vMerge/>
                  <w:tcBorders>
                    <w:tl2br w:val="nil"/>
                    <w:tr2bl w:val="nil"/>
                  </w:tcBorders>
                  <w:vAlign w:val="center"/>
                </w:tcPr>
                <w:p/>
              </w:tc>
            </w:tr>
            <w:tr>
              <w:trPr>
                <w:trHeight w:val="262"/>
              </w:trPr>
              <w:tc>
                <w:tcPr>
                  <w:tcW w:w="5000" w:type="pct"/>
                  <w:gridSpan w:val="7"/>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中微量元素混合车间</w:t>
                  </w:r>
                </w:p>
              </w:tc>
            </w:tr>
            <w:tr>
              <w:trPr>
                <w:trHeight w:val="262"/>
              </w:trPr>
              <w:tc>
                <w:tcPr>
                  <w:tcW w:w="33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密闭式颗粒混合搅拌机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JBX--300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3</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3</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利旧</w:t>
                  </w:r>
                </w:p>
              </w:tc>
            </w:tr>
            <w:tr>
              <w:trPr>
                <w:trHeight w:val="262"/>
              </w:trPr>
              <w:tc>
                <w:tcPr>
                  <w:tcW w:w="33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颗粒对辊破碎机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WL --300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利旧</w:t>
                  </w:r>
                </w:p>
              </w:tc>
            </w:tr>
            <w:tr>
              <w:trPr>
                <w:trHeight w:val="262"/>
              </w:trPr>
              <w:tc>
                <w:tcPr>
                  <w:tcW w:w="5000" w:type="pct"/>
                  <w:gridSpan w:val="7"/>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挤压造粒生产线（硫酸脲颗粒状原料、脲甲醛颗粒状原料、颗粒状原料）</w:t>
                  </w:r>
                </w:p>
              </w:tc>
            </w:tr>
            <w:tr>
              <w:trPr>
                <w:trHeight w:val="397"/>
              </w:trPr>
              <w:tc>
                <w:tcPr>
                  <w:tcW w:w="33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1</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投料口</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6</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6</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利旧</w:t>
                  </w:r>
                </w:p>
              </w:tc>
            </w:tr>
            <w:tr>
              <w:trPr>
                <w:trHeight w:val="397"/>
              </w:trPr>
              <w:tc>
                <w:tcPr>
                  <w:tcW w:w="33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2</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原料电子计量秤</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DEL-0620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6</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6</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利旧</w:t>
                  </w:r>
                </w:p>
              </w:tc>
            </w:tr>
            <w:tr>
              <w:trPr>
                <w:trHeight w:val="397"/>
              </w:trPr>
              <w:tc>
                <w:tcPr>
                  <w:tcW w:w="33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3</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皮带输送机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1</w:t>
                  </w:r>
                  <w:r>
                    <w:rPr>
                      <w:rFonts w:hint="eastAsia"/>
                      <w:b w:val="0"/>
                      <w:bCs w:val="0"/>
                      <w:color w:val="auto"/>
                      <w:sz w:val="21"/>
                      <w:lang w:val="en-US" w:eastAsia="zh-CN"/>
                      <w:highlight w:val="none"/>
                    </w:rPr>
                    <w:t>×</w:t>
                  </w:r>
                  <w:r>
                    <w:rPr>
                      <w:rFonts w:ascii="Times New Roman" w:hAnsi="Times New Roman"/>
                      <w:b w:val="0"/>
                      <w:bCs w:val="0"/>
                      <w:color w:val="auto"/>
                      <w:sz w:val="21"/>
                      <w:lang w:val="en-US" w:eastAsia="zh-CN"/>
                      <w:highlight w:val="none"/>
                    </w:rPr>
                    <w:t>10m</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15</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15</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4</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密闭式破碎机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DSP--1000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5</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提升机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TH--500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3</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3</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6</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cs="Times New Roman" w:hint="eastAsia"/>
                      <w:b w:val="0"/>
                      <w:bCs w:val="0"/>
                      <w:color w:val="auto"/>
                      <w:sz w:val="21"/>
                      <w:lang w:val="en-US" w:eastAsia="zh-CN"/>
                      <w:highlight w:val="none"/>
                    </w:rPr>
                    <w:t>密闭式破碎机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b w:val="0"/>
                      <w:bCs w:val="0"/>
                      <w:color w:val="auto"/>
                      <w:sz w:val="21"/>
                      <w:lang w:val="en-US" w:eastAsia="zh-CN"/>
                      <w:highlight w:val="none"/>
                    </w:rPr>
                  </w:pPr>
                  <w:r>
                    <w:rPr>
                      <w:rFonts w:ascii="Times New Roman" w:cs="Times New Roman" w:hAnsi="Times New Roman" w:hint="eastAsia"/>
                      <w:b w:val="0"/>
                      <w:bCs w:val="0"/>
                      <w:color w:val="auto"/>
                      <w:sz w:val="21"/>
                      <w:lang w:val="en-US" w:eastAsia="zh-CN"/>
                      <w:highlight w:val="none"/>
                    </w:rPr>
                    <w:t>WL--1000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7</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密闭式混合送料机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DZQ--500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8</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密闭式喂料机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2.6x0.6m</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9</w:t>
                  </w:r>
                </w:p>
              </w:tc>
              <w:tc>
                <w:tcPr>
                  <w:tcW w:w="93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b w:val="0"/>
                      <w:bCs w:val="0"/>
                      <w:snapToGrid w:val="0"/>
                      <w:color w:val="auto"/>
                      <w:kern w:val="0"/>
                      <w:sz w:val="21"/>
                      <w:szCs w:val="21"/>
                      <w:lang w:val="en-US" w:eastAsia="zh-CN" w:bidi="ar-SA"/>
                    </w:rPr>
                  </w:pPr>
                  <w:r>
                    <w:rPr>
                      <w:rFonts w:ascii="Times New Roman" w:eastAsia="宋体" w:cs="Times New Roman" w:hAnsi="Times New Roman" w:hint="eastAsia"/>
                      <w:b w:val="0"/>
                      <w:bCs w:val="0"/>
                      <w:snapToGrid w:val="0"/>
                      <w:color w:val="auto"/>
                      <w:kern w:val="0"/>
                      <w:sz w:val="21"/>
                      <w:szCs w:val="21"/>
                      <w:lang w:val="en-US" w:eastAsia="zh-CN" w:bidi="ar-SA"/>
                    </w:rPr>
                    <w:t>密闭式颗粒挤压机</w:t>
                  </w:r>
                </w:p>
              </w:tc>
              <w:tc>
                <w:tcPr>
                  <w:tcW w:w="9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hint="eastAsia"/>
                      <w:b w:val="0"/>
                      <w:bCs w:val="0"/>
                      <w:color w:val="auto"/>
                      <w:sz w:val="21"/>
                      <w:lang w:val="en-US" w:eastAsia="zh-CN"/>
                      <w:highlight w:val="none"/>
                    </w:rPr>
                  </w:pPr>
                  <w:r>
                    <w:rPr>
                      <w:rFonts w:ascii="Times New Roman" w:cs="Times New Roman" w:hAnsi="Times New Roman" w:hint="eastAsia"/>
                      <w:b w:val="0"/>
                      <w:bCs w:val="0"/>
                      <w:color w:val="auto"/>
                      <w:sz w:val="21"/>
                      <w:lang w:val="en-US" w:eastAsia="zh-CN"/>
                      <w:highlight w:val="none"/>
                    </w:rPr>
                    <w:t>DZS--186</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12</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12</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10</w:t>
                  </w:r>
                </w:p>
              </w:tc>
              <w:tc>
                <w:tcPr>
                  <w:tcW w:w="93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jc w:val="center"/>
                    <w:textAlignment w:val="baseline"/>
                    <w:outlineLvl w:val="9"/>
                    <w:rPr>
                      <w:rFonts w:ascii="Times New Roman" w:eastAsia="宋体" w:cs="Times New Roman" w:hAnsi="Times New Roman" w:hint="eastAsia"/>
                      <w:b w:val="0"/>
                      <w:bCs w:val="0"/>
                      <w:snapToGrid w:val="0"/>
                      <w:color w:val="auto"/>
                      <w:kern w:val="0"/>
                      <w:sz w:val="21"/>
                      <w:szCs w:val="21"/>
                      <w:lang w:val="en-US" w:eastAsia="zh-CN" w:bidi="ar-SA"/>
                    </w:rPr>
                  </w:pPr>
                  <w:r>
                    <w:rPr>
                      <w:rFonts w:ascii="Times New Roman" w:eastAsia="宋体" w:cs="Times New Roman" w:hAnsi="Times New Roman" w:hint="eastAsia"/>
                      <w:b w:val="0"/>
                      <w:bCs w:val="0"/>
                      <w:snapToGrid w:val="0"/>
                      <w:color w:val="auto"/>
                      <w:kern w:val="0"/>
                      <w:sz w:val="21"/>
                      <w:szCs w:val="21"/>
                      <w:lang w:val="en-US" w:eastAsia="zh-CN" w:bidi="ar-SA"/>
                    </w:rPr>
                    <w:t>密闭式筛分机</w:t>
                  </w:r>
                </w:p>
              </w:tc>
              <w:tc>
                <w:tcPr>
                  <w:tcW w:w="9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￠2x9m</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11</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密闭式烘干机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￠1.8x18m</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12</w:t>
                  </w:r>
                </w:p>
              </w:tc>
              <w:tc>
                <w:tcPr>
                  <w:tcW w:w="93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jc w:val="center"/>
                    <w:textAlignment w:val="baseline"/>
                    <w:outlineLvl w:val="9"/>
                    <w:rPr>
                      <w:rFonts w:ascii="Times New Roman" w:eastAsia="宋体" w:cs="Times New Roman" w:hAnsi="Times New Roman" w:hint="eastAsia"/>
                      <w:b w:val="0"/>
                      <w:bCs w:val="0"/>
                      <w:snapToGrid w:val="0"/>
                      <w:color w:val="auto"/>
                      <w:kern w:val="0"/>
                      <w:sz w:val="21"/>
                      <w:szCs w:val="21"/>
                      <w:lang w:val="en-US" w:eastAsia="zh-CN" w:bidi="ar-SA"/>
                    </w:rPr>
                  </w:pPr>
                  <w:r>
                    <w:rPr>
                      <w:rFonts w:ascii="Times New Roman" w:eastAsia="宋体" w:cs="Times New Roman" w:hAnsi="Times New Roman" w:hint="eastAsia"/>
                      <w:b w:val="0"/>
                      <w:bCs w:val="0"/>
                      <w:snapToGrid w:val="0"/>
                      <w:color w:val="auto"/>
                      <w:kern w:val="0"/>
                      <w:sz w:val="21"/>
                      <w:szCs w:val="21"/>
                      <w:lang w:val="en-US" w:eastAsia="zh-CN" w:bidi="ar-SA"/>
                    </w:rPr>
                    <w:t>天然气燃烧机</w:t>
                  </w:r>
                </w:p>
              </w:tc>
              <w:tc>
                <w:tcPr>
                  <w:tcW w:w="980" w:type="pct"/>
                  <w:tcBorders>
                    <w:tl2br w:val="nil"/>
                    <w:tr2bl w:val="nil"/>
                  </w:tcBorders>
                  <w:shd w:val="clear" w:color="auto" w:fill="auto"/>
                  <w:vAlign w:val="center"/>
                </w:tcPr>
                <w:p>
                  <w:pPr>
                    <w:widowControl/>
                    <w:adjustRightInd w:val="0"/>
                    <w:snapToGrid w:val="0"/>
                    <w:spacing w:line="240" w:lineRule="atLeast"/>
                    <w:ind w:left="0" w:firstLineChars="0" w:firstLine="0"/>
                    <w:jc w:val="center"/>
                    <w:rPr>
                      <w:rFonts w:ascii="Times New Roman" w:eastAsia="宋体" w:cs="Times New Roman" w:hAnsi="Times New Roman" w:hint="eastAsia"/>
                      <w:color w:val="auto"/>
                      <w:kern w:val="0"/>
                      <w:sz w:val="21"/>
                      <w:szCs w:val="21"/>
                      <w:lang w:val="en-US" w:eastAsia="zh-CN" w:bidi="ar-SA"/>
                    </w:rPr>
                  </w:pPr>
                  <w:r>
                    <w:rPr>
                      <w:rFonts w:ascii="Times New Roman" w:eastAsia="宋体" w:cs="Times New Roman" w:hAnsi="Times New Roman" w:hint="eastAsia"/>
                      <w:color w:val="auto"/>
                      <w:kern w:val="0"/>
                      <w:sz w:val="21"/>
                      <w:szCs w:val="21"/>
                      <w:lang w:val="en-US" w:eastAsia="zh-CN" w:bidi="ar-SA"/>
                    </w:rPr>
                    <w:t>BTG100P</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13</w:t>
                  </w:r>
                </w:p>
              </w:tc>
              <w:tc>
                <w:tcPr>
                  <w:tcW w:w="93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jc w:val="center"/>
                    <w:textAlignment w:val="baseline"/>
                    <w:outlineLvl w:val="9"/>
                    <w:rPr>
                      <w:rFonts w:ascii="Times New Roman" w:eastAsia="宋体" w:cs="Times New Roman" w:hAnsi="Times New Roman"/>
                      <w:b w:val="0"/>
                      <w:bCs w:val="0"/>
                      <w:snapToGrid w:val="0"/>
                      <w:color w:val="auto"/>
                      <w:kern w:val="0"/>
                      <w:sz w:val="21"/>
                      <w:szCs w:val="21"/>
                      <w:lang w:val="en-US" w:eastAsia="zh-CN" w:bidi="ar-SA"/>
                    </w:rPr>
                  </w:pPr>
                  <w:r>
                    <w:rPr>
                      <w:rFonts w:ascii="Times New Roman" w:eastAsia="宋体" w:cs="Times New Roman" w:hAnsi="Times New Roman"/>
                      <w:b w:val="0"/>
                      <w:bCs w:val="0"/>
                      <w:snapToGrid w:val="0"/>
                      <w:color w:val="auto"/>
                      <w:kern w:val="0"/>
                      <w:sz w:val="21"/>
                      <w:szCs w:val="21"/>
                      <w:lang w:val="en-US" w:eastAsia="zh-CN" w:bidi="ar-SA"/>
                    </w:rPr>
                    <w:t>天然气热风炉</w:t>
                  </w:r>
                </w:p>
              </w:tc>
              <w:tc>
                <w:tcPr>
                  <w:tcW w:w="980" w:type="pct"/>
                  <w:tcBorders>
                    <w:tl2br w:val="nil"/>
                    <w:tr2bl w:val="nil"/>
                  </w:tcBorders>
                  <w:shd w:val="clear" w:color="auto" w:fill="auto"/>
                  <w:vAlign w:val="center"/>
                </w:tcPr>
                <w:p>
                  <w:pPr>
                    <w:widowControl/>
                    <w:adjustRightInd w:val="0"/>
                    <w:snapToGrid w:val="0"/>
                    <w:spacing w:line="240" w:lineRule="atLeast"/>
                    <w:ind w:left="0" w:firstLineChars="0" w:firstLine="0"/>
                    <w:jc w:val="center"/>
                    <w:rPr>
                      <w:rFonts w:ascii="Times New Roman" w:eastAsia="宋体" w:cs="Times New Roman" w:hAnsi="Times New Roman"/>
                      <w:color w:val="auto"/>
                      <w:kern w:val="0"/>
                      <w:sz w:val="21"/>
                      <w:szCs w:val="21"/>
                      <w:lang w:val="en-US" w:eastAsia="zh-CN"/>
                    </w:rPr>
                  </w:pPr>
                  <w:r>
                    <w:rPr>
                      <w:rFonts w:ascii="Times New Roman" w:eastAsia="宋体" w:cs="Times New Roman" w:hAnsi="Times New Roman"/>
                      <w:color w:val="auto"/>
                      <w:kern w:val="0"/>
                      <w:sz w:val="21"/>
                      <w:szCs w:val="21"/>
                      <w:lang w:val="en-US" w:eastAsia="zh-CN"/>
                    </w:rPr>
                    <w:t>ZFL-2</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w:t>
                  </w:r>
                  <w:r>
                    <w:rPr>
                      <w:rFonts w:hint="eastAsia"/>
                      <w:b w:val="0"/>
                      <w:bCs w:val="0"/>
                      <w:color w:val="auto"/>
                      <w:sz w:val="21"/>
                      <w:lang w:val="en-US" w:eastAsia="zh-CN"/>
                      <w:highlight w:val="none"/>
                    </w:rPr>
                    <w:t>4</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密闭式冷却机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￠1.6x16m</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2"/>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w:t>
                  </w:r>
                  <w:r>
                    <w:rPr>
                      <w:rFonts w:hint="eastAsia"/>
                      <w:b w:val="0"/>
                      <w:bCs w:val="0"/>
                      <w:color w:val="auto"/>
                      <w:sz w:val="21"/>
                      <w:lang w:val="en-US" w:eastAsia="zh-CN"/>
                      <w:highlight w:val="none"/>
                    </w:rPr>
                    <w:t>5</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抛光机</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￠1.4x6m</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16</w:t>
                  </w:r>
                </w:p>
              </w:tc>
              <w:tc>
                <w:tcPr>
                  <w:tcW w:w="93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密闭式定量电子包装秤</w:t>
                  </w:r>
                </w:p>
              </w:tc>
              <w:tc>
                <w:tcPr>
                  <w:tcW w:w="98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DBS--50</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17</w:t>
                  </w:r>
                </w:p>
              </w:tc>
              <w:tc>
                <w:tcPr>
                  <w:tcW w:w="93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eastAsia="宋体" w:cs="Times New Roman" w:hAnsi="Times New Roman"/>
                      <w:b w:val="0"/>
                      <w:bCs w:val="0"/>
                      <w:color w:val="auto"/>
                      <w:kern w:val="2"/>
                      <w:sz w:val="21"/>
                      <w:szCs w:val="24"/>
                      <w:lang w:val="en-US" w:eastAsia="zh-CN" w:bidi="ar-SA"/>
                      <w:highlight w:val="none"/>
                    </w:rPr>
                    <w:t>包装缝口机</w:t>
                  </w:r>
                </w:p>
              </w:tc>
              <w:tc>
                <w:tcPr>
                  <w:tcW w:w="9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eastAsia="宋体" w:cs="Times New Roman" w:hAnsi="Times New Roman" w:hint="eastAsia"/>
                      <w:b w:val="0"/>
                      <w:bCs w:val="0"/>
                      <w:color w:val="auto"/>
                      <w:kern w:val="2"/>
                      <w:sz w:val="21"/>
                      <w:szCs w:val="24"/>
                      <w:lang w:val="en-US" w:eastAsia="zh-CN" w:bidi="ar-SA"/>
                      <w:highlight w:val="none"/>
                    </w:rPr>
                    <w:t>GKn35-6A</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2</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18</w:t>
                  </w:r>
                </w:p>
              </w:tc>
              <w:tc>
                <w:tcPr>
                  <w:tcW w:w="93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eastAsia="宋体" w:cs="Times New Roman" w:hAnsi="Times New Roman"/>
                      <w:b w:val="0"/>
                      <w:bCs w:val="0"/>
                      <w:color w:val="auto"/>
                      <w:kern w:val="2"/>
                      <w:sz w:val="21"/>
                      <w:szCs w:val="24"/>
                      <w:lang w:val="en-US" w:eastAsia="zh-CN" w:bidi="ar-SA"/>
                      <w:highlight w:val="none"/>
                    </w:rPr>
                    <w:t>烘干机引风机</w:t>
                  </w:r>
                </w:p>
              </w:tc>
              <w:tc>
                <w:tcPr>
                  <w:tcW w:w="9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eastAsia="宋体" w:cs="Times New Roman" w:hAnsi="Times New Roman" w:hint="eastAsia"/>
                      <w:b w:val="0"/>
                      <w:bCs w:val="0"/>
                      <w:color w:val="auto"/>
                      <w:kern w:val="2"/>
                      <w:sz w:val="21"/>
                      <w:szCs w:val="24"/>
                      <w:lang w:val="en-US" w:eastAsia="zh-CN" w:bidi="ar-SA"/>
                      <w:highlight w:val="none"/>
                    </w:rPr>
                    <w:t>4--72N0--8C</w:t>
                  </w:r>
                </w:p>
              </w:tc>
              <w:tc>
                <w:tcPr>
                  <w:tcW w:w="76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19</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冷却</w:t>
                  </w:r>
                  <w:r>
                    <w:rPr>
                      <w:rFonts w:hint="eastAsia"/>
                      <w:b w:val="0"/>
                      <w:bCs w:val="0"/>
                      <w:color w:val="auto"/>
                      <w:sz w:val="21"/>
                      <w:lang w:val="en-US" w:eastAsia="zh-CN"/>
                      <w:highlight w:val="none"/>
                    </w:rPr>
                    <w:t>机</w:t>
                  </w:r>
                  <w:r>
                    <w:rPr>
                      <w:rFonts w:ascii="Times New Roman" w:hAnsi="Times New Roman"/>
                      <w:b w:val="0"/>
                      <w:bCs w:val="0"/>
                      <w:color w:val="auto"/>
                      <w:sz w:val="21"/>
                      <w:lang w:val="en-US" w:eastAsia="zh-CN"/>
                      <w:highlight w:val="none"/>
                    </w:rPr>
                    <w:t>引风机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4--72N0--8C</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20</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热风机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Y5-47</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21</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空压机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AT-20A</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22</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可调式水计量泵</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DJ—L</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23</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水喷淋塔</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￠2.5x6m</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24</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电脑配料控制系统</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DPHB-20-6</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25</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天然气配套系统</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eastAsia="宋体" w:cs="Times New Roman" w:hAnsi="Times New Roman" w:hint="eastAsia"/>
                      <w:b w:val="0"/>
                      <w:bCs w:val="0"/>
                      <w:color w:val="auto"/>
                      <w:kern w:val="2"/>
                      <w:sz w:val="21"/>
                      <w:szCs w:val="24"/>
                      <w:lang w:val="en-US" w:eastAsia="zh-CN" w:bidi="ar-SA"/>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26</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热风炉水循环泵</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b w:val="0"/>
                      <w:bCs w:val="0"/>
                      <w:color w:val="auto"/>
                      <w:sz w:val="21"/>
                      <w:lang w:val="en-US" w:eastAsia="zh-CN"/>
                      <w:highlight w:val="none"/>
                    </w:rPr>
                    <w:t>BTY--25</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eastAsia="宋体" w:cs="Times New Roman" w:hAnsi="Times New Roman" w:hint="eastAsia"/>
                      <w:b w:val="0"/>
                      <w:bCs w:val="0"/>
                      <w:color w:val="auto"/>
                      <w:kern w:val="2"/>
                      <w:sz w:val="21"/>
                      <w:szCs w:val="24"/>
                      <w:lang w:val="en-US" w:eastAsia="zh-CN" w:bidi="ar-SA"/>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27</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中微量元素给料机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b w:val="0"/>
                      <w:bCs w:val="0"/>
                      <w:color w:val="auto"/>
                      <w:sz w:val="21"/>
                      <w:lang w:val="en-US" w:eastAsia="zh-CN"/>
                      <w:highlight w:val="none"/>
                    </w:rPr>
                    <w:t>WLYS-20</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3</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3</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28</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机器人自动码垛</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M410</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29</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电蒸汽发生器</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产汽量：500kg/h</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新增</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30</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硫酸脲</w:t>
                  </w:r>
                  <w:r>
                    <w:rPr>
                      <w:rFonts w:ascii="Times New Roman" w:hAnsi="Times New Roman"/>
                      <w:b w:val="0"/>
                      <w:bCs w:val="0"/>
                      <w:color w:val="auto"/>
                      <w:sz w:val="21"/>
                      <w:lang w:val="en-US" w:eastAsia="zh-CN"/>
                      <w:highlight w:val="none"/>
                    </w:rPr>
                    <w:t>储存罐</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容积：1.5m</w:t>
                  </w:r>
                  <w:r>
                    <w:rPr>
                      <w:rFonts w:hint="eastAsia"/>
                      <w:b w:val="0"/>
                      <w:bCs w:val="0"/>
                      <w:color w:val="auto"/>
                      <w:sz w:val="21"/>
                      <w:vertAlign w:val="superscript"/>
                      <w:lang w:val="en-US" w:eastAsia="zh-CN"/>
                      <w:highlight w:val="none"/>
                    </w:rPr>
                    <w:t>3</w:t>
                  </w:r>
                  <w:r>
                    <w:rPr>
                      <w:rFonts w:hint="eastAsia"/>
                      <w:b w:val="0"/>
                      <w:bCs w:val="0"/>
                      <w:color w:val="auto"/>
                      <w:sz w:val="21"/>
                      <w:lang w:val="en-US" w:eastAsia="zh-CN"/>
                      <w:highlight w:val="none"/>
                    </w:rPr>
                    <w:t>，立式，地上单层普通钢材储罐</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新增，位于挤压造粒生产线车间内</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31</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脲甲醛储存罐</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容积：3m</w:t>
                  </w:r>
                  <w:r>
                    <w:rPr>
                      <w:rFonts w:hint="eastAsia"/>
                      <w:b w:val="0"/>
                      <w:bCs w:val="0"/>
                      <w:color w:val="auto"/>
                      <w:sz w:val="21"/>
                      <w:vertAlign w:val="superscript"/>
                      <w:lang w:val="en-US" w:eastAsia="zh-CN"/>
                      <w:highlight w:val="none"/>
                    </w:rPr>
                    <w:t>3</w:t>
                  </w:r>
                  <w:r>
                    <w:rPr>
                      <w:rFonts w:hint="eastAsia"/>
                      <w:b w:val="0"/>
                      <w:bCs w:val="0"/>
                      <w:color w:val="auto"/>
                      <w:sz w:val="21"/>
                      <w:lang w:val="en-US" w:eastAsia="zh-CN"/>
                      <w:highlight w:val="none"/>
                    </w:rPr>
                    <w:t>，立式，地上双层普通钢材覆搪瓷内衬</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新增，位于挤压造粒生产线车间内</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32</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密闭式颗粒整形机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Φ1.8m×7m</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新增</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33</w:t>
                  </w:r>
                </w:p>
              </w:tc>
              <w:tc>
                <w:tcPr>
                  <w:tcW w:w="93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防结块粉计量添加机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新增</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34</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包裹油储存与化料罐</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容积：0.3m</w:t>
                  </w:r>
                  <w:r>
                    <w:rPr>
                      <w:rFonts w:hint="eastAsia"/>
                      <w:b w:val="0"/>
                      <w:bCs w:val="0"/>
                      <w:color w:val="auto"/>
                      <w:sz w:val="21"/>
                      <w:vertAlign w:val="superscript"/>
                      <w:lang w:val="en-US" w:eastAsia="zh-CN"/>
                      <w:highlight w:val="none"/>
                    </w:rPr>
                    <w:t>3</w:t>
                  </w:r>
                  <w:r>
                    <w:rPr>
                      <w:rFonts w:hint="eastAsia"/>
                      <w:b w:val="0"/>
                      <w:bCs w:val="0"/>
                      <w:color w:val="auto"/>
                      <w:sz w:val="21"/>
                      <w:lang w:val="en-US" w:eastAsia="zh-CN"/>
                      <w:highlight w:val="none"/>
                    </w:rPr>
                    <w:t>，立式，地上双层普通钢材覆搪瓷内衬</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新增</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35</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cs="Times New Roman" w:hint="eastAsia"/>
                      <w:b w:val="0"/>
                      <w:bCs w:val="0"/>
                      <w:color w:val="auto"/>
                      <w:sz w:val="21"/>
                      <w:lang w:val="en-US" w:eastAsia="zh-CN"/>
                      <w:highlight w:val="none"/>
                    </w:rPr>
                    <w:t>斗式提升机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683"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2</w:t>
                  </w:r>
                </w:p>
              </w:tc>
              <w:tc>
                <w:tcPr>
                  <w:tcW w:w="731"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新增</w:t>
                  </w:r>
                </w:p>
              </w:tc>
            </w:tr>
            <w:tr>
              <w:trPr>
                <w:trHeight w:val="397"/>
              </w:trPr>
              <w:tc>
                <w:tcPr>
                  <w:tcW w:w="5000" w:type="pct"/>
                  <w:gridSpan w:val="7"/>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hint="eastAsia"/>
                      <w:b w:val="0"/>
                      <w:bCs w:val="0"/>
                      <w:color w:val="auto"/>
                      <w:sz w:val="21"/>
                      <w:lang w:val="en-US" w:eastAsia="zh-CN"/>
                      <w:highlight w:val="none"/>
                    </w:rPr>
                    <w:t>复混肥生产线（硫酸脲包衣复混肥、脲甲醛包衣复混肥、复混肥）</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密闭式筛分机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b w:val="0"/>
                      <w:bCs w:val="0"/>
                      <w:color w:val="auto"/>
                      <w:sz w:val="21"/>
                      <w:lang w:val="en-US" w:eastAsia="zh-CN"/>
                      <w:highlight w:val="none"/>
                    </w:rPr>
                    <w:t>￠2x9m</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1</w:t>
                  </w:r>
                </w:p>
              </w:tc>
              <w:tc>
                <w:tcPr>
                  <w:tcW w:w="57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2</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cs="Times New Roman" w:hint="eastAsia"/>
                      <w:b w:val="0"/>
                      <w:bCs w:val="0"/>
                      <w:color w:val="auto"/>
                      <w:sz w:val="21"/>
                      <w:lang w:val="en-US" w:eastAsia="zh-CN"/>
                      <w:highlight w:val="none"/>
                    </w:rPr>
                    <w:t>投料口</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10</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10</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3</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原料电子计量秤</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DEL-0620</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10</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10</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4</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皮带输送机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1×10m</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7</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7</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5</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提升机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THD630</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4</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4</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6</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密闭式混料机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ZW-2</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7</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定量电子计量包装秤</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DBS-50</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2</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8</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包装缝口机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GK35-6A</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2</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9</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空压机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AT-20A</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2</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10</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电脑配料控制系统</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PHK50-1060</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11</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空压机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AT-2A</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2</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12</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密闭式筛分机</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￠2x9m</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5000" w:type="pct"/>
                  <w:gridSpan w:val="7"/>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化验室设备</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电热恒温干燥箱</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DZF—6020A</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数显电热鼓风干燥箱</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101A--0</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3</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水浴恒温振荡器</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SHA—C</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4</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电子天平</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FA1104N</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利旧</w:t>
                  </w:r>
                </w:p>
              </w:tc>
            </w:tr>
            <w:tr>
              <w:trPr>
                <w:trHeight w:val="397"/>
              </w:trPr>
              <w:tc>
                <w:tcPr>
                  <w:tcW w:w="335"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5</w:t>
                  </w:r>
                </w:p>
              </w:tc>
              <w:tc>
                <w:tcPr>
                  <w:tcW w:w="934"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cs="Times New Roman" w:hAnsi="Times New Roman"/>
                      <w:b w:val="0"/>
                      <w:bCs w:val="0"/>
                      <w:color w:val="auto"/>
                      <w:sz w:val="21"/>
                      <w:lang w:val="en-US" w:eastAsia="zh-CN"/>
                      <w:highlight w:val="none"/>
                    </w:rPr>
                  </w:pPr>
                  <w:r>
                    <w:rPr>
                      <w:rFonts w:ascii="Times New Roman" w:cs="Times New Roman" w:hAnsi="Times New Roman"/>
                      <w:b w:val="0"/>
                      <w:bCs w:val="0"/>
                      <w:color w:val="auto"/>
                      <w:sz w:val="21"/>
                      <w:lang w:val="en-US" w:eastAsia="zh-CN"/>
                      <w:highlight w:val="none"/>
                    </w:rPr>
                    <w:t>各种玻璃试管</w:t>
                  </w:r>
                </w:p>
              </w:tc>
              <w:tc>
                <w:tcPr>
                  <w:tcW w:w="98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w:t>
                  </w:r>
                </w:p>
              </w:tc>
              <w:tc>
                <w:tcPr>
                  <w:tcW w:w="760"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w:t>
                  </w:r>
                </w:p>
              </w:tc>
              <w:tc>
                <w:tcPr>
                  <w:tcW w:w="683"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w:t>
                  </w:r>
                </w:p>
              </w:tc>
              <w:tc>
                <w:tcPr>
                  <w:tcW w:w="731" w:type="pct"/>
                  <w:tcBorders>
                    <w:left w:val="single" w:sz="8"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w:t>
                  </w:r>
                </w:p>
              </w:tc>
              <w:tc>
                <w:tcPr>
                  <w:tcW w:w="574" w:type="pct"/>
                  <w:tcBorders>
                    <w:left w:val="single" w:sz="8" w:space="0" w:color="auto"/>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利旧</w:t>
                  </w:r>
                </w:p>
              </w:tc>
            </w:tr>
          </w:tbl>
          <w:p>
            <w:pPr>
              <w:pStyle w:val="40"/>
              <w:jc w:val="both"/>
              <w:rPr>
                <w:color w:val="auto"/>
                <w:lang w:val="en-US" w:eastAsia="zh-CN"/>
              </w:rPr>
            </w:pPr>
          </w:p>
          <w:p>
            <w:pPr>
              <w:adjustRightInd w:val="0"/>
              <w:snapToGrid w:val="0"/>
              <w:rPr>
                <w:b/>
                <w:bCs/>
                <w:color w:val="auto"/>
                <w:szCs w:val="32"/>
              </w:rPr>
            </w:pPr>
            <w:r>
              <w:rPr>
                <w:b/>
                <w:bCs/>
                <w:color w:val="auto"/>
                <w:szCs w:val="32"/>
              </w:rPr>
              <w:t>3、主要原、辅材料消耗</w:t>
            </w:r>
          </w:p>
          <w:p>
            <w:pPr>
              <w:adjustRightInd w:val="0"/>
              <w:snapToGrid w:val="0"/>
              <w:rPr>
                <w:color w:val="auto"/>
                <w:szCs w:val="32"/>
              </w:rPr>
            </w:pPr>
            <w:r>
              <w:rPr>
                <w:rFonts w:hint="eastAsia"/>
                <w:color w:val="auto"/>
                <w:szCs w:val="32"/>
                <w:lang w:val="en-US" w:eastAsia="zh-CN"/>
              </w:rPr>
              <w:t>本项目总产能不变，年产复混肥10万吨/年，其中：含硫酸脲包衣复混肥1万吨/年；含脲甲醛包衣复混肥2万吨/年；普通复混肥7万吨/年。挤压造粒完成后5万吨（0.5万吨硫酸脲颗粒状原料、1万吨脲甲醛颗粒状原料、3.5万吨普通颗粒状原料）颗粒状原料用于复混肥生产线生产。</w:t>
            </w:r>
            <w:r>
              <w:rPr>
                <w:rFonts w:hint="eastAsia"/>
                <w:color w:val="auto"/>
                <w:szCs w:val="32"/>
              </w:rPr>
              <w:t>本项目</w:t>
            </w:r>
            <w:r>
              <w:rPr>
                <w:color w:val="auto"/>
                <w:szCs w:val="32"/>
              </w:rPr>
              <w:t>完成后全厂原辅材料及能源消耗见表2-3。</w:t>
            </w:r>
          </w:p>
          <w:p>
            <w:pPr>
              <w:pStyle w:val="40"/>
              <w:rPr>
                <w:color w:val="auto"/>
              </w:rPr>
            </w:pPr>
            <w:r>
              <w:rPr>
                <w:color w:val="auto"/>
              </w:rPr>
              <w:t>表2-3</w:t>
            </w:r>
            <w:r>
              <w:rPr>
                <w:rFonts w:hint="eastAsia"/>
                <w:color w:val="auto"/>
              </w:rPr>
              <w:t xml:space="preserve">   </w:t>
            </w:r>
            <w:r>
              <w:rPr>
                <w:rFonts w:hint="eastAsia"/>
                <w:color w:val="auto"/>
                <w:lang w:val="en-US" w:eastAsia="zh-CN"/>
              </w:rPr>
              <w:t>本项目完成后全厂主要原辅材料及能源消耗</w:t>
            </w:r>
          </w:p>
          <w:tbl>
            <w:tblPr>
              <w:tblpPr w:leftFromText="181" w:rightFromText="181" w:vertAnchor="text" w:horzAnchor="page" w:tblpX="199" w:tblpY="1"/>
              <w:tblOverlap w:val="never"/>
              <w:tblW w:w="477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Look w:val="0600" w:firstRow="0" w:lastRow="0" w:firstColumn="0" w:lastColumn="0" w:noHBand="1" w:noVBand="1"/>
            </w:tblPr>
            <w:tblGrid>
              <w:gridCol w:w="426"/>
              <w:gridCol w:w="426"/>
              <w:gridCol w:w="426"/>
              <w:gridCol w:w="605"/>
              <w:gridCol w:w="1004"/>
              <w:gridCol w:w="584"/>
              <w:gridCol w:w="1056"/>
              <w:gridCol w:w="774"/>
              <w:gridCol w:w="1244"/>
              <w:gridCol w:w="1324"/>
            </w:tblGrid>
            <w:tr>
              <w:trPr>
                <w:trHeight w:val="372"/>
              </w:trPr>
              <w:tc>
                <w:tcPr>
                  <w:tcW w:w="26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序号</w:t>
                  </w:r>
                </w:p>
              </w:tc>
              <w:tc>
                <w:tcPr>
                  <w:tcW w:w="532" w:type="pct"/>
                  <w:gridSpan w:val="2"/>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名称</w:t>
                  </w:r>
                </w:p>
              </w:tc>
              <w:tc>
                <w:tcPr>
                  <w:tcW w:w="37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单位</w:t>
                  </w:r>
                </w:p>
              </w:tc>
              <w:tc>
                <w:tcPr>
                  <w:tcW w:w="1660" w:type="pct"/>
                  <w:gridSpan w:val="3"/>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用量</w:t>
                  </w:r>
                </w:p>
              </w:tc>
              <w:tc>
                <w:tcPr>
                  <w:tcW w:w="502"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变化量</w:t>
                  </w:r>
                </w:p>
              </w:tc>
              <w:tc>
                <w:tcPr>
                  <w:tcW w:w="80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最大储存量（t）</w:t>
                  </w:r>
                </w:p>
              </w:tc>
              <w:tc>
                <w:tcPr>
                  <w:tcW w:w="858"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备注</w:t>
                  </w:r>
                </w:p>
              </w:tc>
            </w:tr>
            <w:tr>
              <w:trPr>
                <w:trHeight w:val="372"/>
              </w:trPr>
              <w:tc>
                <w:tcPr>
                  <w:tcW w:w="266" w:type="pct"/>
                  <w:vMerge/>
                  <w:tcBorders>
                    <w:tl2br w:val="nil"/>
                    <w:tr2bl w:val="nil"/>
                  </w:tcBorders>
                  <w:vAlign w:val="center"/>
                </w:tcPr>
                <w:p/>
              </w:tc>
              <w:tc>
                <w:tcPr>
                  <w:tcW w:w="532" w:type="pct"/>
                  <w:gridSpan w:val="2"/>
                  <w:vMerge/>
                  <w:tcBorders>
                    <w:tl2br w:val="nil"/>
                    <w:tr2bl w:val="nil"/>
                  </w:tcBorders>
                  <w:vAlign w:val="center"/>
                </w:tcPr>
                <w:p/>
              </w:tc>
              <w:tc>
                <w:tcPr>
                  <w:tcW w:w="374" w:type="pct"/>
                  <w:vMerge/>
                  <w:tcBorders>
                    <w:tl2br w:val="nil"/>
                    <w:tr2bl w:val="nil"/>
                  </w:tcBorders>
                  <w:vAlign w:val="center"/>
                </w:tcPr>
                <w:p/>
              </w:tc>
              <w:tc>
                <w:tcPr>
                  <w:tcW w:w="62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现有工程</w:t>
                  </w:r>
                </w:p>
              </w:tc>
              <w:tc>
                <w:tcPr>
                  <w:tcW w:w="37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本项目</w:t>
                  </w:r>
                </w:p>
              </w:tc>
              <w:tc>
                <w:tcPr>
                  <w:tcW w:w="662"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本项目完成后全厂</w:t>
                  </w:r>
                </w:p>
              </w:tc>
              <w:tc>
                <w:tcPr>
                  <w:tcW w:w="502" w:type="pct"/>
                  <w:vMerge/>
                  <w:tcBorders>
                    <w:tl2br w:val="nil"/>
                    <w:tr2bl w:val="nil"/>
                  </w:tcBorders>
                  <w:vAlign w:val="center"/>
                </w:tcPr>
                <w:p/>
              </w:tc>
              <w:tc>
                <w:tcPr>
                  <w:tcW w:w="806" w:type="pct"/>
                  <w:vMerge/>
                  <w:tcBorders>
                    <w:tl2br w:val="nil"/>
                    <w:tr2bl w:val="nil"/>
                  </w:tcBorders>
                  <w:vAlign w:val="center"/>
                </w:tcPr>
                <w:p/>
              </w:tc>
              <w:tc>
                <w:tcPr>
                  <w:tcW w:w="858" w:type="pct"/>
                  <w:vMerge/>
                  <w:tcBorders>
                    <w:tl2br w:val="nil"/>
                    <w:tr2bl w:val="nil"/>
                  </w:tcBorders>
                  <w:vAlign w:val="center"/>
                </w:tcPr>
                <w:p/>
              </w:tc>
            </w:tr>
            <w:tr>
              <w:trPr>
                <w:trHeight w:val="372"/>
              </w:trPr>
              <w:tc>
                <w:tcPr>
                  <w:tcW w:w="5000" w:type="pct"/>
                  <w:gridSpan w:val="10"/>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中微量元素混合车间</w:t>
                  </w:r>
                  <w:r>
                    <w:rPr>
                      <w:rFonts w:hint="eastAsia"/>
                      <w:b w:val="0"/>
                      <w:bCs w:val="0"/>
                      <w:color w:val="auto"/>
                      <w:sz w:val="21"/>
                      <w:lang w:val="en-US" w:eastAsia="zh-CN"/>
                      <w:highlight w:val="none"/>
                    </w:rPr>
                    <w:t>（混合完成后的中微量元素送至挤压造粒生产线和复混肥生产线备用）</w:t>
                  </w:r>
                </w:p>
              </w:tc>
            </w:tr>
            <w:tr>
              <w:trPr>
                <w:trHeight w:val="372"/>
              </w:trPr>
              <w:tc>
                <w:tcPr>
                  <w:tcW w:w="26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w:t>
                  </w:r>
                </w:p>
              </w:tc>
              <w:tc>
                <w:tcPr>
                  <w:tcW w:w="266" w:type="pct"/>
                  <w:vMerge w:val="restart"/>
                  <w:tcBorders>
                    <w:right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中微量元素</w:t>
                  </w: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硫酸锌</w:t>
                  </w:r>
                </w:p>
              </w:tc>
              <w:tc>
                <w:tcPr>
                  <w:tcW w:w="37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t/a</w:t>
                  </w:r>
                </w:p>
              </w:tc>
              <w:tc>
                <w:tcPr>
                  <w:tcW w:w="627"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3000</w:t>
                  </w:r>
                </w:p>
              </w:tc>
              <w:tc>
                <w:tcPr>
                  <w:tcW w:w="370"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3000</w:t>
                  </w:r>
                </w:p>
              </w:tc>
              <w:tc>
                <w:tcPr>
                  <w:tcW w:w="502"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36</w:t>
                  </w:r>
                </w:p>
              </w:tc>
              <w:tc>
                <w:tcPr>
                  <w:tcW w:w="858"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10kg/袋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外购袋装（颗粒状），原料库储存。</w:t>
                  </w:r>
                </w:p>
              </w:tc>
            </w:tr>
            <w:tr>
              <w:trPr>
                <w:trHeight w:val="372"/>
              </w:trPr>
              <w:tc>
                <w:tcPr>
                  <w:tcW w:w="266" w:type="pct"/>
                  <w:vMerge/>
                  <w:tcBorders>
                    <w:tl2br w:val="nil"/>
                    <w:tr2bl w:val="nil"/>
                  </w:tcBorders>
                  <w:vAlign w:val="center"/>
                </w:tcPr>
                <w:p/>
              </w:tc>
              <w:tc>
                <w:tcPr>
                  <w:tcW w:w="266" w:type="pct"/>
                  <w:vMerge/>
                  <w:tcBorders>
                    <w:right w:val="single" w:sz="4" w:space="0" w:color="auto"/>
                    <w:tl2br w:val="nil"/>
                    <w:tr2bl w:val="nil"/>
                  </w:tcBorders>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硫酸镁</w:t>
                  </w:r>
                </w:p>
              </w:tc>
              <w:tc>
                <w:tcPr>
                  <w:tcW w:w="374" w:type="pct"/>
                  <w:vMerge/>
                  <w:tcBorders>
                    <w:tl2br w:val="nil"/>
                    <w:tr2bl w:val="nil"/>
                  </w:tcBorders>
                  <w:vAlign w:val="center"/>
                </w:tcPr>
                <w:p/>
              </w:tc>
              <w:tc>
                <w:tcPr>
                  <w:tcW w:w="627" w:type="pct"/>
                  <w:vMerge/>
                  <w:tcBorders>
                    <w:tl2br w:val="nil"/>
                    <w:tr2bl w:val="nil"/>
                  </w:tcBorders>
                  <w:vAlign w:val="center"/>
                </w:tcPr>
                <w:p/>
              </w:tc>
              <w:tc>
                <w:tcPr>
                  <w:tcW w:w="370" w:type="pct"/>
                  <w:vMerge/>
                  <w:tcBorders>
                    <w:tl2br w:val="nil"/>
                    <w:tr2bl w:val="nil"/>
                  </w:tcBorders>
                  <w:vAlign w:val="center"/>
                </w:tcPr>
                <w:p/>
              </w:tc>
              <w:tc>
                <w:tcPr>
                  <w:tcW w:w="662" w:type="pct"/>
                  <w:vMerge/>
                  <w:tcBorders>
                    <w:tl2br w:val="nil"/>
                    <w:tr2bl w:val="nil"/>
                  </w:tcBorders>
                  <w:vAlign w:val="center"/>
                </w:tcPr>
                <w:p/>
              </w:tc>
              <w:tc>
                <w:tcPr>
                  <w:tcW w:w="502" w:type="pct"/>
                  <w:vMerge/>
                  <w:tcBorders>
                    <w:tl2br w:val="nil"/>
                    <w:tr2bl w:val="nil"/>
                  </w:tcBorders>
                  <w:vAlign w:val="center"/>
                </w:tcPr>
                <w:p/>
              </w:tc>
              <w:tc>
                <w:tcPr>
                  <w:tcW w:w="806" w:type="pct"/>
                  <w:vMerge/>
                  <w:tcBorders>
                    <w:tl2br w:val="nil"/>
                    <w:tr2bl w:val="nil"/>
                  </w:tcBorders>
                  <w:vAlign w:val="center"/>
                </w:tcPr>
                <w:p/>
              </w:tc>
              <w:tc>
                <w:tcPr>
                  <w:tcW w:w="858" w:type="pct"/>
                  <w:vMerge/>
                  <w:tcBorders>
                    <w:tl2br w:val="nil"/>
                    <w:tr2bl w:val="nil"/>
                  </w:tcBorders>
                  <w:vAlign w:val="center"/>
                </w:tcPr>
                <w:p/>
              </w:tc>
            </w:tr>
            <w:tr>
              <w:trPr>
                <w:trHeight w:val="372"/>
              </w:trPr>
              <w:tc>
                <w:tcPr>
                  <w:tcW w:w="266" w:type="pct"/>
                  <w:vMerge/>
                  <w:tcBorders>
                    <w:tl2br w:val="nil"/>
                    <w:tr2bl w:val="nil"/>
                  </w:tcBorders>
                  <w:vAlign w:val="center"/>
                </w:tcPr>
                <w:p/>
              </w:tc>
              <w:tc>
                <w:tcPr>
                  <w:tcW w:w="266" w:type="pct"/>
                  <w:vMerge/>
                  <w:tcBorders>
                    <w:right w:val="single" w:sz="4" w:space="0" w:color="auto"/>
                    <w:tl2br w:val="nil"/>
                    <w:tr2bl w:val="nil"/>
                  </w:tcBorders>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氯化钙</w:t>
                  </w:r>
                </w:p>
              </w:tc>
              <w:tc>
                <w:tcPr>
                  <w:tcW w:w="374" w:type="pct"/>
                  <w:vMerge/>
                  <w:tcBorders>
                    <w:tl2br w:val="nil"/>
                    <w:tr2bl w:val="nil"/>
                  </w:tcBorders>
                  <w:vAlign w:val="center"/>
                </w:tcPr>
                <w:p/>
              </w:tc>
              <w:tc>
                <w:tcPr>
                  <w:tcW w:w="627" w:type="pct"/>
                  <w:vMerge/>
                  <w:tcBorders>
                    <w:tl2br w:val="nil"/>
                    <w:tr2bl w:val="nil"/>
                  </w:tcBorders>
                  <w:vAlign w:val="center"/>
                </w:tcPr>
                <w:p/>
              </w:tc>
              <w:tc>
                <w:tcPr>
                  <w:tcW w:w="370" w:type="pct"/>
                  <w:vMerge/>
                  <w:tcBorders>
                    <w:tl2br w:val="nil"/>
                    <w:tr2bl w:val="nil"/>
                  </w:tcBorders>
                  <w:vAlign w:val="center"/>
                </w:tcPr>
                <w:p/>
              </w:tc>
              <w:tc>
                <w:tcPr>
                  <w:tcW w:w="662" w:type="pct"/>
                  <w:vMerge/>
                  <w:tcBorders>
                    <w:tl2br w:val="nil"/>
                    <w:tr2bl w:val="nil"/>
                  </w:tcBorders>
                  <w:vAlign w:val="center"/>
                </w:tcPr>
                <w:p/>
              </w:tc>
              <w:tc>
                <w:tcPr>
                  <w:tcW w:w="502" w:type="pct"/>
                  <w:vMerge/>
                  <w:tcBorders>
                    <w:tl2br w:val="nil"/>
                    <w:tr2bl w:val="nil"/>
                  </w:tcBorders>
                  <w:vAlign w:val="center"/>
                </w:tcPr>
                <w:p/>
              </w:tc>
              <w:tc>
                <w:tcPr>
                  <w:tcW w:w="806" w:type="pct"/>
                  <w:vMerge/>
                  <w:tcBorders>
                    <w:tl2br w:val="nil"/>
                    <w:tr2bl w:val="nil"/>
                  </w:tcBorders>
                  <w:vAlign w:val="center"/>
                </w:tcPr>
                <w:p/>
              </w:tc>
              <w:tc>
                <w:tcPr>
                  <w:tcW w:w="858" w:type="pct"/>
                  <w:vMerge/>
                  <w:tcBorders>
                    <w:tl2br w:val="nil"/>
                    <w:tr2bl w:val="nil"/>
                  </w:tcBorders>
                  <w:vAlign w:val="center"/>
                </w:tcPr>
                <w:p/>
              </w:tc>
            </w:tr>
            <w:tr>
              <w:trPr>
                <w:trHeight w:val="372"/>
              </w:trPr>
              <w:tc>
                <w:tcPr>
                  <w:tcW w:w="266" w:type="pct"/>
                  <w:vMerge/>
                  <w:tcBorders>
                    <w:tl2br w:val="nil"/>
                    <w:tr2bl w:val="nil"/>
                  </w:tcBorders>
                  <w:vAlign w:val="center"/>
                </w:tcPr>
                <w:p/>
              </w:tc>
              <w:tc>
                <w:tcPr>
                  <w:tcW w:w="266" w:type="pct"/>
                  <w:vMerge/>
                  <w:tcBorders>
                    <w:right w:val="single" w:sz="4" w:space="0" w:color="auto"/>
                    <w:tl2br w:val="nil"/>
                    <w:tr2bl w:val="nil"/>
                  </w:tcBorders>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硼酸钠</w:t>
                  </w:r>
                </w:p>
              </w:tc>
              <w:tc>
                <w:tcPr>
                  <w:tcW w:w="374" w:type="pct"/>
                  <w:vMerge/>
                  <w:tcBorders>
                    <w:tl2br w:val="nil"/>
                    <w:tr2bl w:val="nil"/>
                  </w:tcBorders>
                  <w:vAlign w:val="center"/>
                </w:tcPr>
                <w:p/>
              </w:tc>
              <w:tc>
                <w:tcPr>
                  <w:tcW w:w="627" w:type="pct"/>
                  <w:vMerge/>
                  <w:tcBorders>
                    <w:tl2br w:val="nil"/>
                    <w:tr2bl w:val="nil"/>
                  </w:tcBorders>
                  <w:vAlign w:val="center"/>
                </w:tcPr>
                <w:p/>
              </w:tc>
              <w:tc>
                <w:tcPr>
                  <w:tcW w:w="370" w:type="pct"/>
                  <w:vMerge/>
                  <w:tcBorders>
                    <w:tl2br w:val="nil"/>
                    <w:tr2bl w:val="nil"/>
                  </w:tcBorders>
                  <w:vAlign w:val="center"/>
                </w:tcPr>
                <w:p/>
              </w:tc>
              <w:tc>
                <w:tcPr>
                  <w:tcW w:w="662" w:type="pct"/>
                  <w:vMerge/>
                  <w:tcBorders>
                    <w:tl2br w:val="nil"/>
                    <w:tr2bl w:val="nil"/>
                  </w:tcBorders>
                  <w:vAlign w:val="center"/>
                </w:tcPr>
                <w:p/>
              </w:tc>
              <w:tc>
                <w:tcPr>
                  <w:tcW w:w="502" w:type="pct"/>
                  <w:vMerge/>
                  <w:tcBorders>
                    <w:tl2br w:val="nil"/>
                    <w:tr2bl w:val="nil"/>
                  </w:tcBorders>
                  <w:vAlign w:val="center"/>
                </w:tcPr>
                <w:p/>
              </w:tc>
              <w:tc>
                <w:tcPr>
                  <w:tcW w:w="806" w:type="pct"/>
                  <w:vMerge/>
                  <w:tcBorders>
                    <w:tl2br w:val="nil"/>
                    <w:tr2bl w:val="nil"/>
                  </w:tcBorders>
                  <w:vAlign w:val="center"/>
                </w:tcPr>
                <w:p/>
              </w:tc>
              <w:tc>
                <w:tcPr>
                  <w:tcW w:w="858" w:type="pct"/>
                  <w:vMerge/>
                  <w:tcBorders>
                    <w:tl2br w:val="nil"/>
                    <w:tr2bl w:val="nil"/>
                  </w:tcBorders>
                  <w:vAlign w:val="center"/>
                </w:tcPr>
                <w:p/>
              </w:tc>
            </w:tr>
            <w:tr>
              <w:trPr>
                <w:trHeight w:val="372"/>
              </w:trPr>
              <w:tc>
                <w:tcPr>
                  <w:tcW w:w="26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w:t>
                  </w:r>
                </w:p>
              </w:tc>
              <w:tc>
                <w:tcPr>
                  <w:tcW w:w="266" w:type="pct"/>
                  <w:vMerge w:val="restart"/>
                  <w:tcBorders>
                    <w:righ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中微量元素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硫酸锌</w:t>
                  </w:r>
                </w:p>
              </w:tc>
              <w:tc>
                <w:tcPr>
                  <w:tcW w:w="37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t/a</w:t>
                  </w:r>
                </w:p>
              </w:tc>
              <w:tc>
                <w:tcPr>
                  <w:tcW w:w="627"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2000</w:t>
                  </w:r>
                </w:p>
              </w:tc>
              <w:tc>
                <w:tcPr>
                  <w:tcW w:w="370"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2000</w:t>
                  </w:r>
                </w:p>
              </w:tc>
              <w:tc>
                <w:tcPr>
                  <w:tcW w:w="502"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32</w:t>
                  </w:r>
                </w:p>
              </w:tc>
              <w:tc>
                <w:tcPr>
                  <w:tcW w:w="858"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10kg/袋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外购袋装（粉末状），原料库储存。</w:t>
                  </w:r>
                </w:p>
              </w:tc>
            </w:tr>
            <w:tr>
              <w:trPr>
                <w:trHeight w:val="372"/>
              </w:trPr>
              <w:tc>
                <w:tcPr>
                  <w:tcW w:w="266" w:type="pct"/>
                  <w:vMerge/>
                  <w:tcBorders>
                    <w:tl2br w:val="nil"/>
                    <w:tr2bl w:val="nil"/>
                  </w:tcBorders>
                  <w:vAlign w:val="center"/>
                </w:tcPr>
                <w:p/>
              </w:tc>
              <w:tc>
                <w:tcPr>
                  <w:tcW w:w="266" w:type="pct"/>
                  <w:vMerge/>
                  <w:tcBorders>
                    <w:right w:val="single" w:sz="4" w:space="0" w:color="auto"/>
                    <w:tl2br w:val="nil"/>
                    <w:tr2bl w:val="nil"/>
                  </w:tcBorders>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硫酸镁</w:t>
                  </w:r>
                </w:p>
              </w:tc>
              <w:tc>
                <w:tcPr>
                  <w:tcW w:w="374" w:type="pct"/>
                  <w:vMerge/>
                  <w:tcBorders>
                    <w:tl2br w:val="nil"/>
                    <w:tr2bl w:val="nil"/>
                  </w:tcBorders>
                  <w:vAlign w:val="center"/>
                </w:tcPr>
                <w:p/>
              </w:tc>
              <w:tc>
                <w:tcPr>
                  <w:tcW w:w="627" w:type="pct"/>
                  <w:vMerge/>
                  <w:tcBorders>
                    <w:tl2br w:val="nil"/>
                    <w:tr2bl w:val="nil"/>
                  </w:tcBorders>
                  <w:vAlign w:val="center"/>
                </w:tcPr>
                <w:p/>
              </w:tc>
              <w:tc>
                <w:tcPr>
                  <w:tcW w:w="370" w:type="pct"/>
                  <w:vMerge/>
                  <w:tcBorders>
                    <w:tl2br w:val="nil"/>
                    <w:tr2bl w:val="nil"/>
                  </w:tcBorders>
                  <w:vAlign w:val="center"/>
                </w:tcPr>
                <w:p/>
              </w:tc>
              <w:tc>
                <w:tcPr>
                  <w:tcW w:w="662" w:type="pct"/>
                  <w:vMerge/>
                  <w:tcBorders>
                    <w:tl2br w:val="nil"/>
                    <w:tr2bl w:val="nil"/>
                  </w:tcBorders>
                  <w:vAlign w:val="center"/>
                </w:tcPr>
                <w:p/>
              </w:tc>
              <w:tc>
                <w:tcPr>
                  <w:tcW w:w="502" w:type="pct"/>
                  <w:vMerge/>
                  <w:tcBorders>
                    <w:tl2br w:val="nil"/>
                    <w:tr2bl w:val="nil"/>
                  </w:tcBorders>
                  <w:vAlign w:val="center"/>
                </w:tcPr>
                <w:p/>
              </w:tc>
              <w:tc>
                <w:tcPr>
                  <w:tcW w:w="806" w:type="pct"/>
                  <w:vMerge/>
                  <w:tcBorders>
                    <w:tl2br w:val="nil"/>
                    <w:tr2bl w:val="nil"/>
                  </w:tcBorders>
                  <w:vAlign w:val="center"/>
                </w:tcPr>
                <w:p/>
              </w:tc>
              <w:tc>
                <w:tcPr>
                  <w:tcW w:w="858" w:type="pct"/>
                  <w:vMerge/>
                  <w:tcBorders>
                    <w:tl2br w:val="nil"/>
                    <w:tr2bl w:val="nil"/>
                  </w:tcBorders>
                  <w:vAlign w:val="center"/>
                </w:tcPr>
                <w:p/>
              </w:tc>
            </w:tr>
            <w:tr>
              <w:trPr>
                <w:trHeight w:val="372"/>
              </w:trPr>
              <w:tc>
                <w:tcPr>
                  <w:tcW w:w="266" w:type="pct"/>
                  <w:vMerge/>
                  <w:tcBorders>
                    <w:tl2br w:val="nil"/>
                    <w:tr2bl w:val="nil"/>
                  </w:tcBorders>
                  <w:vAlign w:val="center"/>
                </w:tcPr>
                <w:p/>
              </w:tc>
              <w:tc>
                <w:tcPr>
                  <w:tcW w:w="266" w:type="pct"/>
                  <w:vMerge/>
                  <w:tcBorders>
                    <w:right w:val="single" w:sz="4" w:space="0" w:color="auto"/>
                    <w:tl2br w:val="nil"/>
                    <w:tr2bl w:val="nil"/>
                  </w:tcBorders>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氯化钙</w:t>
                  </w:r>
                </w:p>
              </w:tc>
              <w:tc>
                <w:tcPr>
                  <w:tcW w:w="374" w:type="pct"/>
                  <w:vMerge/>
                  <w:tcBorders>
                    <w:tl2br w:val="nil"/>
                    <w:tr2bl w:val="nil"/>
                  </w:tcBorders>
                  <w:vAlign w:val="center"/>
                </w:tcPr>
                <w:p/>
              </w:tc>
              <w:tc>
                <w:tcPr>
                  <w:tcW w:w="627" w:type="pct"/>
                  <w:vMerge/>
                  <w:tcBorders>
                    <w:tl2br w:val="nil"/>
                    <w:tr2bl w:val="nil"/>
                  </w:tcBorders>
                  <w:vAlign w:val="center"/>
                </w:tcPr>
                <w:p/>
              </w:tc>
              <w:tc>
                <w:tcPr>
                  <w:tcW w:w="370" w:type="pct"/>
                  <w:vMerge/>
                  <w:tcBorders>
                    <w:tl2br w:val="nil"/>
                    <w:tr2bl w:val="nil"/>
                  </w:tcBorders>
                  <w:vAlign w:val="center"/>
                </w:tcPr>
                <w:p/>
              </w:tc>
              <w:tc>
                <w:tcPr>
                  <w:tcW w:w="662" w:type="pct"/>
                  <w:vMerge/>
                  <w:tcBorders>
                    <w:tl2br w:val="nil"/>
                    <w:tr2bl w:val="nil"/>
                  </w:tcBorders>
                  <w:vAlign w:val="center"/>
                </w:tcPr>
                <w:p/>
              </w:tc>
              <w:tc>
                <w:tcPr>
                  <w:tcW w:w="502" w:type="pct"/>
                  <w:vMerge/>
                  <w:tcBorders>
                    <w:tl2br w:val="nil"/>
                    <w:tr2bl w:val="nil"/>
                  </w:tcBorders>
                  <w:vAlign w:val="center"/>
                </w:tcPr>
                <w:p/>
              </w:tc>
              <w:tc>
                <w:tcPr>
                  <w:tcW w:w="806" w:type="pct"/>
                  <w:vMerge/>
                  <w:tcBorders>
                    <w:tl2br w:val="nil"/>
                    <w:tr2bl w:val="nil"/>
                  </w:tcBorders>
                  <w:vAlign w:val="center"/>
                </w:tcPr>
                <w:p/>
              </w:tc>
              <w:tc>
                <w:tcPr>
                  <w:tcW w:w="858" w:type="pct"/>
                  <w:vMerge/>
                  <w:tcBorders>
                    <w:tl2br w:val="nil"/>
                    <w:tr2bl w:val="nil"/>
                  </w:tcBorders>
                  <w:vAlign w:val="center"/>
                </w:tcPr>
                <w:p/>
              </w:tc>
            </w:tr>
            <w:tr>
              <w:trPr>
                <w:trHeight w:val="372"/>
              </w:trPr>
              <w:tc>
                <w:tcPr>
                  <w:tcW w:w="266" w:type="pct"/>
                  <w:vMerge/>
                  <w:tcBorders>
                    <w:tl2br w:val="nil"/>
                    <w:tr2bl w:val="nil"/>
                  </w:tcBorders>
                  <w:vAlign w:val="center"/>
                </w:tcPr>
                <w:p/>
              </w:tc>
              <w:tc>
                <w:tcPr>
                  <w:tcW w:w="266" w:type="pct"/>
                  <w:vMerge/>
                  <w:tcBorders>
                    <w:right w:val="single" w:sz="4" w:space="0" w:color="auto"/>
                    <w:tl2br w:val="nil"/>
                    <w:tr2bl w:val="nil"/>
                  </w:tcBorders>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硼酸钠</w:t>
                  </w:r>
                </w:p>
              </w:tc>
              <w:tc>
                <w:tcPr>
                  <w:tcW w:w="374" w:type="pct"/>
                  <w:vMerge/>
                  <w:tcBorders>
                    <w:tl2br w:val="nil"/>
                    <w:tr2bl w:val="nil"/>
                  </w:tcBorders>
                  <w:vAlign w:val="center"/>
                </w:tcPr>
                <w:p/>
              </w:tc>
              <w:tc>
                <w:tcPr>
                  <w:tcW w:w="627" w:type="pct"/>
                  <w:vMerge/>
                  <w:tcBorders>
                    <w:tl2br w:val="nil"/>
                    <w:tr2bl w:val="nil"/>
                  </w:tcBorders>
                  <w:vAlign w:val="center"/>
                </w:tcPr>
                <w:p/>
              </w:tc>
              <w:tc>
                <w:tcPr>
                  <w:tcW w:w="370" w:type="pct"/>
                  <w:vMerge/>
                  <w:tcBorders>
                    <w:tl2br w:val="nil"/>
                    <w:tr2bl w:val="nil"/>
                  </w:tcBorders>
                  <w:vAlign w:val="center"/>
                </w:tcPr>
                <w:p/>
              </w:tc>
              <w:tc>
                <w:tcPr>
                  <w:tcW w:w="662" w:type="pct"/>
                  <w:vMerge/>
                  <w:tcBorders>
                    <w:tl2br w:val="nil"/>
                    <w:tr2bl w:val="nil"/>
                  </w:tcBorders>
                  <w:vAlign w:val="center"/>
                </w:tcPr>
                <w:p/>
              </w:tc>
              <w:tc>
                <w:tcPr>
                  <w:tcW w:w="502" w:type="pct"/>
                  <w:vMerge/>
                  <w:tcBorders>
                    <w:tl2br w:val="nil"/>
                    <w:tr2bl w:val="nil"/>
                  </w:tcBorders>
                  <w:vAlign w:val="center"/>
                </w:tcPr>
                <w:p/>
              </w:tc>
              <w:tc>
                <w:tcPr>
                  <w:tcW w:w="806" w:type="pct"/>
                  <w:vMerge/>
                  <w:tcBorders>
                    <w:tl2br w:val="nil"/>
                    <w:tr2bl w:val="nil"/>
                  </w:tcBorders>
                  <w:vAlign w:val="center"/>
                </w:tcPr>
                <w:p/>
              </w:tc>
              <w:tc>
                <w:tcPr>
                  <w:tcW w:w="858" w:type="pct"/>
                  <w:vMerge/>
                  <w:tcBorders>
                    <w:tl2br w:val="nil"/>
                    <w:tr2bl w:val="nil"/>
                  </w:tcBorders>
                  <w:vAlign w:val="center"/>
                </w:tcPr>
                <w:p/>
              </w:tc>
            </w:tr>
            <w:tr>
              <w:trPr>
                <w:trHeight w:val="340"/>
              </w:trPr>
              <w:tc>
                <w:tcPr>
                  <w:tcW w:w="5000" w:type="pct"/>
                  <w:gridSpan w:val="10"/>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挤压造粒生产线（外购粉末状物料量，挤压造粒完成后用于复混肥生产）</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1</w:t>
                  </w:r>
                </w:p>
              </w:tc>
              <w:tc>
                <w:tcPr>
                  <w:tcW w:w="532" w:type="pct"/>
                  <w:gridSpan w:val="2"/>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尿素</w:t>
                  </w:r>
                </w:p>
              </w:tc>
              <w:tc>
                <w:tcPr>
                  <w:tcW w:w="374"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hint="eastAsia"/>
                      <w:b w:val="0"/>
                      <w:bCs/>
                      <w:color w:val="auto"/>
                      <w:kern w:val="2"/>
                      <w:sz w:val="21"/>
                      <w:szCs w:val="21"/>
                      <w:lang w:val="en-US" w:eastAsia="zh-CN" w:bidi="ar-SA"/>
                    </w:rPr>
                  </w:pPr>
                  <w:r>
                    <w:rPr>
                      <w:rFonts w:ascii="Times New Roman" w:eastAsia="宋体" w:cs="Times New Roman" w:hAnsi="Times New Roman" w:hint="eastAsia"/>
                      <w:bCs/>
                      <w:color w:val="auto"/>
                      <w:kern w:val="0"/>
                      <w:sz w:val="21"/>
                      <w:szCs w:val="21"/>
                      <w:lang w:val="en-US" w:eastAsia="zh-CN"/>
                    </w:rPr>
                    <w:t>t</w:t>
                  </w:r>
                  <w:r>
                    <w:rPr>
                      <w:rFonts w:ascii="Times New Roman" w:eastAsia="宋体" w:cs="Times New Roman" w:hAnsi="Times New Roman"/>
                      <w:bCs/>
                      <w:color w:val="auto"/>
                      <w:kern w:val="0"/>
                      <w:sz w:val="21"/>
                      <w:szCs w:val="21"/>
                    </w:rPr>
                    <w: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12000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12000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bottom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140</w:t>
                  </w:r>
                </w:p>
              </w:tc>
              <w:tc>
                <w:tcPr>
                  <w:tcW w:w="858" w:type="pct"/>
                  <w:tcBorders>
                    <w:bottom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hint="eastAsia"/>
                      <w:b w:val="0"/>
                      <w:bCs w:val="0"/>
                      <w:color w:val="auto"/>
                      <w:sz w:val="21"/>
                      <w:lang w:val="en-US" w:eastAsia="zh-CN"/>
                      <w:highlight w:val="none"/>
                    </w:rPr>
                    <w:t>5</w:t>
                  </w:r>
                  <w:r>
                    <w:rPr>
                      <w:rFonts w:ascii="Times New Roman" w:hAnsi="Times New Roman" w:hint="eastAsia"/>
                      <w:b w:val="0"/>
                      <w:bCs w:val="0"/>
                      <w:color w:val="auto"/>
                      <w:sz w:val="21"/>
                      <w:lang w:val="en-US" w:eastAsia="zh-CN"/>
                      <w:highlight w:val="none"/>
                    </w:rPr>
                    <w:t>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外购袋装（</w:t>
                  </w:r>
                  <w:r>
                    <w:rPr>
                      <w:rFonts w:hint="eastAsia"/>
                      <w:b w:val="0"/>
                      <w:bCs w:val="0"/>
                      <w:color w:val="auto"/>
                      <w:sz w:val="21"/>
                      <w:lang w:val="en-US" w:eastAsia="zh-CN"/>
                      <w:highlight w:val="none"/>
                    </w:rPr>
                    <w:t>细颗</w:t>
                  </w:r>
                  <w:r>
                    <w:rPr>
                      <w:rFonts w:ascii="Times New Roman" w:hAnsi="Times New Roman" w:hint="eastAsia"/>
                      <w:b w:val="0"/>
                      <w:bCs w:val="0"/>
                      <w:color w:val="auto"/>
                      <w:sz w:val="21"/>
                      <w:lang w:val="en-US" w:eastAsia="zh-CN"/>
                      <w:highlight w:val="none"/>
                    </w:rPr>
                    <w:t>粒状），原料库储存。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2</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highlight w:val="none"/>
                    </w:rPr>
                  </w:pPr>
                  <w:r>
                    <w:rPr>
                      <w:rFonts w:eastAsia="宋体" w:cs="Times New Roman" w:hint="eastAsia"/>
                      <w:color w:val="auto"/>
                      <w:kern w:val="2"/>
                      <w:sz w:val="21"/>
                      <w:szCs w:val="22"/>
                      <w:lang w:val="en-US" w:eastAsia="zh-CN" w:bidi="ar-SA"/>
                      <w:highlight w:val="none"/>
                    </w:rPr>
                    <w:t>氯化铵</w:t>
                  </w:r>
                </w:p>
              </w:tc>
              <w:tc>
                <w:tcPr>
                  <w:tcW w:w="374"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hint="eastAsia"/>
                      <w:bCs/>
                      <w:color w:val="auto"/>
                      <w:kern w:val="0"/>
                      <w:sz w:val="21"/>
                      <w:szCs w:val="21"/>
                      <w:lang w:val="en-US" w:eastAsia="zh-CN" w:bidi="ar-SA"/>
                      <w:highlight w:val="none"/>
                    </w:rPr>
                  </w:pPr>
                  <w:r>
                    <w:rPr>
                      <w:rFonts w:ascii="Times New Roman" w:eastAsia="宋体" w:cs="Times New Roman" w:hAnsi="Times New Roman" w:hint="eastAsia"/>
                      <w:bCs/>
                      <w:color w:val="auto"/>
                      <w:kern w:val="0"/>
                      <w:sz w:val="21"/>
                      <w:szCs w:val="21"/>
                      <w:lang w:val="en-US" w:eastAsia="zh-CN"/>
                      <w:highlight w:val="none"/>
                    </w:rPr>
                    <w:t>t</w:t>
                  </w:r>
                  <w:r>
                    <w:rPr>
                      <w:rFonts w:ascii="Times New Roman" w:eastAsia="宋体" w:cs="Times New Roman" w:hAnsi="Times New Roman"/>
                      <w:bCs/>
                      <w:color w:val="auto"/>
                      <w:kern w:val="0"/>
                      <w:sz w:val="21"/>
                      <w:szCs w:val="21"/>
                      <w:highlight w:val="none"/>
                    </w:rPr>
                    <w: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9003.088</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highlight w:val="none"/>
                    </w:rPr>
                  </w:pPr>
                  <w:r>
                    <w:rPr>
                      <w:rFonts w:cs="Times New Roman" w:hint="eastAsia"/>
                      <w:bCs/>
                      <w:color w:val="auto"/>
                      <w:kern w:val="0"/>
                      <w:sz w:val="21"/>
                      <w:szCs w:val="21"/>
                      <w:lang w:val="en-US" w:eastAsia="zh-CN" w:bidi="ar-SA"/>
                      <w:highlight w:val="none"/>
                    </w:rPr>
                    <w:t>8,635.588</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-367.5</w:t>
                  </w:r>
                </w:p>
              </w:tc>
              <w:tc>
                <w:tcPr>
                  <w:tcW w:w="806" w:type="pct"/>
                  <w:tcBorders>
                    <w:top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110</w:t>
                  </w:r>
                </w:p>
              </w:tc>
              <w:tc>
                <w:tcPr>
                  <w:tcW w:w="858" w:type="pct"/>
                  <w:tcBorders>
                    <w:top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外购袋装（</w:t>
                  </w:r>
                  <w:r>
                    <w:rPr>
                      <w:rFonts w:hint="eastAsia"/>
                      <w:b w:val="0"/>
                      <w:bCs w:val="0"/>
                      <w:color w:val="auto"/>
                      <w:sz w:val="21"/>
                      <w:lang w:val="en-US" w:eastAsia="zh-CN"/>
                      <w:highlight w:val="none"/>
                    </w:rPr>
                    <w:t>粉末</w:t>
                  </w:r>
                  <w:r>
                    <w:rPr>
                      <w:rFonts w:ascii="Times New Roman" w:hAnsi="Times New Roman" w:hint="eastAsia"/>
                      <w:b w:val="0"/>
                      <w:bCs w:val="0"/>
                      <w:color w:val="auto"/>
                      <w:sz w:val="21"/>
                      <w:lang w:val="en-US" w:eastAsia="zh-CN"/>
                      <w:highlight w:val="none"/>
                    </w:rPr>
                    <w:t>状），原料库储存。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3</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硫酸铵</w:t>
                  </w:r>
                </w:p>
              </w:tc>
              <w:tc>
                <w:tcPr>
                  <w:tcW w:w="374"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hint="eastAsia"/>
                      <w:bCs/>
                      <w:color w:val="auto"/>
                      <w:kern w:val="0"/>
                      <w:sz w:val="21"/>
                      <w:szCs w:val="21"/>
                      <w:lang w:val="en-US" w:eastAsia="zh-CN" w:bidi="ar-SA"/>
                    </w:rPr>
                  </w:pPr>
                  <w:r>
                    <w:rPr>
                      <w:rFonts w:ascii="Times New Roman" w:eastAsia="宋体" w:cs="Times New Roman" w:hAnsi="Times New Roman" w:hint="eastAsia"/>
                      <w:bCs/>
                      <w:color w:val="auto"/>
                      <w:kern w:val="0"/>
                      <w:sz w:val="21"/>
                      <w:szCs w:val="21"/>
                      <w:lang w:val="en-US" w:eastAsia="zh-CN"/>
                    </w:rPr>
                    <w:t>t</w:t>
                  </w:r>
                  <w:r>
                    <w:rPr>
                      <w:rFonts w:ascii="Times New Roman" w:eastAsia="宋体" w:cs="Times New Roman" w:hAnsi="Times New Roman"/>
                      <w:bCs/>
                      <w:color w:val="auto"/>
                      <w:kern w:val="0"/>
                      <w:sz w:val="21"/>
                      <w:szCs w:val="21"/>
                    </w:rPr>
                    <w: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4000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4000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40</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外购袋装（</w:t>
                  </w:r>
                  <w:r>
                    <w:rPr>
                      <w:rFonts w:hint="eastAsia"/>
                      <w:b w:val="0"/>
                      <w:bCs w:val="0"/>
                      <w:color w:val="auto"/>
                      <w:sz w:val="21"/>
                      <w:lang w:val="en-US" w:eastAsia="zh-CN"/>
                      <w:highlight w:val="none"/>
                    </w:rPr>
                    <w:t>粉末</w:t>
                  </w:r>
                  <w:r>
                    <w:rPr>
                      <w:rFonts w:ascii="Times New Roman" w:hAnsi="Times New Roman" w:hint="eastAsia"/>
                      <w:b w:val="0"/>
                      <w:bCs w:val="0"/>
                      <w:color w:val="auto"/>
                      <w:sz w:val="21"/>
                      <w:lang w:val="en-US" w:eastAsia="zh-CN"/>
                      <w:highlight w:val="none"/>
                    </w:rPr>
                    <w:t>状），原料库储存。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4</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磷酸一铵</w:t>
                  </w:r>
                </w:p>
              </w:tc>
              <w:tc>
                <w:tcPr>
                  <w:tcW w:w="374"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hint="eastAsia"/>
                      <w:bCs/>
                      <w:color w:val="auto"/>
                      <w:kern w:val="0"/>
                      <w:sz w:val="21"/>
                      <w:szCs w:val="21"/>
                      <w:lang w:val="en-US" w:eastAsia="zh-CN" w:bidi="ar-SA"/>
                    </w:rPr>
                  </w:pPr>
                  <w:r>
                    <w:rPr>
                      <w:rFonts w:ascii="Times New Roman" w:eastAsia="宋体" w:cs="Times New Roman" w:hAnsi="Times New Roman" w:hint="eastAsia"/>
                      <w:bCs/>
                      <w:color w:val="auto"/>
                      <w:kern w:val="0"/>
                      <w:sz w:val="21"/>
                      <w:szCs w:val="21"/>
                      <w:lang w:val="en-US" w:eastAsia="zh-CN"/>
                    </w:rPr>
                    <w:t>t</w:t>
                  </w:r>
                  <w:r>
                    <w:rPr>
                      <w:rFonts w:ascii="Times New Roman" w:eastAsia="宋体" w:cs="Times New Roman" w:hAnsi="Times New Roman"/>
                      <w:bCs/>
                      <w:color w:val="auto"/>
                      <w:kern w:val="0"/>
                      <w:sz w:val="21"/>
                      <w:szCs w:val="21"/>
                    </w:rPr>
                    <w: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11000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11000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130</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外购袋装（</w:t>
                  </w:r>
                  <w:r>
                    <w:rPr>
                      <w:rFonts w:hint="eastAsia"/>
                      <w:b w:val="0"/>
                      <w:bCs w:val="0"/>
                      <w:color w:val="auto"/>
                      <w:sz w:val="21"/>
                      <w:lang w:val="en-US" w:eastAsia="zh-CN"/>
                      <w:highlight w:val="none"/>
                    </w:rPr>
                    <w:t>粉末</w:t>
                  </w:r>
                  <w:r>
                    <w:rPr>
                      <w:rFonts w:ascii="Times New Roman" w:hAnsi="Times New Roman" w:hint="eastAsia"/>
                      <w:b w:val="0"/>
                      <w:bCs w:val="0"/>
                      <w:color w:val="auto"/>
                      <w:sz w:val="21"/>
                      <w:lang w:val="en-US" w:eastAsia="zh-CN"/>
                      <w:highlight w:val="none"/>
                    </w:rPr>
                    <w:t>状），原料库储存。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5</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氯化钾</w:t>
                  </w:r>
                </w:p>
              </w:tc>
              <w:tc>
                <w:tcPr>
                  <w:tcW w:w="374"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ascii="Times New Roman" w:eastAsia="宋体" w:cs="Times New Roman" w:hAnsi="Times New Roman" w:hint="eastAsia"/>
                      <w:bCs/>
                      <w:color w:val="auto"/>
                      <w:kern w:val="0"/>
                      <w:sz w:val="21"/>
                      <w:szCs w:val="21"/>
                      <w:lang w:val="en-US" w:eastAsia="zh-CN"/>
                    </w:rPr>
                    <w:t>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8000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8000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100</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外购袋装（</w:t>
                  </w:r>
                  <w:r>
                    <w:rPr>
                      <w:rFonts w:hint="eastAsia"/>
                      <w:b w:val="0"/>
                      <w:bCs w:val="0"/>
                      <w:color w:val="auto"/>
                      <w:sz w:val="21"/>
                      <w:lang w:val="en-US" w:eastAsia="zh-CN"/>
                      <w:highlight w:val="none"/>
                    </w:rPr>
                    <w:t>粉末</w:t>
                  </w:r>
                  <w:r>
                    <w:rPr>
                      <w:rFonts w:ascii="Times New Roman" w:hAnsi="Times New Roman" w:hint="eastAsia"/>
                      <w:b w:val="0"/>
                      <w:bCs w:val="0"/>
                      <w:color w:val="auto"/>
                      <w:sz w:val="21"/>
                      <w:lang w:val="en-US" w:eastAsia="zh-CN"/>
                      <w:highlight w:val="none"/>
                    </w:rPr>
                    <w:t>状），原料库储存。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6</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硫酸钾</w:t>
                  </w:r>
                </w:p>
              </w:tc>
              <w:tc>
                <w:tcPr>
                  <w:tcW w:w="374" w:type="pct"/>
                  <w:tcBorders>
                    <w:tl2br w:val="nil"/>
                    <w:tr2bl w:val="nil"/>
                  </w:tcBorders>
                  <w:shd w:val="clear" w:color="auto" w:fill="auto"/>
                  <w:vAlign w:val="center"/>
                </w:tcPr>
                <w:p>
                  <w:pPr>
                    <w:autoSpaceDE w:val="0"/>
                    <w:autoSpaceDN w:val="0"/>
                    <w:spacing w:line="240" w:lineRule="auto"/>
                    <w:ind w:left="0" w:firstLineChars="0" w:firstLine="0"/>
                    <w:jc w:val="center"/>
                    <w:rPr>
                      <w:rFonts w:ascii="Times New Roman" w:eastAsia="宋体" w:cs="Times New Roman" w:hAnsi="Times New Roman" w:hint="eastAsia"/>
                      <w:bCs/>
                      <w:color w:val="auto"/>
                      <w:kern w:val="0"/>
                      <w:sz w:val="21"/>
                      <w:szCs w:val="21"/>
                      <w:lang w:val="en-US" w:eastAsia="zh-CN" w:bidi="ar-SA"/>
                    </w:rPr>
                  </w:pPr>
                  <w:r>
                    <w:rPr>
                      <w:rFonts w:ascii="Times New Roman" w:eastAsia="宋体" w:cs="Times New Roman" w:hAnsi="Times New Roman" w:hint="eastAsia"/>
                      <w:bCs/>
                      <w:color w:val="auto"/>
                      <w:kern w:val="0"/>
                      <w:sz w:val="21"/>
                      <w:szCs w:val="21"/>
                      <w:lang w:val="en-US" w:eastAsia="zh-CN"/>
                    </w:rPr>
                    <w:t>t</w:t>
                  </w:r>
                  <w:r>
                    <w:rPr>
                      <w:rFonts w:ascii="Times New Roman" w:eastAsia="宋体" w:cs="Times New Roman" w:hAnsi="Times New Roman"/>
                      <w:bCs/>
                      <w:color w:val="auto"/>
                      <w:kern w:val="0"/>
                      <w:sz w:val="21"/>
                      <w:szCs w:val="21"/>
                    </w:rPr>
                    <w: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3000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3000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35</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外购袋装（</w:t>
                  </w:r>
                  <w:r>
                    <w:rPr>
                      <w:rFonts w:hint="eastAsia"/>
                      <w:b w:val="0"/>
                      <w:bCs w:val="0"/>
                      <w:color w:val="auto"/>
                      <w:sz w:val="21"/>
                      <w:lang w:val="en-US" w:eastAsia="zh-CN"/>
                      <w:highlight w:val="none"/>
                    </w:rPr>
                    <w:t>粉末</w:t>
                  </w:r>
                  <w:r>
                    <w:rPr>
                      <w:rFonts w:ascii="Times New Roman" w:hAnsi="Times New Roman" w:hint="eastAsia"/>
                      <w:b w:val="0"/>
                      <w:bCs w:val="0"/>
                      <w:color w:val="auto"/>
                      <w:sz w:val="21"/>
                      <w:lang w:val="en-US" w:eastAsia="zh-CN"/>
                      <w:highlight w:val="none"/>
                    </w:rPr>
                    <w:t>状），原料库储存。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7</w:t>
                  </w:r>
                </w:p>
              </w:tc>
              <w:tc>
                <w:tcPr>
                  <w:tcW w:w="266" w:type="pct"/>
                  <w:vMerge w:val="restart"/>
                  <w:tcBorders>
                    <w:righ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中微量元素</w:t>
                  </w: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硫酸锌</w:t>
                  </w:r>
                </w:p>
              </w:tc>
              <w:tc>
                <w:tcPr>
                  <w:tcW w:w="374" w:type="pct"/>
                  <w:vMerge w:val="restart"/>
                  <w:tcBorders>
                    <w:tl2br w:val="nil"/>
                    <w:tr2bl w:val="nil"/>
                  </w:tcBorders>
                  <w:shd w:val="clear" w:color="auto" w:fill="auto"/>
                  <w:vAlign w:val="center"/>
                </w:tcPr>
                <w:p>
                  <w:pPr>
                    <w:autoSpaceDE w:val="0"/>
                    <w:autoSpaceDN w:val="0"/>
                    <w:spacing w:line="240" w:lineRule="auto"/>
                    <w:ind w:left="0" w:firstLineChars="0" w:firstLine="0"/>
                    <w:jc w:val="center"/>
                    <w:rPr>
                      <w:rFonts w:ascii="Times New Roman" w:eastAsia="宋体" w:cs="Times New Roman" w:hAnsi="Times New Roman" w:hint="eastAsia"/>
                      <w:bCs/>
                      <w:color w:val="auto"/>
                      <w:kern w:val="0"/>
                      <w:sz w:val="21"/>
                      <w:szCs w:val="21"/>
                      <w:lang w:val="en-US" w:eastAsia="zh-CN" w:bidi="ar-SA"/>
                    </w:rPr>
                  </w:pPr>
                  <w:r>
                    <w:rPr>
                      <w:rFonts w:ascii="Times New Roman" w:eastAsia="宋体" w:cs="Times New Roman" w:hAnsi="Times New Roman" w:hint="eastAsia"/>
                      <w:bCs/>
                      <w:color w:val="auto"/>
                      <w:kern w:val="0"/>
                      <w:sz w:val="21"/>
                      <w:szCs w:val="21"/>
                      <w:lang w:val="en-US" w:eastAsia="zh-CN"/>
                    </w:rPr>
                    <w:t>t</w:t>
                  </w:r>
                  <w:r>
                    <w:rPr>
                      <w:rFonts w:ascii="Times New Roman" w:eastAsia="宋体" w:cs="Times New Roman" w:hAnsi="Times New Roman"/>
                      <w:bCs/>
                      <w:color w:val="auto"/>
                      <w:kern w:val="0"/>
                      <w:sz w:val="21"/>
                      <w:szCs w:val="21"/>
                    </w:rPr>
                    <w:t>/a</w:t>
                  </w:r>
                </w:p>
              </w:tc>
              <w:tc>
                <w:tcPr>
                  <w:tcW w:w="627" w:type="pct"/>
                  <w:vMerge w:val="restar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3000</w:t>
                  </w:r>
                </w:p>
              </w:tc>
              <w:tc>
                <w:tcPr>
                  <w:tcW w:w="370"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vMerge w:val="restar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3000</w:t>
                  </w:r>
                </w:p>
              </w:tc>
              <w:tc>
                <w:tcPr>
                  <w:tcW w:w="502"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9</w:t>
                  </w:r>
                </w:p>
              </w:tc>
              <w:tc>
                <w:tcPr>
                  <w:tcW w:w="858"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hint="eastAsia"/>
                      <w:b w:val="0"/>
                      <w:bCs w:val="0"/>
                      <w:color w:val="auto"/>
                      <w:sz w:val="21"/>
                      <w:lang w:val="en-US" w:eastAsia="zh-CN"/>
                      <w:highlight w:val="none"/>
                    </w:rPr>
                    <w:t>1</w:t>
                  </w:r>
                  <w:r>
                    <w:rPr>
                      <w:rFonts w:ascii="Times New Roman" w:hAnsi="Times New Roman" w:hint="eastAsia"/>
                      <w:b w:val="0"/>
                      <w:bCs w:val="0"/>
                      <w:color w:val="auto"/>
                      <w:sz w:val="21"/>
                      <w:lang w:val="en-US" w:eastAsia="zh-CN"/>
                      <w:highlight w:val="none"/>
                    </w:rPr>
                    <w:t>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外购袋装（粉末状），原料库储存。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8</w:t>
                  </w:r>
                </w:p>
              </w:tc>
              <w:tc>
                <w:tcPr>
                  <w:tcW w:w="266" w:type="pct"/>
                  <w:vMerge/>
                  <w:tcBorders>
                    <w:right w:val="single" w:sz="4" w:space="0" w:color="auto"/>
                    <w:tl2br w:val="nil"/>
                    <w:tr2bl w:val="nil"/>
                  </w:tcBorders>
                  <w:shd w:val="clear" w:color="auto" w:fill="auto"/>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硫酸镁</w:t>
                  </w:r>
                </w:p>
              </w:tc>
              <w:tc>
                <w:tcPr>
                  <w:tcW w:w="374" w:type="pct"/>
                  <w:vMerge/>
                  <w:tcBorders>
                    <w:tl2br w:val="nil"/>
                    <w:tr2bl w:val="nil"/>
                  </w:tcBorders>
                  <w:shd w:val="clear" w:color="auto" w:fill="auto"/>
                  <w:vAlign w:val="center"/>
                </w:tcPr>
                <w:p/>
              </w:tc>
              <w:tc>
                <w:tcPr>
                  <w:tcW w:w="627" w:type="pct"/>
                  <w:vMerge/>
                  <w:tcBorders>
                    <w:tl2br w:val="nil"/>
                    <w:tr2bl w:val="nil"/>
                  </w:tcBorders>
                  <w:shd w:val="clear" w:color="auto" w:fill="auto"/>
                  <w:vAlign w:val="center"/>
                </w:tcPr>
                <w:p/>
              </w:tc>
              <w:tc>
                <w:tcPr>
                  <w:tcW w:w="370" w:type="pct"/>
                  <w:vMerge/>
                  <w:tcBorders>
                    <w:tl2br w:val="nil"/>
                    <w:tr2bl w:val="nil"/>
                  </w:tcBorders>
                  <w:shd w:val="clear" w:color="auto" w:fill="auto"/>
                  <w:vAlign w:val="center"/>
                </w:tcPr>
                <w:p/>
              </w:tc>
              <w:tc>
                <w:tcPr>
                  <w:tcW w:w="662" w:type="pct"/>
                  <w:vMerge/>
                  <w:tcBorders>
                    <w:tl2br w:val="nil"/>
                    <w:tr2bl w:val="nil"/>
                  </w:tcBorders>
                  <w:shd w:val="clear" w:color="auto" w:fill="auto"/>
                  <w:vAlign w:val="center"/>
                </w:tcPr>
                <w:p/>
              </w:tc>
              <w:tc>
                <w:tcPr>
                  <w:tcW w:w="502" w:type="pct"/>
                  <w:vMerge/>
                  <w:tcBorders>
                    <w:tl2br w:val="nil"/>
                    <w:tr2bl w:val="nil"/>
                  </w:tcBorders>
                  <w:shd w:val="clear" w:color="auto" w:fill="auto"/>
                  <w:vAlign w:val="center"/>
                </w:tcP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9</w:t>
                  </w:r>
                </w:p>
              </w:tc>
              <w:tc>
                <w:tcPr>
                  <w:tcW w:w="858" w:type="pct"/>
                  <w:vMerge/>
                  <w:tcBorders>
                    <w:tl2br w:val="nil"/>
                    <w:tr2bl w:val="nil"/>
                  </w:tcBorders>
                  <w:vAlign w:val="center"/>
                </w:tcP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9</w:t>
                  </w:r>
                </w:p>
              </w:tc>
              <w:tc>
                <w:tcPr>
                  <w:tcW w:w="266" w:type="pct"/>
                  <w:vMerge/>
                  <w:tcBorders>
                    <w:right w:val="single" w:sz="4" w:space="0" w:color="auto"/>
                    <w:tl2br w:val="nil"/>
                    <w:tr2bl w:val="nil"/>
                  </w:tcBorders>
                  <w:shd w:val="clear" w:color="auto" w:fill="auto"/>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氯化钙</w:t>
                  </w:r>
                </w:p>
              </w:tc>
              <w:tc>
                <w:tcPr>
                  <w:tcW w:w="374" w:type="pct"/>
                  <w:vMerge/>
                  <w:tcBorders>
                    <w:tl2br w:val="nil"/>
                    <w:tr2bl w:val="nil"/>
                  </w:tcBorders>
                  <w:shd w:val="clear" w:color="auto" w:fill="auto"/>
                  <w:vAlign w:val="center"/>
                </w:tcPr>
                <w:p/>
              </w:tc>
              <w:tc>
                <w:tcPr>
                  <w:tcW w:w="627" w:type="pct"/>
                  <w:vMerge/>
                  <w:tcBorders>
                    <w:tl2br w:val="nil"/>
                    <w:tr2bl w:val="nil"/>
                  </w:tcBorders>
                  <w:shd w:val="clear" w:color="auto" w:fill="auto"/>
                  <w:vAlign w:val="center"/>
                </w:tcPr>
                <w:p/>
              </w:tc>
              <w:tc>
                <w:tcPr>
                  <w:tcW w:w="370" w:type="pct"/>
                  <w:vMerge/>
                  <w:tcBorders>
                    <w:tl2br w:val="nil"/>
                    <w:tr2bl w:val="nil"/>
                  </w:tcBorders>
                  <w:shd w:val="clear" w:color="auto" w:fill="auto"/>
                  <w:vAlign w:val="center"/>
                </w:tcPr>
                <w:p/>
              </w:tc>
              <w:tc>
                <w:tcPr>
                  <w:tcW w:w="662" w:type="pct"/>
                  <w:vMerge/>
                  <w:tcBorders>
                    <w:tl2br w:val="nil"/>
                    <w:tr2bl w:val="nil"/>
                  </w:tcBorders>
                  <w:shd w:val="clear" w:color="auto" w:fill="auto"/>
                  <w:vAlign w:val="center"/>
                </w:tcPr>
                <w:p/>
              </w:tc>
              <w:tc>
                <w:tcPr>
                  <w:tcW w:w="502" w:type="pct"/>
                  <w:vMerge/>
                  <w:tcBorders>
                    <w:tl2br w:val="nil"/>
                    <w:tr2bl w:val="nil"/>
                  </w:tcBorders>
                  <w:shd w:val="clear" w:color="auto" w:fill="auto"/>
                  <w:vAlign w:val="center"/>
                </w:tcP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9</w:t>
                  </w:r>
                </w:p>
              </w:tc>
              <w:tc>
                <w:tcPr>
                  <w:tcW w:w="858" w:type="pct"/>
                  <w:vMerge/>
                  <w:tcBorders>
                    <w:tl2br w:val="nil"/>
                    <w:tr2bl w:val="nil"/>
                  </w:tcBorders>
                  <w:vAlign w:val="center"/>
                </w:tcP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10</w:t>
                  </w:r>
                </w:p>
              </w:tc>
              <w:tc>
                <w:tcPr>
                  <w:tcW w:w="266" w:type="pct"/>
                  <w:vMerge/>
                  <w:tcBorders>
                    <w:right w:val="single" w:sz="4" w:space="0" w:color="auto"/>
                    <w:tl2br w:val="nil"/>
                    <w:tr2bl w:val="nil"/>
                  </w:tcBorders>
                  <w:shd w:val="clear" w:color="auto" w:fill="auto"/>
                  <w:vAlign w:val="center"/>
                </w:tcPr>
                <w:p/>
              </w:tc>
              <w:tc>
                <w:tcPr>
                  <w:tcW w:w="266" w:type="pct"/>
                  <w:tcBorders>
                    <w:left w:val="single" w:sz="4" w:space="0" w:color="auto"/>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硼酸钠</w:t>
                  </w:r>
                </w:p>
              </w:tc>
              <w:tc>
                <w:tcPr>
                  <w:tcW w:w="374" w:type="pct"/>
                  <w:vMerge/>
                  <w:tcBorders>
                    <w:tl2br w:val="nil"/>
                    <w:tr2bl w:val="nil"/>
                  </w:tcBorders>
                  <w:shd w:val="clear" w:color="auto" w:fill="auto"/>
                  <w:vAlign w:val="center"/>
                </w:tcPr>
                <w:p/>
              </w:tc>
              <w:tc>
                <w:tcPr>
                  <w:tcW w:w="627" w:type="pct"/>
                  <w:vMerge/>
                  <w:tcBorders>
                    <w:tl2br w:val="nil"/>
                    <w:tr2bl w:val="nil"/>
                  </w:tcBorders>
                  <w:shd w:val="clear" w:color="auto" w:fill="auto"/>
                  <w:vAlign w:val="center"/>
                </w:tcPr>
                <w:p/>
              </w:tc>
              <w:tc>
                <w:tcPr>
                  <w:tcW w:w="370" w:type="pct"/>
                  <w:vMerge/>
                  <w:tcBorders>
                    <w:tl2br w:val="nil"/>
                    <w:tr2bl w:val="nil"/>
                  </w:tcBorders>
                  <w:shd w:val="clear" w:color="auto" w:fill="auto"/>
                  <w:vAlign w:val="center"/>
                </w:tcPr>
                <w:p/>
              </w:tc>
              <w:tc>
                <w:tcPr>
                  <w:tcW w:w="662" w:type="pct"/>
                  <w:vMerge/>
                  <w:tcBorders>
                    <w:tl2br w:val="nil"/>
                    <w:tr2bl w:val="nil"/>
                  </w:tcBorders>
                  <w:shd w:val="clear" w:color="auto" w:fill="auto"/>
                  <w:vAlign w:val="center"/>
                </w:tcPr>
                <w:p/>
              </w:tc>
              <w:tc>
                <w:tcPr>
                  <w:tcW w:w="502" w:type="pct"/>
                  <w:vMerge/>
                  <w:tcBorders>
                    <w:tl2br w:val="nil"/>
                    <w:tr2bl w:val="nil"/>
                  </w:tcBorders>
                  <w:shd w:val="clear" w:color="auto" w:fill="auto"/>
                  <w:vAlign w:val="center"/>
                </w:tcPr>
                <w:p/>
              </w:tc>
              <w:tc>
                <w:tcPr>
                  <w:tcW w:w="806" w:type="pct"/>
                  <w:tcBorders>
                    <w:bottom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9</w:t>
                  </w:r>
                </w:p>
              </w:tc>
              <w:tc>
                <w:tcPr>
                  <w:tcW w:w="858" w:type="pct"/>
                  <w:vMerge/>
                  <w:tcBorders>
                    <w:bottom w:val="single" w:sz="4" w:space="0" w:color="auto"/>
                    <w:tl2br w:val="nil"/>
                    <w:tr2bl w:val="nil"/>
                  </w:tcBorders>
                  <w:vAlign w:val="center"/>
                </w:tcP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11</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硫酸脲溶液（50%含水率）</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100</w:t>
                  </w:r>
                </w:p>
              </w:tc>
              <w:tc>
                <w:tcPr>
                  <w:tcW w:w="66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+100</w:t>
                  </w:r>
                </w:p>
              </w:tc>
              <w:tc>
                <w:tcPr>
                  <w:tcW w:w="806" w:type="pct"/>
                  <w:tcBorders>
                    <w:top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10</w:t>
                  </w:r>
                </w:p>
              </w:tc>
              <w:tc>
                <w:tcPr>
                  <w:tcW w:w="858" w:type="pct"/>
                  <w:tcBorders>
                    <w:top w:val="single" w:sz="4" w:space="0" w:color="auto"/>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外购（液态），储罐储存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12</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脲甲醛溶液（50%含水率）</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200</w:t>
                  </w:r>
                </w:p>
              </w:tc>
              <w:tc>
                <w:tcPr>
                  <w:tcW w:w="66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200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+200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10</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外购</w:t>
                  </w:r>
                  <w:r>
                    <w:rPr>
                      <w:rFonts w:hint="eastAsia"/>
                      <w:b w:val="0"/>
                      <w:bCs w:val="0"/>
                      <w:color w:val="auto"/>
                      <w:sz w:val="21"/>
                      <w:lang w:val="en-US" w:eastAsia="zh-CN"/>
                      <w:highlight w:val="none"/>
                    </w:rPr>
                    <w:t>（液态），储罐储存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13</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防结粉</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45</w:t>
                  </w:r>
                </w:p>
              </w:tc>
              <w:tc>
                <w:tcPr>
                  <w:tcW w:w="66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45</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+45</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5</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hint="eastAsia"/>
                      <w:b w:val="0"/>
                      <w:bCs w:val="0"/>
                      <w:color w:val="auto"/>
                      <w:sz w:val="21"/>
                      <w:lang w:val="en-US" w:eastAsia="zh-CN"/>
                      <w:highlight w:val="none"/>
                    </w:rPr>
                  </w:pPr>
                  <w:r>
                    <w:rPr>
                      <w:rFonts w:hint="eastAsia"/>
                      <w:b w:val="0"/>
                      <w:bCs w:val="0"/>
                      <w:color w:val="auto"/>
                      <w:sz w:val="21"/>
                      <w:lang w:val="en-US" w:eastAsia="zh-CN"/>
                      <w:highlight w:val="none"/>
                    </w:rPr>
                    <w:t>外购，原料库储存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14</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包裹油</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22.5</w:t>
                  </w:r>
                </w:p>
              </w:tc>
              <w:tc>
                <w:tcPr>
                  <w:tcW w:w="66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22.5</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+22.5</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3</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外购</w:t>
                  </w:r>
                  <w:r>
                    <w:rPr>
                      <w:rFonts w:hint="eastAsia"/>
                      <w:b w:val="0"/>
                      <w:bCs w:val="0"/>
                      <w:color w:val="auto"/>
                      <w:sz w:val="21"/>
                      <w:lang w:val="en-US" w:eastAsia="zh-CN"/>
                      <w:highlight w:val="none"/>
                    </w:rPr>
                    <w:t>，储罐</w:t>
                  </w:r>
                  <w:r>
                    <w:rPr>
                      <w:rFonts w:ascii="Times New Roman" w:hAnsi="Times New Roman"/>
                      <w:b w:val="0"/>
                      <w:bCs w:val="0"/>
                      <w:color w:val="auto"/>
                      <w:sz w:val="21"/>
                      <w:lang w:val="en-US" w:eastAsia="zh-CN"/>
                      <w:highlight w:val="none"/>
                    </w:rPr>
                    <w:t>储存。</w:t>
                  </w:r>
                </w:p>
              </w:tc>
            </w:tr>
            <w:tr>
              <w:trPr>
                <w:trHeight w:val="340"/>
              </w:trPr>
              <w:tc>
                <w:tcPr>
                  <w:tcW w:w="2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15</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cs="Times New Roman" w:hint="eastAsia"/>
                      <w:color w:val="auto"/>
                      <w:kern w:val="2"/>
                      <w:sz w:val="21"/>
                      <w:szCs w:val="22"/>
                      <w:lang w:val="en-US" w:eastAsia="zh-CN" w:bidi="ar-SA"/>
                    </w:rPr>
                    <w:t>天然气</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eastAsia="宋体" w:cs="Times New Roman" w:hAnsi="Times New Roman" w:hint="eastAsia"/>
                      <w:bCs/>
                      <w:color w:val="auto"/>
                      <w:kern w:val="0"/>
                      <w:sz w:val="21"/>
                      <w:szCs w:val="21"/>
                      <w:lang w:val="en-US" w:eastAsia="zh-CN"/>
                    </w:rPr>
                    <w:t>万m</w:t>
                  </w:r>
                  <w:r>
                    <w:rPr>
                      <w:rFonts w:ascii="Times New Roman" w:eastAsia="宋体" w:cs="Times New Roman" w:hAnsi="Times New Roman" w:hint="eastAsia"/>
                      <w:bCs/>
                      <w:color w:val="auto"/>
                      <w:kern w:val="0"/>
                      <w:sz w:val="21"/>
                      <w:szCs w:val="21"/>
                      <w:vertAlign w:val="superscript"/>
                      <w:lang w:val="en-US" w:eastAsia="zh-CN"/>
                    </w:rPr>
                    <w:t>3</w:t>
                  </w:r>
                  <w:r>
                    <w:rPr>
                      <w:rFonts w:ascii="Times New Roman" w:eastAsia="宋体" w:cs="Times New Roman" w:hAnsi="Times New Roman" w:hint="eastAsia"/>
                      <w:bCs/>
                      <w:color w:val="auto"/>
                      <w:kern w:val="0"/>
                      <w:sz w:val="21"/>
                      <w:szCs w:val="21"/>
                      <w:lang w:val="en-US" w:eastAsia="zh-CN"/>
                    </w:rPr>
                    <w:t>/a</w:t>
                  </w:r>
                </w:p>
              </w:tc>
              <w:tc>
                <w:tcPr>
                  <w:tcW w:w="627"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30</w:t>
                  </w:r>
                </w:p>
              </w:tc>
              <w:tc>
                <w:tcPr>
                  <w:tcW w:w="3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662" w:type="pct"/>
                  <w:tcBorders>
                    <w:tl2br w:val="nil"/>
                    <w:tr2bl w:val="nil"/>
                  </w:tcBorders>
                  <w:shd w:val="clear" w:color="auto" w:fill="auto"/>
                  <w:vAlign w:val="center"/>
                </w:tcPr>
                <w:p>
                  <w:pPr>
                    <w:autoSpaceDE w:val="0"/>
                    <w:autoSpaceDN w:val="0"/>
                    <w:spacing w:line="240" w:lineRule="auto"/>
                    <w:ind w:firstLineChars="0" w:firstLine="0"/>
                    <w:jc w:val="center"/>
                    <w:rPr>
                      <w:rFonts w:ascii="Times New Roman" w:eastAsia="宋体" w:cs="Times New Roman" w:hAnsi="Times New Roman"/>
                      <w:bCs/>
                      <w:color w:val="auto"/>
                      <w:kern w:val="0"/>
                      <w:sz w:val="21"/>
                      <w:szCs w:val="21"/>
                      <w:lang w:val="en-US" w:eastAsia="zh-CN" w:bidi="ar-SA"/>
                    </w:rPr>
                  </w:pPr>
                  <w:r>
                    <w:rPr>
                      <w:rFonts w:cs="Times New Roman" w:hint="eastAsia"/>
                      <w:bCs/>
                      <w:color w:val="auto"/>
                      <w:kern w:val="0"/>
                      <w:sz w:val="21"/>
                      <w:szCs w:val="21"/>
                      <w:lang w:val="en-US" w:eastAsia="zh-CN" w:bidi="ar-SA"/>
                    </w:rPr>
                    <w:t>30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hint="eastAsia"/>
                      <w:b w:val="0"/>
                      <w:bCs w:val="0"/>
                      <w:color w:val="auto"/>
                      <w:kern w:val="2"/>
                      <w:sz w:val="21"/>
                      <w:szCs w:val="24"/>
                      <w:lang w:val="en-US" w:eastAsia="zh-CN" w:bidi="ar-SA"/>
                      <w:highlight w:val="none"/>
                    </w:rPr>
                  </w:pP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园区供给</w:t>
                  </w:r>
                </w:p>
              </w:tc>
            </w:tr>
            <w:tr>
              <w:trPr>
                <w:trHeight w:val="340"/>
              </w:trPr>
              <w:tc>
                <w:tcPr>
                  <w:tcW w:w="4141" w:type="pct"/>
                  <w:gridSpan w:val="9"/>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ascii="Times New Roman" w:hAnsi="Times New Roman"/>
                      <w:b w:val="0"/>
                      <w:bCs w:val="0"/>
                      <w:color w:val="auto"/>
                      <w:sz w:val="21"/>
                      <w:lang w:val="en-US" w:eastAsia="zh-CN"/>
                      <w:highlight w:val="none"/>
                    </w:rPr>
                    <w:t>复混肥生产线（外购颗粒物料量）</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p>
              </w:tc>
            </w:tr>
            <w:tr>
              <w:trPr>
                <w:trHeight w:val="340"/>
              </w:trPr>
              <w:tc>
                <w:tcPr>
                  <w:tcW w:w="26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1</w:t>
                  </w:r>
                </w:p>
              </w:tc>
              <w:tc>
                <w:tcPr>
                  <w:tcW w:w="532" w:type="pct"/>
                  <w:gridSpan w:val="2"/>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rPr>
                  </w:pPr>
                  <w:r>
                    <w:rPr>
                      <w:rFonts w:cs="Times New Roman" w:hint="eastAsia"/>
                      <w:color w:val="auto"/>
                      <w:kern w:val="2"/>
                      <w:sz w:val="21"/>
                      <w:szCs w:val="21"/>
                      <w:lang w:val="en-US" w:eastAsia="zh-CN" w:bidi="ar-SA"/>
                    </w:rPr>
                    <w:t>尿素</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11000</w:t>
                  </w:r>
                </w:p>
              </w:tc>
              <w:tc>
                <w:tcPr>
                  <w:tcW w:w="37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11000</w:t>
                  </w:r>
                </w:p>
              </w:tc>
              <w:tc>
                <w:tcPr>
                  <w:tcW w:w="502"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cs="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135</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90"/>
              </w:trPr>
              <w:tc>
                <w:tcPr>
                  <w:tcW w:w="26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2</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氯化铵</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9000</w:t>
                  </w:r>
                </w:p>
              </w:tc>
              <w:tc>
                <w:tcPr>
                  <w:tcW w:w="37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highlight w:val="none"/>
                    </w:rPr>
                  </w:pPr>
                  <w:r>
                    <w:rPr>
                      <w:rFonts w:cs="Times New Roman" w:hint="eastAsia"/>
                      <w:b w:val="0"/>
                      <w:bCs/>
                      <w:color w:val="auto"/>
                      <w:kern w:val="2"/>
                      <w:sz w:val="21"/>
                      <w:szCs w:val="21"/>
                      <w:lang w:val="en-US" w:eastAsia="zh-CN" w:bidi="ar-SA"/>
                      <w:highlight w:val="none"/>
                    </w:rPr>
                    <w:t>9000</w:t>
                  </w:r>
                </w:p>
              </w:tc>
              <w:tc>
                <w:tcPr>
                  <w:tcW w:w="502"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110</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340"/>
              </w:trPr>
              <w:tc>
                <w:tcPr>
                  <w:tcW w:w="26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3</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硫酸铵</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4000</w:t>
                  </w:r>
                </w:p>
              </w:tc>
              <w:tc>
                <w:tcPr>
                  <w:tcW w:w="37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tl2br w:val="nil"/>
                    <w:tr2bl w:val="nil"/>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4000</w:t>
                  </w:r>
                </w:p>
              </w:tc>
              <w:tc>
                <w:tcPr>
                  <w:tcW w:w="502"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50</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340"/>
              </w:trPr>
              <w:tc>
                <w:tcPr>
                  <w:tcW w:w="26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4</w:t>
                  </w:r>
                </w:p>
              </w:tc>
              <w:tc>
                <w:tcPr>
                  <w:tcW w:w="53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eastAsia="宋体" w:cs="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磷酸一铵</w:t>
                  </w:r>
                </w:p>
              </w:tc>
              <w:tc>
                <w:tcPr>
                  <w:tcW w:w="3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tl2br w:val="nil"/>
                    <w:tr2bl w:val="nil"/>
                  </w:tcBorders>
                  <w:shd w:val="clear" w:color="auto" w:fill="auto"/>
                  <w:vAlign w:val="center"/>
                </w:tcPr>
                <w:p>
                  <w:pPr>
                    <w:spacing w:line="240" w:lineRule="auto"/>
                    <w:ind w:firstLineChars="0" w:firstLine="0"/>
                    <w:jc w:val="center"/>
                    <w:rPr>
                      <w:rFonts w:cs="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2000</w:t>
                  </w:r>
                </w:p>
              </w:tc>
              <w:tc>
                <w:tcPr>
                  <w:tcW w:w="37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tl2br w:val="nil"/>
                    <w:tr2bl w:val="nil"/>
                  </w:tcBorders>
                  <w:shd w:val="clear" w:color="auto" w:fill="auto"/>
                  <w:vAlign w:val="center"/>
                </w:tcPr>
                <w:p>
                  <w:pPr>
                    <w:spacing w:line="240" w:lineRule="auto"/>
                    <w:ind w:firstLineChars="0" w:firstLine="0"/>
                    <w:jc w:val="center"/>
                    <w:rPr>
                      <w:rFonts w:cs="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2000</w:t>
                  </w:r>
                </w:p>
              </w:tc>
              <w:tc>
                <w:tcPr>
                  <w:tcW w:w="502"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25</w:t>
                  </w:r>
                </w:p>
              </w:tc>
              <w:tc>
                <w:tcPr>
                  <w:tcW w:w="8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5</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磷酸二铵</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12000</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12000</w:t>
                  </w:r>
                </w:p>
              </w:tc>
              <w:tc>
                <w:tcPr>
                  <w:tcW w:w="502"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150</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ascii="Times New Roman" w:hAnsi="Times New Roman" w:hint="eastAsia"/>
                      <w:b w:val="0"/>
                      <w:bCs w:val="0"/>
                      <w:color w:val="auto"/>
                      <w:sz w:val="21"/>
                      <w:lang w:val="en-US" w:eastAsia="zh-CN"/>
                      <w:highlight w:val="none"/>
                    </w:rPr>
                    <w:t>6</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氯化钾</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7000</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7000</w:t>
                  </w:r>
                </w:p>
              </w:tc>
              <w:tc>
                <w:tcPr>
                  <w:tcW w:w="502"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90</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cs="Times New Roman" w:hint="eastAsia"/>
                      <w:b w:val="0"/>
                      <w:bCs w:val="0"/>
                      <w:color w:val="auto"/>
                      <w:kern w:val="2"/>
                      <w:sz w:val="21"/>
                      <w:szCs w:val="24"/>
                      <w:lang w:val="en-US" w:eastAsia="zh-CN" w:bidi="ar-SA"/>
                      <w:highlight w:val="none"/>
                    </w:rPr>
                    <w:t>7</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kern w:val="2"/>
                      <w:sz w:val="21"/>
                      <w:szCs w:val="22"/>
                      <w:lang w:val="en-US" w:eastAsia="zh-CN" w:bidi="ar-SA"/>
                    </w:rPr>
                  </w:pPr>
                  <w:r>
                    <w:rPr>
                      <w:rFonts w:eastAsia="宋体" w:cs="Times New Roman" w:hint="eastAsia"/>
                      <w:color w:val="auto"/>
                      <w:kern w:val="2"/>
                      <w:sz w:val="21"/>
                      <w:szCs w:val="22"/>
                      <w:lang w:val="en-US" w:eastAsia="zh-CN" w:bidi="ar-SA"/>
                    </w:rPr>
                    <w:t>硫酸钾</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3000</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3000</w:t>
                  </w:r>
                </w:p>
              </w:tc>
              <w:tc>
                <w:tcPr>
                  <w:tcW w:w="502"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35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50kg/袋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8</w:t>
                  </w:r>
                </w:p>
              </w:tc>
              <w:tc>
                <w:tcPr>
                  <w:tcW w:w="266" w:type="pct"/>
                  <w:vMerge w:val="restart"/>
                  <w:tcBorders>
                    <w:righ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eastAsia="宋体" w:cs="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中微量元素</w:t>
                  </w:r>
                </w:p>
              </w:tc>
              <w:tc>
                <w:tcPr>
                  <w:tcW w:w="266" w:type="pct"/>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硫酸锌</w:t>
                  </w:r>
                </w:p>
              </w:tc>
              <w:tc>
                <w:tcPr>
                  <w:tcW w:w="374" w:type="pct"/>
                  <w:vMerge w:val="restar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t/a</w:t>
                  </w:r>
                </w:p>
              </w:tc>
              <w:tc>
                <w:tcPr>
                  <w:tcW w:w="627" w:type="pct"/>
                  <w:vMerge w:val="restar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2000</w:t>
                  </w:r>
                </w:p>
              </w:tc>
              <w:tc>
                <w:tcPr>
                  <w:tcW w:w="370" w:type="pct"/>
                  <w:vMerge w:val="restar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vMerge w:val="restart"/>
                  <w:tcBorders>
                    <w:left w:val="single" w:sz="8" w:space="0" w:color="000000"/>
                  </w:tcBorders>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2000</w:t>
                  </w:r>
                </w:p>
              </w:tc>
              <w:tc>
                <w:tcPr>
                  <w:tcW w:w="502" w:type="pct"/>
                  <w:vMerge w:val="restar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8</w:t>
                  </w:r>
                </w:p>
              </w:tc>
              <w:tc>
                <w:tcPr>
                  <w:tcW w:w="858" w:type="pct"/>
                  <w:vMerge w:val="restar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cs="Times New Roman" w:hint="eastAsia"/>
                      <w:color w:val="auto"/>
                      <w:sz w:val="21"/>
                      <w:szCs w:val="21"/>
                      <w:lang w:val="en-US" w:eastAsia="zh-CN"/>
                    </w:rPr>
                    <w:t>10</w:t>
                  </w:r>
                  <w:r>
                    <w:rPr>
                      <w:rFonts w:ascii="Times New Roman" w:eastAsia="宋体" w:cs="Times New Roman" w:hAnsi="Times New Roman"/>
                      <w:color w:val="auto"/>
                      <w:sz w:val="21"/>
                      <w:szCs w:val="21"/>
                      <w:lang w:val="en-US" w:eastAsia="zh-CN"/>
                    </w:rPr>
                    <w:t>kg/袋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外购袋装（颗粒状），原料库储存。</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9</w:t>
                  </w:r>
                </w:p>
              </w:tc>
              <w:tc>
                <w:tcPr>
                  <w:tcW w:w="266" w:type="pct"/>
                  <w:vMerge/>
                  <w:tcBorders>
                    <w:right w:val="single" w:sz="4" w:space="0" w:color="auto"/>
                  </w:tcBorders>
                  <w:shd w:val="clear" w:color="auto" w:fill="auto"/>
                  <w:vAlign w:val="center"/>
                </w:tcPr>
                <w:p/>
              </w:tc>
              <w:tc>
                <w:tcPr>
                  <w:tcW w:w="266" w:type="pct"/>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硫酸镁</w:t>
                  </w:r>
                </w:p>
              </w:tc>
              <w:tc>
                <w:tcPr>
                  <w:tcW w:w="374" w:type="pct"/>
                  <w:vMerge/>
                  <w:tcBorders>
                    <w:left w:val="single" w:sz="8" w:space="0" w:color="000000"/>
                  </w:tcBorders>
                  <w:vAlign w:val="center"/>
                </w:tcPr>
                <w:p/>
              </w:tc>
              <w:tc>
                <w:tcPr>
                  <w:tcW w:w="627" w:type="pct"/>
                  <w:vMerge/>
                  <w:tcBorders>
                    <w:left w:val="single" w:sz="8" w:space="0" w:color="000000"/>
                  </w:tcBorders>
                  <w:vAlign w:val="center"/>
                </w:tcPr>
                <w:p/>
              </w:tc>
              <w:tc>
                <w:tcPr>
                  <w:tcW w:w="370" w:type="pct"/>
                  <w:vMerge/>
                  <w:tcBorders>
                    <w:left w:val="single" w:sz="8" w:space="0" w:color="000000"/>
                  </w:tcBorders>
                  <w:vAlign w:val="center"/>
                </w:tcPr>
                <w:p/>
              </w:tc>
              <w:tc>
                <w:tcPr>
                  <w:tcW w:w="662" w:type="pct"/>
                  <w:vMerge/>
                  <w:tcBorders>
                    <w:left w:val="single" w:sz="8" w:space="0" w:color="000000"/>
                  </w:tcBorders>
                  <w:vAlign w:val="center"/>
                </w:tcPr>
                <w:p/>
              </w:tc>
              <w:tc>
                <w:tcPr>
                  <w:tcW w:w="502" w:type="pct"/>
                  <w:vMerge/>
                  <w:tcBorders>
                    <w:left w:val="single" w:sz="8" w:space="0" w:color="000000"/>
                  </w:tcBorders>
                  <w:vAlign w:val="center"/>
                </w:tcP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8</w:t>
                  </w:r>
                </w:p>
              </w:tc>
              <w:tc>
                <w:tcPr>
                  <w:tcW w:w="858" w:type="pct"/>
                  <w:vMerge/>
                  <w:tcBorders>
                    <w:left w:val="single" w:sz="8" w:space="0" w:color="000000"/>
                  </w:tcBorders>
                  <w:vAlign w:val="center"/>
                </w:tcP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10</w:t>
                  </w:r>
                </w:p>
              </w:tc>
              <w:tc>
                <w:tcPr>
                  <w:tcW w:w="266" w:type="pct"/>
                  <w:vMerge/>
                  <w:tcBorders>
                    <w:right w:val="single" w:sz="4" w:space="0" w:color="auto"/>
                  </w:tcBorders>
                  <w:shd w:val="clear" w:color="auto" w:fill="auto"/>
                  <w:vAlign w:val="center"/>
                </w:tcPr>
                <w:p/>
              </w:tc>
              <w:tc>
                <w:tcPr>
                  <w:tcW w:w="266" w:type="pct"/>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eastAsia="宋体" w:cs="Times New Roman" w:hint="eastAsia"/>
                      <w:color w:val="auto"/>
                      <w:kern w:val="2"/>
                      <w:sz w:val="21"/>
                      <w:szCs w:val="22"/>
                      <w:lang w:val="en-US" w:eastAsia="zh-CN" w:bidi="ar-SA"/>
                    </w:rPr>
                    <w:t>氯化钙</w:t>
                  </w:r>
                </w:p>
              </w:tc>
              <w:tc>
                <w:tcPr>
                  <w:tcW w:w="374" w:type="pct"/>
                  <w:vMerge/>
                  <w:tcBorders>
                    <w:left w:val="single" w:sz="8" w:space="0" w:color="000000"/>
                  </w:tcBorders>
                  <w:vAlign w:val="center"/>
                </w:tcPr>
                <w:p/>
              </w:tc>
              <w:tc>
                <w:tcPr>
                  <w:tcW w:w="627" w:type="pct"/>
                  <w:vMerge/>
                  <w:tcBorders>
                    <w:left w:val="single" w:sz="8" w:space="0" w:color="000000"/>
                  </w:tcBorders>
                  <w:vAlign w:val="center"/>
                </w:tcPr>
                <w:p/>
              </w:tc>
              <w:tc>
                <w:tcPr>
                  <w:tcW w:w="370" w:type="pct"/>
                  <w:vMerge/>
                  <w:tcBorders>
                    <w:left w:val="single" w:sz="8" w:space="0" w:color="000000"/>
                  </w:tcBorders>
                  <w:vAlign w:val="center"/>
                </w:tcPr>
                <w:p/>
              </w:tc>
              <w:tc>
                <w:tcPr>
                  <w:tcW w:w="662" w:type="pct"/>
                  <w:vMerge/>
                  <w:tcBorders>
                    <w:left w:val="single" w:sz="8" w:space="0" w:color="000000"/>
                  </w:tcBorders>
                  <w:vAlign w:val="center"/>
                </w:tcPr>
                <w:p/>
              </w:tc>
              <w:tc>
                <w:tcPr>
                  <w:tcW w:w="502" w:type="pct"/>
                  <w:vMerge/>
                  <w:tcBorders>
                    <w:left w:val="single" w:sz="8" w:space="0" w:color="000000"/>
                  </w:tcBorders>
                  <w:vAlign w:val="center"/>
                </w:tcP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8</w:t>
                  </w:r>
                </w:p>
              </w:tc>
              <w:tc>
                <w:tcPr>
                  <w:tcW w:w="858" w:type="pct"/>
                  <w:vMerge/>
                  <w:tcBorders>
                    <w:left w:val="single" w:sz="8" w:space="0" w:color="000000"/>
                  </w:tcBorders>
                  <w:vAlign w:val="center"/>
                </w:tcP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11</w:t>
                  </w:r>
                </w:p>
              </w:tc>
              <w:tc>
                <w:tcPr>
                  <w:tcW w:w="266" w:type="pct"/>
                  <w:vMerge/>
                  <w:tcBorders>
                    <w:right w:val="single" w:sz="4" w:space="0" w:color="auto"/>
                  </w:tcBorders>
                  <w:shd w:val="clear" w:color="auto" w:fill="auto"/>
                  <w:vAlign w:val="center"/>
                </w:tcPr>
                <w:p/>
              </w:tc>
              <w:tc>
                <w:tcPr>
                  <w:tcW w:w="266" w:type="pct"/>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硼酸钠</w:t>
                  </w:r>
                </w:p>
              </w:tc>
              <w:tc>
                <w:tcPr>
                  <w:tcW w:w="374" w:type="pct"/>
                  <w:vMerge/>
                  <w:tcBorders>
                    <w:left w:val="single" w:sz="8" w:space="0" w:color="000000"/>
                  </w:tcBorders>
                  <w:vAlign w:val="center"/>
                </w:tcPr>
                <w:p/>
              </w:tc>
              <w:tc>
                <w:tcPr>
                  <w:tcW w:w="627" w:type="pct"/>
                  <w:vMerge/>
                  <w:tcBorders>
                    <w:left w:val="single" w:sz="8" w:space="0" w:color="000000"/>
                  </w:tcBorders>
                  <w:vAlign w:val="center"/>
                </w:tcPr>
                <w:p/>
              </w:tc>
              <w:tc>
                <w:tcPr>
                  <w:tcW w:w="370" w:type="pct"/>
                  <w:vMerge/>
                  <w:tcBorders>
                    <w:left w:val="single" w:sz="8" w:space="0" w:color="000000"/>
                  </w:tcBorders>
                  <w:vAlign w:val="center"/>
                </w:tcPr>
                <w:p/>
              </w:tc>
              <w:tc>
                <w:tcPr>
                  <w:tcW w:w="662" w:type="pct"/>
                  <w:vMerge/>
                  <w:tcBorders>
                    <w:left w:val="single" w:sz="8" w:space="0" w:color="000000"/>
                  </w:tcBorders>
                  <w:vAlign w:val="center"/>
                </w:tcPr>
                <w:p/>
              </w:tc>
              <w:tc>
                <w:tcPr>
                  <w:tcW w:w="502" w:type="pct"/>
                  <w:vMerge/>
                  <w:tcBorders>
                    <w:left w:val="single" w:sz="8" w:space="0" w:color="000000"/>
                  </w:tcBorders>
                  <w:vAlign w:val="center"/>
                </w:tcP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8</w:t>
                  </w:r>
                </w:p>
              </w:tc>
              <w:tc>
                <w:tcPr>
                  <w:tcW w:w="858" w:type="pct"/>
                  <w:vMerge/>
                  <w:tcBorders>
                    <w:left w:val="single" w:sz="8" w:space="0" w:color="000000"/>
                  </w:tcBorders>
                  <w:vAlign w:val="center"/>
                </w:tcPr>
                <w:p/>
              </w:tc>
            </w:tr>
            <w:tr>
              <w:trPr>
                <w:trHeight w:val="340"/>
              </w:trPr>
              <w:tc>
                <w:tcPr>
                  <w:tcW w:w="5000" w:type="pct"/>
                  <w:gridSpan w:val="10"/>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化验室</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1</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氢氧化钠</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0.015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2</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邻苯二甲酸氢钾</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0.001</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3</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硫酸</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0.015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4</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盐酸</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0.005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5</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硝酸</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10</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10</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0.01</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6</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丙酮</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12.5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12.5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0.0125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7</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乙二胺四乙酸二钠</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0.005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8</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四苯硼钠</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0.4</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0.4</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0.0004</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9</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柠檬酸</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0.0025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10</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钼酸钠</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2.5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0.0025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11</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硫酸铜</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0.5</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0.5</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0.0005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瓶装外购</w:t>
                  </w:r>
                </w:p>
              </w:tc>
            </w:tr>
            <w:tr>
              <w:trPr>
                <w:trHeight w:val="340"/>
              </w:trPr>
              <w:tc>
                <w:tcPr>
                  <w:tcW w:w="26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b w:val="0"/>
                      <w:bCs w:val="0"/>
                      <w:color w:val="auto"/>
                      <w:kern w:val="2"/>
                      <w:sz w:val="21"/>
                      <w:szCs w:val="24"/>
                      <w:lang w:val="en-US" w:eastAsia="zh-CN" w:bidi="ar-SA"/>
                      <w:highlight w:val="none"/>
                    </w:rPr>
                  </w:pPr>
                  <w:r>
                    <w:rPr>
                      <w:rFonts w:cs="Times New Roman" w:hint="eastAsia"/>
                      <w:b w:val="0"/>
                      <w:bCs w:val="0"/>
                      <w:color w:val="auto"/>
                      <w:sz w:val="21"/>
                      <w:lang w:val="en-US" w:eastAsia="zh-CN"/>
                      <w:highlight w:val="none"/>
                    </w:rPr>
                    <w:t>12</w:t>
                  </w:r>
                </w:p>
              </w:tc>
              <w:tc>
                <w:tcPr>
                  <w:tcW w:w="532" w:type="pct"/>
                  <w:gridSpan w:val="2"/>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hint="eastAsia"/>
                      <w:color w:val="auto"/>
                      <w:kern w:val="2"/>
                      <w:sz w:val="21"/>
                      <w:szCs w:val="22"/>
                      <w:lang w:val="en-US" w:eastAsia="zh-CN" w:bidi="ar-SA"/>
                    </w:rPr>
                  </w:pPr>
                  <w:r>
                    <w:rPr>
                      <w:rFonts w:cs="Times New Roman" w:hint="eastAsia"/>
                      <w:color w:val="auto"/>
                      <w:kern w:val="2"/>
                      <w:sz w:val="21"/>
                      <w:szCs w:val="22"/>
                      <w:lang w:val="en-US" w:eastAsia="zh-CN" w:bidi="ar-SA"/>
                    </w:rPr>
                    <w:t>纯水（外购）</w:t>
                  </w:r>
                </w:p>
              </w:tc>
              <w:tc>
                <w:tcPr>
                  <w:tcW w:w="374"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hint="eastAsia"/>
                      <w:b w:val="0"/>
                      <w:bCs w:val="0"/>
                      <w:color w:val="auto"/>
                      <w:sz w:val="21"/>
                      <w:lang w:val="en-US" w:eastAsia="zh-CN"/>
                      <w:highlight w:val="none"/>
                    </w:rPr>
                  </w:pPr>
                  <w:r>
                    <w:rPr>
                      <w:rFonts w:ascii="Times New Roman" w:hAnsi="Times New Roman" w:hint="eastAsia"/>
                      <w:b w:val="0"/>
                      <w:bCs w:val="0"/>
                      <w:color w:val="auto"/>
                      <w:sz w:val="21"/>
                      <w:lang w:val="en-US" w:eastAsia="zh-CN"/>
                      <w:highlight w:val="none"/>
                    </w:rPr>
                    <w:t>kg/a</w:t>
                  </w:r>
                </w:p>
              </w:tc>
              <w:tc>
                <w:tcPr>
                  <w:tcW w:w="627"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1500</w:t>
                  </w:r>
                </w:p>
              </w:tc>
              <w:tc>
                <w:tcPr>
                  <w:tcW w:w="370"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hAnsi="Times New Roman"/>
                      <w:b w:val="0"/>
                      <w:bCs w:val="0"/>
                      <w:color w:val="auto"/>
                      <w:sz w:val="21"/>
                      <w:lang w:val="en-US" w:eastAsia="zh-CN"/>
                      <w:highlight w:val="none"/>
                    </w:rPr>
                  </w:pPr>
                  <w:r>
                    <w:rPr>
                      <w:rFonts w:hint="eastAsia"/>
                      <w:b w:val="0"/>
                      <w:bCs w:val="0"/>
                      <w:color w:val="auto"/>
                      <w:sz w:val="21"/>
                      <w:lang w:val="en-US" w:eastAsia="zh-CN"/>
                      <w:highlight w:val="none"/>
                    </w:rPr>
                    <w:t>0</w:t>
                  </w:r>
                </w:p>
              </w:tc>
              <w:tc>
                <w:tcPr>
                  <w:tcW w:w="662" w:type="pct"/>
                  <w:tcBorders>
                    <w:left w:val="single" w:sz="8" w:space="0" w:color="000000"/>
                  </w:tcBorders>
                  <w:shd w:val="clear" w:color="auto" w:fill="auto"/>
                  <w:vAlign w:val="center"/>
                </w:tcPr>
                <w:p>
                  <w:pPr>
                    <w:spacing w:line="240" w:lineRule="auto"/>
                    <w:ind w:firstLineChars="0" w:firstLine="0"/>
                    <w:jc w:val="center"/>
                    <w:rPr>
                      <w:rFonts w:ascii="Times New Roman" w:eastAsia="宋体" w:cs="Times New Roman" w:hAnsi="Times New Roman"/>
                      <w:b w:val="0"/>
                      <w:bCs/>
                      <w:color w:val="auto"/>
                      <w:kern w:val="2"/>
                      <w:sz w:val="21"/>
                      <w:szCs w:val="21"/>
                      <w:lang w:val="en-US" w:eastAsia="zh-CN" w:bidi="ar-SA"/>
                    </w:rPr>
                  </w:pPr>
                  <w:r>
                    <w:rPr>
                      <w:rFonts w:cs="Times New Roman" w:hint="eastAsia"/>
                      <w:b w:val="0"/>
                      <w:bCs/>
                      <w:color w:val="auto"/>
                      <w:kern w:val="2"/>
                      <w:sz w:val="21"/>
                      <w:szCs w:val="21"/>
                      <w:lang w:val="en-US" w:eastAsia="zh-CN" w:bidi="ar-SA"/>
                    </w:rPr>
                    <w:t>1500</w:t>
                  </w:r>
                </w:p>
              </w:tc>
              <w:tc>
                <w:tcPr>
                  <w:tcW w:w="502" w:type="pct"/>
                  <w:tcBorders>
                    <w:left w:val="single" w:sz="8"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b w:val="0"/>
                      <w:bCs w:val="0"/>
                      <w:color w:val="auto"/>
                      <w:kern w:val="2"/>
                      <w:sz w:val="21"/>
                      <w:szCs w:val="24"/>
                      <w:lang w:val="en-US" w:eastAsia="zh-CN" w:bidi="ar-SA"/>
                      <w:highlight w:val="none"/>
                    </w:rPr>
                  </w:pPr>
                  <w:r>
                    <w:rPr>
                      <w:rFonts w:hint="eastAsia"/>
                      <w:b w:val="0"/>
                      <w:bCs w:val="0"/>
                      <w:color w:val="auto"/>
                      <w:sz w:val="21"/>
                      <w:lang w:val="en-US" w:eastAsia="zh-CN"/>
                      <w:highlight w:val="none"/>
                    </w:rPr>
                    <w:t>0</w:t>
                  </w:r>
                </w:p>
              </w:tc>
              <w:tc>
                <w:tcPr>
                  <w:tcW w:w="806"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b w:val="0"/>
                      <w:bCs w:val="0"/>
                      <w:color w:val="auto"/>
                      <w:sz w:val="21"/>
                      <w:lang w:val="en-US" w:eastAsia="zh-CN"/>
                      <w:highlight w:val="none"/>
                    </w:rPr>
                  </w:pPr>
                  <w:r>
                    <w:rPr>
                      <w:rFonts w:hint="eastAsia"/>
                      <w:b w:val="0"/>
                      <w:bCs w:val="0"/>
                      <w:color w:val="auto"/>
                      <w:sz w:val="21"/>
                      <w:lang w:val="en-US" w:eastAsia="zh-CN"/>
                      <w:highlight w:val="none"/>
                    </w:rPr>
                    <w:t>0.5</w:t>
                  </w:r>
                </w:p>
              </w:tc>
              <w:tc>
                <w:tcPr>
                  <w:tcW w:w="858" w:type="pct"/>
                  <w:tcBorders>
                    <w:left w:val="single" w:sz="8"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0" w:firstLine="0"/>
                    <w:jc w:val="center"/>
                    <w:textAlignment w:val="auto"/>
                    <w:outlineLvl w:val="9"/>
                    <w:rPr>
                      <w:rFonts w:ascii="Times New Roman" w:eastAsia="宋体" w:cs="Times New Roman" w:hAnsi="Times New Roman"/>
                      <w:color w:val="auto"/>
                      <w:sz w:val="21"/>
                      <w:szCs w:val="21"/>
                      <w:lang w:val="en-US" w:eastAsia="zh-CN"/>
                    </w:rPr>
                  </w:pPr>
                  <w:r>
                    <w:rPr>
                      <w:rFonts w:cs="Times New Roman" w:hint="eastAsia"/>
                      <w:color w:val="auto"/>
                      <w:sz w:val="21"/>
                      <w:szCs w:val="21"/>
                      <w:lang w:val="en-US" w:eastAsia="zh-CN"/>
                    </w:rPr>
                    <w:t>桶装</w:t>
                  </w:r>
                  <w:r>
                    <w:rPr>
                      <w:rFonts w:ascii="Times New Roman" w:eastAsia="宋体" w:cs="Times New Roman" w:hAnsi="Times New Roman"/>
                      <w:color w:val="auto"/>
                      <w:sz w:val="21"/>
                      <w:szCs w:val="21"/>
                      <w:lang w:val="en-US" w:eastAsia="zh-CN"/>
                    </w:rPr>
                    <w:t>外购</w:t>
                  </w:r>
                </w:p>
              </w:tc>
            </w:tr>
          </w:tbl>
          <w:p>
            <w:pPr>
              <w:rPr>
                <w:rFonts w:eastAsia="宋体"/>
                <w:b w:val="0"/>
                <w:bCs w:val="0"/>
                <w:color w:val="auto"/>
                <w:lang w:val="en-US" w:eastAsia="zh-CN"/>
              </w:rPr>
            </w:pPr>
            <w:r>
              <w:rPr>
                <w:rFonts w:hint="eastAsia"/>
                <w:b w:val="0"/>
                <w:bCs w:val="0"/>
                <w:color w:val="auto"/>
                <w:lang w:val="en-US" w:eastAsia="zh-CN"/>
              </w:rPr>
              <w:t>原辅材料理化性质：</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尿素：分子式</w:t>
            </w:r>
            <w:r>
              <w:rPr>
                <w:rFonts w:ascii="Times New Roman" w:eastAsia="宋体" w:cs="Times New Roman" w:hAnsi="Times New Roman"/>
                <w:color w:val="auto"/>
                <w:kern w:val="0"/>
                <w:sz w:val="24"/>
                <w:szCs w:val="24"/>
                <w:lang w:val="en-US" w:eastAsia="zh-CN"/>
              </w:rPr>
              <w:t>CH</w:t>
            </w:r>
            <w:r>
              <w:rPr>
                <w:rFonts w:ascii="Times New Roman" w:eastAsia="宋体" w:cs="Times New Roman" w:hAnsi="Times New Roman"/>
                <w:color w:val="auto"/>
                <w:kern w:val="0"/>
                <w:sz w:val="15"/>
                <w:szCs w:val="15"/>
                <w:lang w:val="en-US" w:eastAsia="zh-CN"/>
              </w:rPr>
              <w:t>4</w:t>
            </w:r>
            <w:r>
              <w:rPr>
                <w:rFonts w:ascii="Times New Roman" w:eastAsia="宋体" w:cs="Times New Roman" w:hAnsi="Times New Roman"/>
                <w:color w:val="auto"/>
                <w:kern w:val="0"/>
                <w:sz w:val="24"/>
                <w:szCs w:val="24"/>
                <w:lang w:val="en-US" w:eastAsia="zh-CN"/>
              </w:rPr>
              <w:t>N</w:t>
            </w:r>
            <w:r>
              <w:rPr>
                <w:rFonts w:ascii="Times New Roman" w:eastAsia="宋体" w:cs="Times New Roman" w:hAnsi="Times New Roman"/>
                <w:color w:val="auto"/>
                <w:kern w:val="0"/>
                <w:sz w:val="15"/>
                <w:szCs w:val="15"/>
                <w:lang w:val="en-US" w:eastAsia="zh-CN"/>
              </w:rPr>
              <w:t>2</w:t>
            </w:r>
            <w:r>
              <w:rPr>
                <w:rFonts w:ascii="Times New Roman" w:eastAsia="宋体" w:cs="Times New Roman" w:hAnsi="Times New Roman"/>
                <w:color w:val="auto"/>
                <w:kern w:val="0"/>
                <w:sz w:val="24"/>
                <w:szCs w:val="24"/>
                <w:lang w:val="en-US" w:eastAsia="zh-CN"/>
              </w:rPr>
              <w:t>O</w:t>
            </w:r>
            <w:r>
              <w:rPr>
                <w:rFonts w:ascii="宋体" w:eastAsia="宋体" w:cs="宋体" w:hAnsi="宋体" w:hint="eastAsia"/>
                <w:color w:val="auto"/>
                <w:kern w:val="0"/>
                <w:sz w:val="24"/>
                <w:szCs w:val="24"/>
                <w:lang w:val="en-US" w:eastAsia="zh-CN"/>
              </w:rPr>
              <w:t>，分子量</w:t>
            </w:r>
            <w:r>
              <w:rPr>
                <w:rFonts w:ascii="Times New Roman" w:eastAsia="宋体" w:cs="Times New Roman" w:hAnsi="Times New Roman"/>
                <w:color w:val="auto"/>
                <w:kern w:val="0"/>
                <w:sz w:val="24"/>
                <w:szCs w:val="24"/>
                <w:lang w:val="en-US" w:eastAsia="zh-CN"/>
              </w:rPr>
              <w:t>60.06</w:t>
            </w:r>
            <w:r>
              <w:rPr>
                <w:rFonts w:ascii="宋体" w:eastAsia="宋体" w:cs="宋体" w:hAnsi="宋体" w:hint="eastAsia"/>
                <w:color w:val="auto"/>
                <w:kern w:val="0"/>
                <w:sz w:val="24"/>
                <w:szCs w:val="24"/>
                <w:lang w:val="en-US" w:eastAsia="zh-CN"/>
              </w:rPr>
              <w:t>，又称碳酰胺（</w:t>
            </w:r>
            <w:r>
              <w:rPr>
                <w:rFonts w:ascii="Times New Roman" w:eastAsia="宋体" w:cs="Times New Roman" w:hAnsi="Times New Roman"/>
                <w:color w:val="auto"/>
                <w:kern w:val="0"/>
                <w:sz w:val="24"/>
                <w:szCs w:val="24"/>
                <w:lang w:val="en-US" w:eastAsia="zh-CN"/>
              </w:rPr>
              <w:t>carbamide)</w:t>
            </w:r>
            <w:r>
              <w:rPr>
                <w:rFonts w:ascii="宋体" w:eastAsia="宋体" w:cs="宋体" w:hAnsi="宋体" w:hint="eastAsia"/>
                <w:color w:val="auto"/>
                <w:kern w:val="0"/>
                <w:sz w:val="24"/>
                <w:szCs w:val="24"/>
                <w:lang w:val="en-US" w:eastAsia="zh-CN"/>
              </w:rPr>
              <w:t>，是由碳、氮、氧、氢组成的有机化合物是一种白色晶体。最简单的有机化合物之一，是哺乳动物和某些鱼类体内蛋白质代谢分解的主要含氮终产物。也是目前含氮量最高的氮肥。</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氯化铵：分子式</w:t>
            </w:r>
            <w:r>
              <w:rPr>
                <w:rFonts w:ascii="Times New Roman" w:eastAsia="宋体" w:cs="Times New Roman" w:hAnsi="Times New Roman"/>
                <w:color w:val="auto"/>
                <w:kern w:val="0"/>
                <w:sz w:val="24"/>
                <w:szCs w:val="24"/>
                <w:lang w:val="en-US" w:eastAsia="zh-CN"/>
              </w:rPr>
              <w:t>NH</w:t>
            </w:r>
            <w:r>
              <w:rPr>
                <w:rFonts w:ascii="Times New Roman" w:eastAsia="宋体" w:cs="Times New Roman" w:hAnsi="Times New Roman"/>
                <w:color w:val="auto"/>
                <w:kern w:val="0"/>
                <w:sz w:val="15"/>
                <w:szCs w:val="15"/>
                <w:lang w:val="en-US" w:eastAsia="zh-CN"/>
              </w:rPr>
              <w:t>4</w:t>
            </w:r>
            <w:r>
              <w:rPr>
                <w:rFonts w:ascii="Times New Roman" w:eastAsia="宋体" w:cs="Times New Roman" w:hAnsi="Times New Roman"/>
                <w:color w:val="auto"/>
                <w:kern w:val="0"/>
                <w:sz w:val="24"/>
                <w:szCs w:val="24"/>
                <w:lang w:val="en-US" w:eastAsia="zh-CN"/>
              </w:rPr>
              <w:t>Cl</w:t>
            </w:r>
            <w:r>
              <w:rPr>
                <w:rFonts w:ascii="宋体" w:eastAsia="宋体" w:cs="宋体" w:hAnsi="宋体" w:hint="eastAsia"/>
                <w:color w:val="auto"/>
                <w:kern w:val="0"/>
                <w:sz w:val="24"/>
                <w:szCs w:val="24"/>
                <w:lang w:val="en-US" w:eastAsia="zh-CN"/>
              </w:rPr>
              <w:t>，分子量</w:t>
            </w:r>
            <w:r>
              <w:rPr>
                <w:rFonts w:ascii="Times New Roman" w:eastAsia="宋体" w:cs="Times New Roman" w:hAnsi="Times New Roman"/>
                <w:color w:val="auto"/>
                <w:kern w:val="0"/>
                <w:sz w:val="24"/>
                <w:szCs w:val="24"/>
                <w:lang w:val="en-US" w:eastAsia="zh-CN"/>
              </w:rPr>
              <w:t>53.49</w:t>
            </w:r>
            <w:r>
              <w:rPr>
                <w:rFonts w:ascii="宋体" w:eastAsia="宋体" w:cs="宋体" w:hAnsi="宋体" w:hint="eastAsia"/>
                <w:color w:val="auto"/>
                <w:kern w:val="0"/>
                <w:sz w:val="24"/>
                <w:szCs w:val="24"/>
                <w:lang w:val="en-US" w:eastAsia="zh-CN"/>
              </w:rPr>
              <w:t>。无色晶体或白色颗粒性粉末。呈白色或略带黄色的方形或八面体小结晶，有粉状和粒状两种剂型，粒状氯化铵不易吸湿，易储存，而粉状氯化铵较多用作生产复肥的基础肥料。</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硫酸铵：分子式</w:t>
            </w:r>
            <w:r>
              <w:rPr>
                <w:rFonts w:ascii="Times New Roman" w:eastAsia="宋体" w:cs="Times New Roman" w:hAnsi="Times New Roman"/>
                <w:color w:val="auto"/>
                <w:kern w:val="0"/>
                <w:sz w:val="24"/>
                <w:szCs w:val="24"/>
                <w:lang w:val="en-US" w:eastAsia="zh-CN"/>
              </w:rPr>
              <w:t>(NH</w:t>
            </w:r>
            <w:r>
              <w:rPr>
                <w:rFonts w:ascii="Times New Roman" w:eastAsia="宋体" w:cs="Times New Roman" w:hAnsi="Times New Roman"/>
                <w:color w:val="auto"/>
                <w:kern w:val="0"/>
                <w:sz w:val="15"/>
                <w:szCs w:val="15"/>
                <w:lang w:val="en-US" w:eastAsia="zh-CN"/>
              </w:rPr>
              <w:t>4</w:t>
            </w:r>
            <w:r>
              <w:rPr>
                <w:rFonts w:ascii="Times New Roman" w:eastAsia="宋体" w:cs="Times New Roman" w:hAnsi="Times New Roman"/>
                <w:color w:val="auto"/>
                <w:kern w:val="0"/>
                <w:sz w:val="24"/>
                <w:szCs w:val="24"/>
                <w:lang w:val="en-US" w:eastAsia="zh-CN"/>
              </w:rPr>
              <w:t>)</w:t>
            </w:r>
            <w:r>
              <w:rPr>
                <w:rFonts w:ascii="Times New Roman" w:eastAsia="宋体" w:cs="Times New Roman" w:hAnsi="Times New Roman"/>
                <w:color w:val="auto"/>
                <w:kern w:val="0"/>
                <w:sz w:val="15"/>
                <w:szCs w:val="15"/>
                <w:lang w:val="en-US" w:eastAsia="zh-CN"/>
              </w:rPr>
              <w:t>2</w:t>
            </w:r>
            <w:r>
              <w:rPr>
                <w:rFonts w:ascii="Times New Roman" w:eastAsia="宋体" w:cs="Times New Roman" w:hAnsi="Times New Roman"/>
                <w:color w:val="auto"/>
                <w:kern w:val="0"/>
                <w:sz w:val="24"/>
                <w:szCs w:val="24"/>
                <w:lang w:val="en-US" w:eastAsia="zh-CN"/>
              </w:rPr>
              <w:t>SO</w:t>
            </w:r>
            <w:r>
              <w:rPr>
                <w:rFonts w:ascii="Times New Roman" w:eastAsia="宋体" w:cs="Times New Roman" w:hAnsi="Times New Roman"/>
                <w:color w:val="auto"/>
                <w:kern w:val="0"/>
                <w:sz w:val="15"/>
                <w:szCs w:val="15"/>
                <w:lang w:val="en-US" w:eastAsia="zh-CN"/>
              </w:rPr>
              <w:t>4</w:t>
            </w:r>
            <w:r>
              <w:rPr>
                <w:rFonts w:ascii="宋体" w:eastAsia="宋体" w:cs="宋体" w:hAnsi="宋体" w:hint="eastAsia"/>
                <w:color w:val="auto"/>
                <w:kern w:val="0"/>
                <w:sz w:val="24"/>
                <w:szCs w:val="24"/>
                <w:lang w:val="en-US" w:eastAsia="zh-CN"/>
              </w:rPr>
              <w:t>。分子量</w:t>
            </w:r>
            <w:r>
              <w:rPr>
                <w:rFonts w:ascii="Times New Roman" w:eastAsia="宋体" w:cs="Times New Roman" w:hAnsi="Times New Roman"/>
                <w:color w:val="auto"/>
                <w:kern w:val="0"/>
                <w:sz w:val="24"/>
                <w:szCs w:val="24"/>
                <w:lang w:val="en-US" w:eastAsia="zh-CN"/>
              </w:rPr>
              <w:t>132.14</w:t>
            </w:r>
            <w:r>
              <w:rPr>
                <w:rFonts w:ascii="宋体" w:eastAsia="宋体" w:cs="宋体" w:hAnsi="宋体" w:hint="eastAsia"/>
                <w:color w:val="auto"/>
                <w:kern w:val="0"/>
                <w:sz w:val="24"/>
                <w:szCs w:val="24"/>
                <w:lang w:val="en-US" w:eastAsia="zh-CN"/>
              </w:rPr>
              <w:t>。无色结晶或白色颗粒。无气味。</w:t>
            </w:r>
            <w:r>
              <w:rPr>
                <w:rFonts w:ascii="Times New Roman" w:eastAsia="宋体" w:cs="Times New Roman" w:hAnsi="Times New Roman"/>
                <w:color w:val="auto"/>
                <w:kern w:val="0"/>
                <w:sz w:val="24"/>
                <w:szCs w:val="24"/>
                <w:lang w:val="en-US" w:eastAsia="zh-CN"/>
              </w:rPr>
              <w:t>280</w:t>
            </w:r>
            <w:r>
              <w:rPr>
                <w:rFonts w:ascii="宋体" w:eastAsia="宋体" w:cs="宋体" w:hAnsi="宋体" w:hint="eastAsia"/>
                <w:color w:val="auto"/>
                <w:kern w:val="0"/>
                <w:sz w:val="24"/>
                <w:szCs w:val="24"/>
                <w:lang w:val="en-US" w:eastAsia="zh-CN"/>
              </w:rPr>
              <w:t>℃以上分解。水中溶解度：</w:t>
            </w:r>
            <w:r>
              <w:rPr>
                <w:rFonts w:ascii="Times New Roman" w:eastAsia="宋体" w:cs="Times New Roman" w:hAnsi="Times New Roman"/>
                <w:color w:val="auto"/>
                <w:kern w:val="0"/>
                <w:sz w:val="24"/>
                <w:szCs w:val="24"/>
                <w:lang w:val="en-US" w:eastAsia="zh-CN"/>
              </w:rPr>
              <w:t>0</w:t>
            </w:r>
            <w:r>
              <w:rPr>
                <w:rFonts w:ascii="宋体" w:eastAsia="宋体" w:cs="宋体" w:hAnsi="宋体" w:hint="eastAsia"/>
                <w:color w:val="auto"/>
                <w:kern w:val="0"/>
                <w:sz w:val="24"/>
                <w:szCs w:val="24"/>
                <w:lang w:val="en-US" w:eastAsia="zh-CN"/>
              </w:rPr>
              <w:t>℃时</w:t>
            </w:r>
            <w:r>
              <w:rPr>
                <w:rFonts w:ascii="Times New Roman" w:eastAsia="宋体" w:cs="Times New Roman" w:hAnsi="Times New Roman"/>
                <w:color w:val="auto"/>
                <w:kern w:val="0"/>
                <w:sz w:val="24"/>
                <w:szCs w:val="24"/>
                <w:lang w:val="en-US" w:eastAsia="zh-CN"/>
              </w:rPr>
              <w:t>70.6g</w:t>
            </w:r>
            <w:r>
              <w:rPr>
                <w:rFonts w:ascii="宋体" w:eastAsia="宋体" w:cs="宋体" w:hAnsi="宋体" w:hint="eastAsia"/>
                <w:color w:val="auto"/>
                <w:kern w:val="0"/>
                <w:sz w:val="24"/>
                <w:szCs w:val="24"/>
                <w:lang w:val="en-US" w:eastAsia="zh-CN"/>
              </w:rPr>
              <w:t>，</w:t>
            </w:r>
            <w:r>
              <w:rPr>
                <w:rFonts w:ascii="Times New Roman" w:eastAsia="宋体" w:cs="Times New Roman" w:hAnsi="Times New Roman"/>
                <w:color w:val="auto"/>
                <w:kern w:val="0"/>
                <w:sz w:val="24"/>
                <w:szCs w:val="24"/>
                <w:lang w:val="en-US" w:eastAsia="zh-CN"/>
              </w:rPr>
              <w:t>100</w:t>
            </w:r>
            <w:r>
              <w:rPr>
                <w:rFonts w:ascii="宋体" w:eastAsia="宋体" w:cs="宋体" w:hAnsi="宋体" w:hint="eastAsia"/>
                <w:color w:val="auto"/>
                <w:kern w:val="0"/>
                <w:sz w:val="24"/>
                <w:szCs w:val="24"/>
                <w:lang w:val="en-US" w:eastAsia="zh-CN"/>
              </w:rPr>
              <w:t>℃时</w:t>
            </w:r>
            <w:r>
              <w:rPr>
                <w:rFonts w:ascii="Times New Roman" w:eastAsia="宋体" w:cs="Times New Roman" w:hAnsi="Times New Roman"/>
                <w:color w:val="auto"/>
                <w:kern w:val="0"/>
                <w:sz w:val="24"/>
                <w:szCs w:val="24"/>
                <w:lang w:val="en-US" w:eastAsia="zh-CN"/>
              </w:rPr>
              <w:t>103.8g</w:t>
            </w:r>
            <w:r>
              <w:rPr>
                <w:rFonts w:ascii="宋体" w:eastAsia="宋体" w:cs="宋体" w:hAnsi="宋体" w:hint="eastAsia"/>
                <w:color w:val="auto"/>
                <w:kern w:val="0"/>
                <w:sz w:val="24"/>
                <w:szCs w:val="24"/>
                <w:lang w:val="en-US" w:eastAsia="zh-CN"/>
              </w:rPr>
              <w:t>。不溶于乙醇和丙酮。</w:t>
            </w:r>
            <w:r>
              <w:rPr>
                <w:rFonts w:ascii="Times New Roman" w:eastAsia="宋体" w:cs="Times New Roman" w:hAnsi="Times New Roman"/>
                <w:color w:val="auto"/>
                <w:kern w:val="0"/>
                <w:sz w:val="24"/>
                <w:szCs w:val="24"/>
                <w:lang w:val="en-US" w:eastAsia="zh-CN"/>
              </w:rPr>
              <w:t>0.1mol/L</w:t>
            </w:r>
            <w:r>
              <w:rPr>
                <w:rFonts w:ascii="宋体" w:eastAsia="宋体" w:cs="宋体" w:hAnsi="宋体" w:hint="eastAsia"/>
                <w:color w:val="auto"/>
                <w:kern w:val="0"/>
                <w:sz w:val="24"/>
                <w:szCs w:val="24"/>
                <w:lang w:val="en-US" w:eastAsia="zh-CN"/>
              </w:rPr>
              <w:t>水溶液的</w:t>
            </w:r>
            <w:r>
              <w:rPr>
                <w:rFonts w:ascii="Times New Roman" w:eastAsia="宋体" w:cs="Times New Roman" w:hAnsi="Times New Roman"/>
                <w:color w:val="auto"/>
                <w:kern w:val="0"/>
                <w:sz w:val="24"/>
                <w:szCs w:val="24"/>
                <w:lang w:val="en-US" w:eastAsia="zh-CN"/>
              </w:rPr>
              <w:t>pH</w:t>
            </w:r>
            <w:r>
              <w:rPr>
                <w:rFonts w:ascii="宋体" w:eastAsia="宋体" w:cs="宋体" w:hAnsi="宋体" w:hint="eastAsia"/>
                <w:color w:val="auto"/>
                <w:kern w:val="0"/>
                <w:sz w:val="24"/>
                <w:szCs w:val="24"/>
                <w:lang w:val="en-US" w:eastAsia="zh-CN"/>
              </w:rPr>
              <w:t>为</w:t>
            </w:r>
            <w:r>
              <w:rPr>
                <w:rFonts w:ascii="Times New Roman" w:eastAsia="宋体" w:cs="Times New Roman" w:hAnsi="Times New Roman"/>
                <w:color w:val="auto"/>
                <w:kern w:val="0"/>
                <w:sz w:val="24"/>
                <w:szCs w:val="24"/>
                <w:lang w:val="en-US" w:eastAsia="zh-CN"/>
              </w:rPr>
              <w:t>5.5</w:t>
            </w:r>
            <w:r>
              <w:rPr>
                <w:rFonts w:ascii="宋体" w:eastAsia="宋体" w:cs="宋体" w:hAnsi="宋体" w:hint="eastAsia"/>
                <w:color w:val="auto"/>
                <w:kern w:val="0"/>
                <w:sz w:val="24"/>
                <w:szCs w:val="24"/>
                <w:lang w:val="en-US" w:eastAsia="zh-CN"/>
              </w:rPr>
              <w:t>。相对密度</w:t>
            </w:r>
            <w:r>
              <w:rPr>
                <w:rFonts w:ascii="Times New Roman" w:eastAsia="宋体" w:cs="Times New Roman" w:hAnsi="Times New Roman"/>
                <w:color w:val="auto"/>
                <w:kern w:val="0"/>
                <w:sz w:val="24"/>
                <w:szCs w:val="24"/>
                <w:lang w:val="en-US" w:eastAsia="zh-CN"/>
              </w:rPr>
              <w:t>1.77</w:t>
            </w:r>
            <w:r>
              <w:rPr>
                <w:rFonts w:ascii="宋体" w:eastAsia="宋体" w:cs="宋体" w:hAnsi="宋体" w:hint="eastAsia"/>
                <w:color w:val="auto"/>
                <w:kern w:val="0"/>
                <w:sz w:val="24"/>
                <w:szCs w:val="24"/>
                <w:lang w:val="en-US" w:eastAsia="zh-CN"/>
              </w:rPr>
              <w:t>。折光率</w:t>
            </w:r>
            <w:r>
              <w:rPr>
                <w:rFonts w:ascii="Times New Roman" w:eastAsia="宋体" w:cs="Times New Roman" w:hAnsi="Times New Roman"/>
                <w:color w:val="auto"/>
                <w:kern w:val="0"/>
                <w:sz w:val="24"/>
                <w:szCs w:val="24"/>
                <w:lang w:val="en-US" w:eastAsia="zh-CN"/>
              </w:rPr>
              <w:t>1.521</w:t>
            </w:r>
            <w:r>
              <w:rPr>
                <w:rFonts w:ascii="宋体" w:eastAsia="宋体" w:cs="宋体" w:hAnsi="宋体" w:hint="eastAsia"/>
                <w:color w:val="auto"/>
                <w:kern w:val="0"/>
                <w:sz w:val="24"/>
                <w:szCs w:val="24"/>
                <w:lang w:val="en-US" w:eastAsia="zh-CN"/>
              </w:rPr>
              <w:t>。硫酸铵主要用作肥料，适用于各种土壤和作物。还可用于纺织、皮革、医药等方面。</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磷酸一铵：分子式</w:t>
            </w:r>
            <w:r>
              <w:rPr>
                <w:rFonts w:ascii="Times New Roman" w:eastAsia="宋体" w:cs="Times New Roman" w:hAnsi="Times New Roman"/>
                <w:color w:val="auto"/>
                <w:kern w:val="0"/>
                <w:sz w:val="24"/>
                <w:szCs w:val="24"/>
                <w:lang w:val="en-US" w:eastAsia="zh-CN"/>
              </w:rPr>
              <w:t>NH</w:t>
            </w:r>
            <w:r>
              <w:rPr>
                <w:rFonts w:ascii="Times New Roman" w:eastAsia="宋体" w:cs="Times New Roman" w:hAnsi="Times New Roman"/>
                <w:color w:val="auto"/>
                <w:kern w:val="0"/>
                <w:sz w:val="15"/>
                <w:szCs w:val="15"/>
                <w:lang w:val="en-US" w:eastAsia="zh-CN"/>
              </w:rPr>
              <w:t>4</w:t>
            </w:r>
            <w:r>
              <w:rPr>
                <w:rFonts w:ascii="Times New Roman" w:eastAsia="宋体" w:cs="Times New Roman" w:hAnsi="Times New Roman"/>
                <w:color w:val="auto"/>
                <w:kern w:val="0"/>
                <w:sz w:val="24"/>
                <w:szCs w:val="24"/>
                <w:lang w:val="en-US" w:eastAsia="zh-CN"/>
              </w:rPr>
              <w:t>H</w:t>
            </w:r>
            <w:r>
              <w:rPr>
                <w:rFonts w:ascii="Times New Roman" w:eastAsia="宋体" w:cs="Times New Roman" w:hAnsi="Times New Roman"/>
                <w:color w:val="auto"/>
                <w:kern w:val="0"/>
                <w:sz w:val="15"/>
                <w:szCs w:val="15"/>
                <w:lang w:val="en-US" w:eastAsia="zh-CN"/>
              </w:rPr>
              <w:t>2</w:t>
            </w:r>
            <w:r>
              <w:rPr>
                <w:rFonts w:ascii="Times New Roman" w:eastAsia="宋体" w:cs="Times New Roman" w:hAnsi="Times New Roman"/>
                <w:color w:val="auto"/>
                <w:kern w:val="0"/>
                <w:sz w:val="24"/>
                <w:szCs w:val="24"/>
                <w:lang w:val="en-US" w:eastAsia="zh-CN"/>
              </w:rPr>
              <w:t>PO</w:t>
            </w:r>
            <w:r>
              <w:rPr>
                <w:rFonts w:ascii="Times New Roman" w:eastAsia="宋体" w:cs="Times New Roman" w:hAnsi="Times New Roman"/>
                <w:color w:val="auto"/>
                <w:kern w:val="0"/>
                <w:sz w:val="15"/>
                <w:szCs w:val="15"/>
                <w:lang w:val="en-US" w:eastAsia="zh-CN"/>
              </w:rPr>
              <w:t>4</w:t>
            </w:r>
            <w:r>
              <w:rPr>
                <w:rFonts w:ascii="宋体" w:eastAsia="宋体" w:cs="宋体" w:hAnsi="宋体" w:hint="eastAsia"/>
                <w:color w:val="auto"/>
                <w:kern w:val="0"/>
                <w:sz w:val="24"/>
                <w:szCs w:val="24"/>
                <w:lang w:val="en-US" w:eastAsia="zh-CN"/>
              </w:rPr>
              <w:t>，分子量</w:t>
            </w:r>
            <w:r>
              <w:rPr>
                <w:rFonts w:ascii="Times New Roman" w:eastAsia="宋体" w:cs="Times New Roman" w:hAnsi="Times New Roman"/>
                <w:color w:val="auto"/>
                <w:kern w:val="0"/>
                <w:sz w:val="24"/>
                <w:szCs w:val="24"/>
                <w:lang w:val="en-US" w:eastAsia="zh-CN"/>
              </w:rPr>
              <w:t>115.03</w:t>
            </w:r>
            <w:r>
              <w:rPr>
                <w:rFonts w:ascii="宋体" w:eastAsia="宋体" w:cs="宋体" w:hAnsi="宋体" w:hint="eastAsia"/>
                <w:color w:val="auto"/>
                <w:kern w:val="0"/>
                <w:sz w:val="24"/>
                <w:szCs w:val="24"/>
                <w:lang w:val="en-US" w:eastAsia="zh-CN"/>
              </w:rPr>
              <w:t>。白色结晶性粉末。在空气中稳定。微溶于乙醇，不溶于丙酮。水溶液呈酸性。常温下</w:t>
            </w:r>
            <w:r>
              <w:rPr>
                <w:rFonts w:ascii="Times New Roman" w:eastAsia="宋体" w:cs="Times New Roman" w:hAnsi="Times New Roman"/>
                <w:color w:val="auto"/>
                <w:kern w:val="0"/>
                <w:sz w:val="24"/>
                <w:szCs w:val="24"/>
                <w:lang w:val="en-US" w:eastAsia="zh-CN"/>
              </w:rPr>
              <w:t>( 20</w:t>
            </w:r>
            <w:r>
              <w:rPr>
                <w:rFonts w:ascii="宋体" w:eastAsia="宋体" w:cs="宋体" w:hAnsi="宋体" w:hint="eastAsia"/>
                <w:color w:val="auto"/>
                <w:kern w:val="0"/>
                <w:sz w:val="24"/>
                <w:szCs w:val="24"/>
                <w:lang w:val="en-US" w:eastAsia="zh-CN"/>
              </w:rPr>
              <w:t>℃</w:t>
            </w:r>
            <w:r>
              <w:rPr>
                <w:rFonts w:ascii="Times New Roman" w:eastAsia="宋体" w:cs="Times New Roman" w:hAnsi="Times New Roman"/>
                <w:color w:val="auto"/>
                <w:kern w:val="0"/>
                <w:sz w:val="24"/>
                <w:szCs w:val="24"/>
                <w:lang w:val="en-US" w:eastAsia="zh-CN"/>
              </w:rPr>
              <w:t>)</w:t>
            </w:r>
            <w:r>
              <w:rPr>
                <w:rFonts w:ascii="宋体" w:eastAsia="宋体" w:cs="宋体" w:hAnsi="宋体" w:hint="eastAsia"/>
                <w:color w:val="auto"/>
                <w:kern w:val="0"/>
                <w:sz w:val="24"/>
                <w:szCs w:val="24"/>
                <w:lang w:val="en-US" w:eastAsia="zh-CN"/>
              </w:rPr>
              <w:t>在水中的溶解度为</w:t>
            </w:r>
            <w:r>
              <w:rPr>
                <w:rFonts w:ascii="Times New Roman" w:eastAsia="宋体" w:cs="Times New Roman" w:hAnsi="Times New Roman"/>
                <w:color w:val="auto"/>
                <w:kern w:val="0"/>
                <w:sz w:val="24"/>
                <w:szCs w:val="24"/>
                <w:lang w:val="en-US" w:eastAsia="zh-CN"/>
              </w:rPr>
              <w:t>37.4g</w:t>
            </w:r>
            <w:r>
              <w:rPr>
                <w:rFonts w:ascii="宋体" w:eastAsia="宋体" w:cs="宋体" w:hAnsi="宋体" w:hint="eastAsia"/>
                <w:color w:val="auto"/>
                <w:kern w:val="0"/>
                <w:sz w:val="24"/>
                <w:szCs w:val="24"/>
                <w:lang w:val="en-US" w:eastAsia="zh-CN"/>
              </w:rPr>
              <w:t>。相对密度</w:t>
            </w:r>
            <w:r>
              <w:rPr>
                <w:rFonts w:ascii="Times New Roman" w:eastAsia="宋体" w:cs="Times New Roman" w:hAnsi="Times New Roman"/>
                <w:color w:val="auto"/>
                <w:kern w:val="0"/>
                <w:sz w:val="24"/>
                <w:szCs w:val="24"/>
                <w:lang w:val="en-US" w:eastAsia="zh-CN"/>
              </w:rPr>
              <w:t>1.80</w:t>
            </w:r>
            <w:r>
              <w:rPr>
                <w:rFonts w:ascii="宋体" w:eastAsia="宋体" w:cs="宋体" w:hAnsi="宋体" w:hint="eastAsia"/>
                <w:color w:val="auto"/>
                <w:kern w:val="0"/>
                <w:sz w:val="24"/>
                <w:szCs w:val="24"/>
                <w:lang w:val="en-US" w:eastAsia="zh-CN"/>
              </w:rPr>
              <w:t>。熔点1</w:t>
            </w:r>
            <w:r>
              <w:rPr>
                <w:rFonts w:ascii="Times New Roman" w:eastAsia="宋体" w:cs="Times New Roman" w:hAnsi="Times New Roman"/>
                <w:color w:val="auto"/>
                <w:kern w:val="0"/>
                <w:sz w:val="24"/>
                <w:szCs w:val="24"/>
                <w:lang w:val="en-US" w:eastAsia="zh-CN"/>
              </w:rPr>
              <w:t>80</w:t>
            </w:r>
            <w:r>
              <w:rPr>
                <w:rFonts w:ascii="宋体" w:eastAsia="宋体" w:cs="宋体" w:hAnsi="宋体" w:hint="eastAsia"/>
                <w:color w:val="auto"/>
                <w:kern w:val="0"/>
                <w:sz w:val="24"/>
                <w:szCs w:val="24"/>
                <w:lang w:val="en-US" w:eastAsia="zh-CN"/>
              </w:rPr>
              <w:t>℃。折光率</w:t>
            </w:r>
            <w:r>
              <w:rPr>
                <w:rFonts w:ascii="Times New Roman" w:eastAsia="宋体" w:cs="Times New Roman" w:hAnsi="Times New Roman"/>
                <w:color w:val="auto"/>
                <w:kern w:val="0"/>
                <w:sz w:val="24"/>
                <w:szCs w:val="24"/>
                <w:lang w:val="en-US" w:eastAsia="zh-CN"/>
              </w:rPr>
              <w:t>1.525</w:t>
            </w:r>
            <w:r>
              <w:rPr>
                <w:rFonts w:ascii="宋体" w:eastAsia="宋体" w:cs="宋体" w:hAnsi="宋体" w:hint="eastAsia"/>
                <w:color w:val="auto"/>
                <w:kern w:val="0"/>
                <w:sz w:val="24"/>
                <w:szCs w:val="24"/>
                <w:lang w:val="en-US" w:eastAsia="zh-CN"/>
              </w:rPr>
              <w:t>。加热会分解成偏磷酸（</w:t>
            </w:r>
            <w:r>
              <w:rPr>
                <w:rFonts w:ascii="Times New Roman" w:eastAsia="宋体" w:cs="Times New Roman" w:hAnsi="Times New Roman"/>
                <w:color w:val="auto"/>
                <w:kern w:val="0"/>
                <w:sz w:val="24"/>
                <w:szCs w:val="24"/>
                <w:lang w:val="en-US" w:eastAsia="zh-CN"/>
              </w:rPr>
              <w:t>NH</w:t>
            </w:r>
            <w:r>
              <w:rPr>
                <w:rFonts w:ascii="Times New Roman" w:eastAsia="宋体" w:cs="Times New Roman" w:hAnsi="Times New Roman"/>
                <w:color w:val="auto"/>
                <w:kern w:val="0"/>
                <w:sz w:val="15"/>
                <w:szCs w:val="15"/>
                <w:lang w:val="en-US" w:eastAsia="zh-CN"/>
              </w:rPr>
              <w:t>4</w:t>
            </w:r>
            <w:r>
              <w:rPr>
                <w:rFonts w:ascii="Times New Roman" w:eastAsia="宋体" w:cs="Times New Roman" w:hAnsi="Times New Roman"/>
                <w:color w:val="auto"/>
                <w:kern w:val="0"/>
                <w:sz w:val="24"/>
                <w:szCs w:val="24"/>
                <w:lang w:val="en-US" w:eastAsia="zh-CN"/>
              </w:rPr>
              <w:t>PO</w:t>
            </w:r>
            <w:r>
              <w:rPr>
                <w:rFonts w:ascii="Times New Roman" w:eastAsia="宋体" w:cs="Times New Roman" w:hAnsi="Times New Roman"/>
                <w:color w:val="auto"/>
                <w:kern w:val="0"/>
                <w:sz w:val="15"/>
                <w:szCs w:val="15"/>
                <w:lang w:val="en-US" w:eastAsia="zh-CN"/>
              </w:rPr>
              <w:t>3</w:t>
            </w:r>
            <w:r>
              <w:rPr>
                <w:rFonts w:ascii="宋体" w:eastAsia="宋体" w:cs="宋体" w:hAnsi="宋体" w:hint="eastAsia"/>
                <w:color w:val="auto"/>
                <w:kern w:val="0"/>
                <w:sz w:val="24"/>
                <w:szCs w:val="24"/>
                <w:lang w:val="en-US" w:eastAsia="zh-CN"/>
              </w:rPr>
              <w:t>），可用氨水和磷酸反应制成，主要用作肥料和木材、纸张、织物的防火剂，也用于制药和反刍动物饲料添加剂。</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磷酸二铵：分子式</w:t>
            </w:r>
            <w:r>
              <w:rPr>
                <w:rFonts w:ascii="Times New Roman" w:eastAsia="宋体" w:cs="Times New Roman" w:hAnsi="Times New Roman"/>
                <w:color w:val="auto"/>
                <w:kern w:val="0"/>
                <w:sz w:val="24"/>
                <w:szCs w:val="24"/>
                <w:lang w:val="en-US" w:eastAsia="zh-CN"/>
              </w:rPr>
              <w:t>(NH</w:t>
            </w:r>
            <w:r>
              <w:rPr>
                <w:rFonts w:ascii="Times New Roman" w:eastAsia="宋体" w:cs="Times New Roman" w:hAnsi="Times New Roman"/>
                <w:color w:val="auto"/>
                <w:kern w:val="0"/>
                <w:sz w:val="15"/>
                <w:szCs w:val="15"/>
                <w:lang w:val="en-US" w:eastAsia="zh-CN"/>
              </w:rPr>
              <w:t>4</w:t>
            </w:r>
            <w:r>
              <w:rPr>
                <w:rFonts w:ascii="Times New Roman" w:eastAsia="宋体" w:cs="Times New Roman" w:hAnsi="Times New Roman"/>
                <w:color w:val="auto"/>
                <w:kern w:val="0"/>
                <w:sz w:val="24"/>
                <w:szCs w:val="24"/>
                <w:lang w:val="en-US" w:eastAsia="zh-CN"/>
              </w:rPr>
              <w:t>)</w:t>
            </w:r>
            <w:r>
              <w:rPr>
                <w:rFonts w:ascii="Times New Roman" w:eastAsia="宋体" w:cs="Times New Roman" w:hAnsi="Times New Roman"/>
                <w:color w:val="auto"/>
                <w:kern w:val="0"/>
                <w:sz w:val="15"/>
                <w:szCs w:val="15"/>
                <w:lang w:val="en-US" w:eastAsia="zh-CN"/>
              </w:rPr>
              <w:t>2</w:t>
            </w:r>
            <w:r>
              <w:rPr>
                <w:rFonts w:ascii="Times New Roman" w:eastAsia="宋体" w:cs="Times New Roman" w:hAnsi="Times New Roman"/>
                <w:color w:val="auto"/>
                <w:kern w:val="0"/>
                <w:sz w:val="24"/>
                <w:szCs w:val="24"/>
                <w:lang w:val="en-US" w:eastAsia="zh-CN"/>
              </w:rPr>
              <w:t>HPO</w:t>
            </w:r>
            <w:r>
              <w:rPr>
                <w:rFonts w:ascii="Times New Roman" w:eastAsia="宋体" w:cs="Times New Roman" w:hAnsi="Times New Roman"/>
                <w:color w:val="auto"/>
                <w:kern w:val="0"/>
                <w:sz w:val="15"/>
                <w:szCs w:val="15"/>
                <w:lang w:val="en-US" w:eastAsia="zh-CN"/>
              </w:rPr>
              <w:t>4</w:t>
            </w:r>
            <w:r>
              <w:rPr>
                <w:rFonts w:ascii="宋体" w:eastAsia="宋体" w:cs="宋体" w:hAnsi="宋体" w:hint="eastAsia"/>
                <w:color w:val="auto"/>
                <w:kern w:val="0"/>
                <w:sz w:val="24"/>
                <w:szCs w:val="24"/>
                <w:lang w:val="en-US" w:eastAsia="zh-CN"/>
              </w:rPr>
              <w:t>，分子量</w:t>
            </w:r>
            <w:r>
              <w:rPr>
                <w:rFonts w:ascii="Times New Roman" w:eastAsia="宋体" w:cs="Times New Roman" w:hAnsi="Times New Roman"/>
                <w:color w:val="auto"/>
                <w:kern w:val="0"/>
                <w:sz w:val="24"/>
                <w:szCs w:val="24"/>
                <w:lang w:val="en-US" w:eastAsia="zh-CN"/>
              </w:rPr>
              <w:t>132.06</w:t>
            </w:r>
            <w:r>
              <w:rPr>
                <w:rFonts w:ascii="宋体" w:eastAsia="宋体" w:cs="宋体" w:hAnsi="宋体" w:hint="eastAsia"/>
                <w:color w:val="auto"/>
                <w:kern w:val="0"/>
                <w:sz w:val="24"/>
                <w:szCs w:val="24"/>
                <w:lang w:val="en-US" w:eastAsia="zh-CN"/>
              </w:rPr>
              <w:t>。性状 无色透明单斜晶体或白色粉末。为增加耐储性，部分产品在生产过程中添加包裹剂，使产品外观呈褐色。密度：</w:t>
            </w:r>
            <w:r>
              <w:rPr>
                <w:rFonts w:ascii="Times New Roman" w:eastAsia="宋体" w:cs="Times New Roman" w:hAnsi="Times New Roman"/>
                <w:color w:val="auto"/>
                <w:kern w:val="0"/>
                <w:sz w:val="24"/>
                <w:szCs w:val="24"/>
                <w:lang w:val="en-US" w:eastAsia="zh-CN"/>
              </w:rPr>
              <w:t>1.619</w:t>
            </w:r>
            <w:r>
              <w:rPr>
                <w:rFonts w:ascii="宋体" w:eastAsia="宋体" w:cs="宋体" w:hAnsi="宋体" w:hint="eastAsia"/>
                <w:color w:val="auto"/>
                <w:kern w:val="0"/>
                <w:sz w:val="24"/>
                <w:szCs w:val="24"/>
                <w:lang w:val="en-US" w:eastAsia="zh-CN"/>
              </w:rPr>
              <w:t>，溶解性：易溶于水【</w:t>
            </w:r>
            <w:r>
              <w:rPr>
                <w:rFonts w:ascii="Times New Roman" w:eastAsia="宋体" w:cs="Times New Roman" w:hAnsi="Times New Roman"/>
                <w:color w:val="auto"/>
                <w:kern w:val="0"/>
                <w:sz w:val="24"/>
                <w:szCs w:val="24"/>
                <w:lang w:val="en-US" w:eastAsia="zh-CN"/>
              </w:rPr>
              <w:t>58g/100mL(10</w:t>
            </w:r>
            <w:r>
              <w:rPr>
                <w:rFonts w:ascii="宋体" w:eastAsia="宋体" w:cs="宋体" w:hAnsi="宋体" w:hint="eastAsia"/>
                <w:color w:val="auto"/>
                <w:kern w:val="0"/>
                <w:sz w:val="24"/>
                <w:szCs w:val="24"/>
                <w:lang w:val="en-US" w:eastAsia="zh-CN"/>
              </w:rPr>
              <w:t>℃</w:t>
            </w:r>
            <w:r>
              <w:rPr>
                <w:rFonts w:ascii="Times New Roman" w:eastAsia="宋体" w:cs="Times New Roman" w:hAnsi="Times New Roman"/>
                <w:color w:val="auto"/>
                <w:kern w:val="0"/>
                <w:sz w:val="24"/>
                <w:szCs w:val="24"/>
                <w:lang w:val="en-US" w:eastAsia="zh-CN"/>
              </w:rPr>
              <w:t>)</w:t>
            </w:r>
            <w:r>
              <w:rPr>
                <w:rFonts w:ascii="宋体" w:eastAsia="宋体" w:cs="宋体" w:hAnsi="宋体" w:hint="eastAsia"/>
                <w:color w:val="auto"/>
                <w:kern w:val="0"/>
                <w:sz w:val="24"/>
                <w:szCs w:val="24"/>
                <w:lang w:val="en-US" w:eastAsia="zh-CN"/>
              </w:rPr>
              <w:t xml:space="preserve">】，不溶于醇、丙酮、氨。 </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氯化钾：分子量</w:t>
            </w:r>
            <w:r>
              <w:rPr>
                <w:rFonts w:ascii="Times New Roman" w:eastAsia="宋体" w:cs="Times New Roman" w:hAnsi="Times New Roman"/>
                <w:color w:val="auto"/>
                <w:kern w:val="0"/>
                <w:sz w:val="24"/>
                <w:szCs w:val="24"/>
                <w:lang w:val="en-US" w:eastAsia="zh-CN"/>
              </w:rPr>
              <w:t>74.55</w:t>
            </w:r>
            <w:r>
              <w:rPr>
                <w:rFonts w:ascii="宋体" w:eastAsia="宋体" w:cs="宋体" w:hAnsi="宋体" w:hint="eastAsia"/>
                <w:color w:val="auto"/>
                <w:kern w:val="0"/>
                <w:sz w:val="24"/>
                <w:szCs w:val="24"/>
                <w:lang w:val="en-US" w:eastAsia="zh-CN"/>
              </w:rPr>
              <w:t>，分子式</w:t>
            </w:r>
            <w:r>
              <w:rPr>
                <w:rFonts w:ascii="Times New Roman" w:eastAsia="宋体" w:cs="Times New Roman" w:hAnsi="Times New Roman"/>
                <w:color w:val="auto"/>
                <w:kern w:val="0"/>
                <w:sz w:val="24"/>
                <w:szCs w:val="24"/>
                <w:lang w:val="en-US" w:eastAsia="zh-CN"/>
              </w:rPr>
              <w:t>KCl</w:t>
            </w:r>
            <w:r>
              <w:rPr>
                <w:rFonts w:ascii="宋体" w:eastAsia="宋体" w:cs="宋体" w:hAnsi="宋体" w:hint="eastAsia"/>
                <w:color w:val="auto"/>
                <w:kern w:val="0"/>
                <w:sz w:val="24"/>
                <w:szCs w:val="24"/>
                <w:lang w:val="en-US" w:eastAsia="zh-CN"/>
              </w:rPr>
              <w:t xml:space="preserve">。白色或蓝白色细小结晶体，类似于食盐。味极咸，无臭无毒。密度 </w:t>
            </w:r>
            <w:r>
              <w:rPr>
                <w:rFonts w:ascii="Times New Roman" w:eastAsia="宋体" w:cs="Times New Roman" w:hAnsi="Times New Roman"/>
                <w:color w:val="auto"/>
                <w:kern w:val="0"/>
                <w:sz w:val="24"/>
                <w:szCs w:val="24"/>
                <w:lang w:val="en-US" w:eastAsia="zh-CN"/>
              </w:rPr>
              <w:t>1.984g/cm</w:t>
            </w:r>
            <w:r>
              <w:rPr>
                <w:rFonts w:ascii="Times New Roman" w:eastAsia="宋体" w:cs="Times New Roman" w:hAnsi="Times New Roman"/>
                <w:color w:val="auto"/>
                <w:kern w:val="0"/>
                <w:sz w:val="15"/>
                <w:szCs w:val="15"/>
                <w:lang w:val="en-US" w:eastAsia="zh-CN"/>
              </w:rPr>
              <w:t>3</w:t>
            </w:r>
            <w:r>
              <w:rPr>
                <w:rFonts w:ascii="宋体" w:eastAsia="宋体" w:cs="宋体" w:hAnsi="宋体" w:hint="eastAsia"/>
                <w:color w:val="auto"/>
                <w:kern w:val="0"/>
                <w:sz w:val="24"/>
                <w:szCs w:val="24"/>
                <w:lang w:val="en-US" w:eastAsia="zh-CN"/>
              </w:rPr>
              <w:t xml:space="preserve">。熔点 </w:t>
            </w:r>
            <w:r>
              <w:rPr>
                <w:rFonts w:ascii="Times New Roman" w:eastAsia="宋体" w:cs="Times New Roman" w:hAnsi="Times New Roman"/>
                <w:color w:val="auto"/>
                <w:kern w:val="0"/>
                <w:sz w:val="24"/>
                <w:szCs w:val="24"/>
                <w:lang w:val="en-US" w:eastAsia="zh-CN"/>
              </w:rPr>
              <w:t>770</w:t>
            </w:r>
            <w:r>
              <w:rPr>
                <w:rFonts w:ascii="宋体" w:eastAsia="宋体" w:cs="宋体" w:hAnsi="宋体" w:hint="eastAsia"/>
                <w:color w:val="auto"/>
                <w:kern w:val="0"/>
                <w:sz w:val="24"/>
                <w:szCs w:val="24"/>
                <w:lang w:val="en-US" w:eastAsia="zh-CN"/>
              </w:rPr>
              <w:t xml:space="preserve">℃。加热到 </w:t>
            </w:r>
            <w:r>
              <w:rPr>
                <w:rFonts w:ascii="Times New Roman" w:eastAsia="宋体" w:cs="Times New Roman" w:hAnsi="Times New Roman"/>
                <w:color w:val="auto"/>
                <w:kern w:val="0"/>
                <w:sz w:val="24"/>
                <w:szCs w:val="24"/>
                <w:lang w:val="en-US" w:eastAsia="zh-CN"/>
              </w:rPr>
              <w:t>1500</w:t>
            </w:r>
            <w:r>
              <w:rPr>
                <w:rFonts w:ascii="宋体" w:eastAsia="宋体" w:cs="宋体" w:hAnsi="宋体" w:hint="eastAsia"/>
                <w:color w:val="auto"/>
                <w:kern w:val="0"/>
                <w:sz w:val="24"/>
                <w:szCs w:val="24"/>
                <w:lang w:val="en-US" w:eastAsia="zh-CN"/>
              </w:rPr>
              <w:t>℃时即能升华。易溶于水、醚、甘油及碱类，微溶于乙醇，但不溶于无水乙醇。有吸湿性，易结块。在水中的溶解度随温度的升高而迅速地增加，与钠盐常起复分解作用而生成新的钾盐。主要用于无机工业、医药、染料等。农业上则是一种钾肥。</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硫酸钾：化学式</w:t>
            </w:r>
            <w:r>
              <w:rPr>
                <w:rFonts w:ascii="Times New Roman" w:eastAsia="宋体" w:cs="Times New Roman" w:hAnsi="Times New Roman"/>
                <w:color w:val="auto"/>
                <w:kern w:val="0"/>
                <w:sz w:val="24"/>
                <w:szCs w:val="24"/>
                <w:lang w:val="en-US" w:eastAsia="zh-CN"/>
              </w:rPr>
              <w:t>K</w:t>
            </w:r>
            <w:r>
              <w:rPr>
                <w:rFonts w:ascii="Times New Roman" w:eastAsia="宋体" w:cs="Times New Roman" w:hAnsi="Times New Roman"/>
                <w:color w:val="auto"/>
                <w:kern w:val="0"/>
                <w:sz w:val="15"/>
                <w:szCs w:val="15"/>
                <w:lang w:val="en-US" w:eastAsia="zh-CN"/>
              </w:rPr>
              <w:t>2</w:t>
            </w:r>
            <w:r>
              <w:rPr>
                <w:rFonts w:ascii="Times New Roman" w:eastAsia="宋体" w:cs="Times New Roman" w:hAnsi="Times New Roman"/>
                <w:color w:val="auto"/>
                <w:kern w:val="0"/>
                <w:sz w:val="24"/>
                <w:szCs w:val="24"/>
                <w:lang w:val="en-US" w:eastAsia="zh-CN"/>
              </w:rPr>
              <w:t>SO</w:t>
            </w:r>
            <w:r>
              <w:rPr>
                <w:rFonts w:ascii="Gulim" w:eastAsia="Gulim" w:cs="Gulim" w:hAnsi="Gulim"/>
                <w:color w:val="auto"/>
                <w:kern w:val="0"/>
                <w:sz w:val="24"/>
                <w:szCs w:val="24"/>
                <w:lang w:val="en-US" w:eastAsia="zh-CN"/>
              </w:rPr>
              <w:t>₄</w:t>
            </w:r>
            <w:r>
              <w:rPr>
                <w:rFonts w:ascii="宋体" w:eastAsia="宋体" w:cs="宋体" w:hAnsi="宋体" w:hint="eastAsia"/>
                <w:color w:val="auto"/>
                <w:kern w:val="0"/>
                <w:sz w:val="24"/>
                <w:szCs w:val="24"/>
                <w:lang w:val="en-US" w:eastAsia="zh-CN"/>
              </w:rPr>
              <w:t>，是一种无机盐，一般</w:t>
            </w:r>
            <w:r>
              <w:rPr>
                <w:rFonts w:ascii="Times New Roman" w:eastAsia="宋体" w:cs="Times New Roman" w:hAnsi="Times New Roman"/>
                <w:color w:val="auto"/>
                <w:kern w:val="0"/>
                <w:sz w:val="24"/>
                <w:szCs w:val="24"/>
                <w:lang w:val="en-US" w:eastAsia="zh-CN"/>
              </w:rPr>
              <w:t>K</w:t>
            </w:r>
            <w:r>
              <w:rPr>
                <w:rFonts w:ascii="宋体" w:eastAsia="宋体" w:cs="宋体" w:hAnsi="宋体" w:hint="eastAsia"/>
                <w:color w:val="auto"/>
                <w:kern w:val="0"/>
                <w:sz w:val="24"/>
                <w:szCs w:val="24"/>
                <w:lang w:val="en-US" w:eastAsia="zh-CN"/>
              </w:rPr>
              <w:t>含量为</w:t>
            </w:r>
            <w:r>
              <w:rPr>
                <w:rFonts w:ascii="Times New Roman" w:eastAsia="宋体" w:cs="Times New Roman" w:hAnsi="Times New Roman"/>
                <w:color w:val="auto"/>
                <w:kern w:val="0"/>
                <w:sz w:val="24"/>
                <w:szCs w:val="24"/>
                <w:lang w:val="en-US" w:eastAsia="zh-CN"/>
              </w:rPr>
              <w:t>50%</w:t>
            </w:r>
            <w:r>
              <w:rPr>
                <w:rFonts w:ascii="PMingLiU" w:eastAsia="PMingLiU" w:cs="PMingLiU" w:hAnsi="PMingLiU"/>
                <w:color w:val="auto"/>
                <w:kern w:val="0"/>
                <w:sz w:val="24"/>
                <w:szCs w:val="24"/>
                <w:lang w:val="en-US" w:eastAsia="zh-CN"/>
              </w:rPr>
              <w:t>〜</w:t>
            </w:r>
            <w:r>
              <w:rPr>
                <w:rFonts w:ascii="Times New Roman" w:eastAsia="宋体" w:cs="Times New Roman" w:hAnsi="Times New Roman"/>
                <w:color w:val="auto"/>
                <w:kern w:val="0"/>
                <w:sz w:val="24"/>
                <w:szCs w:val="24"/>
                <w:lang w:val="en-US" w:eastAsia="zh-CN"/>
              </w:rPr>
              <w:t>52%</w:t>
            </w:r>
            <w:r>
              <w:rPr>
                <w:rFonts w:ascii="宋体" w:eastAsia="宋体" w:cs="宋体" w:hAnsi="宋体" w:hint="eastAsia"/>
                <w:color w:val="auto"/>
                <w:kern w:val="0"/>
                <w:sz w:val="24"/>
                <w:szCs w:val="24"/>
                <w:lang w:val="en-US" w:eastAsia="zh-CN"/>
              </w:rPr>
              <w:t>，</w:t>
            </w:r>
            <w:r>
              <w:rPr>
                <w:rFonts w:ascii="Times New Roman" w:eastAsia="宋体" w:cs="Times New Roman" w:hAnsi="Times New Roman"/>
                <w:color w:val="auto"/>
                <w:kern w:val="0"/>
                <w:sz w:val="24"/>
                <w:szCs w:val="24"/>
                <w:lang w:val="en-US" w:eastAsia="zh-CN"/>
              </w:rPr>
              <w:t>S</w:t>
            </w:r>
            <w:r>
              <w:rPr>
                <w:rFonts w:ascii="宋体" w:eastAsia="宋体" w:cs="宋体" w:hAnsi="宋体" w:hint="eastAsia"/>
                <w:color w:val="auto"/>
                <w:kern w:val="0"/>
                <w:sz w:val="24"/>
                <w:szCs w:val="24"/>
                <w:lang w:val="en-US" w:eastAsia="zh-CN"/>
              </w:rPr>
              <w:t>含量约为</w:t>
            </w:r>
            <w:r>
              <w:rPr>
                <w:rFonts w:ascii="Times New Roman" w:eastAsia="宋体" w:cs="Times New Roman" w:hAnsi="Times New Roman"/>
                <w:color w:val="auto"/>
                <w:kern w:val="0"/>
                <w:sz w:val="24"/>
                <w:szCs w:val="24"/>
                <w:lang w:val="en-US" w:eastAsia="zh-CN"/>
              </w:rPr>
              <w:t>18%</w:t>
            </w:r>
            <w:r>
              <w:rPr>
                <w:rFonts w:ascii="宋体" w:eastAsia="宋体" w:cs="宋体" w:hAnsi="宋体" w:hint="eastAsia"/>
                <w:color w:val="auto"/>
                <w:kern w:val="0"/>
                <w:sz w:val="24"/>
                <w:szCs w:val="24"/>
                <w:lang w:val="en-US" w:eastAsia="zh-CN"/>
              </w:rPr>
              <w:t>。硫酸钾纯品是无色结晶体，农用硫酸钾外观多呈淡黄色。硫酸钾的吸湿性小，不易结块，物理性状良好，施用方便，是很好的水溶性钾肥。</w:t>
            </w:r>
          </w:p>
          <w:p>
            <w:pPr>
              <w:rPr>
                <w:rFonts w:hint="eastAsia"/>
                <w:b w:val="0"/>
                <w:bCs w:val="0"/>
                <w:color w:val="auto"/>
                <w:lang w:val="en-US" w:eastAsia="zh-CN"/>
              </w:rPr>
            </w:pPr>
            <w:r>
              <w:rPr>
                <w:rFonts w:hint="eastAsia"/>
                <w:b w:val="0"/>
                <w:bCs w:val="0"/>
                <w:color w:val="auto"/>
                <w:lang w:val="en-US" w:eastAsia="zh-CN"/>
              </w:rPr>
              <w:t>硫酸脲：本项目所用为50%硫酸脲溶液，根据厂商提供产品成分分析报告单可知，50%硫酸脲溶液由50%硫酸脲固体份和50%水组成，分析报告单见附件。</w:t>
            </w:r>
          </w:p>
          <w:p>
            <w:pPr>
              <w:ind w:left="0" w:firstLineChars="0" w:firstLine="0"/>
              <w:rPr>
                <w:rFonts w:hint="eastAsia"/>
                <w:b w:val="0"/>
                <w:bCs w:val="0"/>
                <w:color w:val="auto"/>
                <w:lang w:val="en-US" w:eastAsia="zh-CN"/>
              </w:rPr>
            </w:pPr>
            <w:r>
              <w:rPr>
                <w:rFonts w:hint="eastAsia"/>
                <w:b w:val="0"/>
                <w:bCs w:val="0"/>
                <w:color w:val="auto"/>
                <w:lang w:val="en-US" w:eastAsia="zh-CN"/>
              </w:rPr>
              <w:t>硫酸脲（英文名：urea sulfate），CAS号17103-31-0，是由</w:t>
            </w:r>
            <w:r>
              <w:rPr>
                <w:rFonts w:hint="eastAsia"/>
                <w:b w:val="0"/>
                <w:bCs w:val="0"/>
                <w:color w:val="auto"/>
                <w:lang w:val="en-US" w:eastAsia="zh-CN"/>
              </w:rPr>
              <w:fldChar w:fldCharType="begin"/>
            </w:r>
            <w:r>
              <w:instrText>HYPERLINK "https://baike.baidu.com/item/%E5%B0%BF%E7%B4%A0/775880?fromModule=lemma_inlink"</w:instrText>
            </w:r>
            <w:r>
              <w:rPr>
                <w:rFonts w:hint="eastAsia"/>
                <w:b w:val="0"/>
                <w:bCs w:val="0"/>
                <w:color w:val="auto"/>
                <w:lang w:val="en-US" w:eastAsia="zh-CN"/>
              </w:rPr>
              <w:fldChar w:fldCharType="separate"/>
            </w:r>
            <w:r>
              <w:rPr>
                <w:rFonts w:hint="eastAsia"/>
                <w:b w:val="0"/>
                <w:bCs w:val="0"/>
                <w:color w:val="auto"/>
                <w:lang w:val="en-US" w:eastAsia="zh-CN"/>
              </w:rPr>
              <w:t>尿素</w:t>
            </w:r>
            <w:r>
              <w:rPr>
                <w:rFonts w:hint="eastAsia"/>
                <w:b w:val="0"/>
                <w:bCs w:val="0"/>
                <w:color w:val="auto"/>
                <w:lang w:val="en-US" w:eastAsia="zh-CN"/>
              </w:rPr>
              <w:fldChar w:fldCharType="end"/>
            </w:r>
            <w:r>
              <w:rPr>
                <w:rFonts w:hint="eastAsia"/>
                <w:b w:val="0"/>
                <w:bCs w:val="0"/>
                <w:color w:val="auto"/>
                <w:lang w:val="en-US" w:eastAsia="zh-CN"/>
              </w:rPr>
              <w:t>与硫酸反应制得的化合物。白色粒状晶体，熔点117.3℃，易溶于水且不溶于有机溶剂，1%水溶液pH值为1。存在1:1和1:2两种分子比例的固体形态，分子式C</w:t>
            </w:r>
            <w:r>
              <w:rPr>
                <w:rFonts w:hint="eastAsia"/>
                <w:b w:val="0"/>
                <w:bCs w:val="0"/>
                <w:color w:val="auto"/>
                <w:vertAlign w:val="subscript"/>
                <w:lang w:val="en-US" w:eastAsia="zh-CN"/>
              </w:rPr>
              <w:t>2</w:t>
            </w:r>
            <w:r>
              <w:rPr>
                <w:rFonts w:hint="eastAsia"/>
                <w:b w:val="0"/>
                <w:bCs w:val="0"/>
                <w:color w:val="auto"/>
                <w:lang w:val="en-US" w:eastAsia="zh-CN"/>
              </w:rPr>
              <w:t>H</w:t>
            </w:r>
            <w:r>
              <w:rPr>
                <w:rFonts w:hint="eastAsia"/>
                <w:b w:val="0"/>
                <w:bCs w:val="0"/>
                <w:color w:val="auto"/>
                <w:vertAlign w:val="subscript"/>
                <w:lang w:val="en-US" w:eastAsia="zh-CN"/>
              </w:rPr>
              <w:t>10</w:t>
            </w:r>
            <w:r>
              <w:rPr>
                <w:rFonts w:hint="eastAsia"/>
                <w:b w:val="0"/>
                <w:bCs w:val="0"/>
                <w:color w:val="auto"/>
                <w:lang w:val="en-US" w:eastAsia="zh-CN"/>
              </w:rPr>
              <w:t>N</w:t>
            </w:r>
            <w:r>
              <w:rPr>
                <w:rFonts w:hint="eastAsia"/>
                <w:b w:val="0"/>
                <w:bCs w:val="0"/>
                <w:color w:val="auto"/>
                <w:vertAlign w:val="subscript"/>
                <w:lang w:val="en-US" w:eastAsia="zh-CN"/>
              </w:rPr>
              <w:t>4</w:t>
            </w:r>
            <w:r>
              <w:rPr>
                <w:rFonts w:hint="eastAsia"/>
                <w:b w:val="0"/>
                <w:bCs w:val="0"/>
                <w:color w:val="auto"/>
                <w:lang w:val="en-US" w:eastAsia="zh-CN"/>
              </w:rPr>
              <w:t>O</w:t>
            </w:r>
            <w:r>
              <w:rPr>
                <w:rFonts w:hint="eastAsia"/>
                <w:b w:val="0"/>
                <w:bCs w:val="0"/>
                <w:color w:val="auto"/>
                <w:vertAlign w:val="subscript"/>
                <w:lang w:val="en-US" w:eastAsia="zh-CN"/>
              </w:rPr>
              <w:t>6</w:t>
            </w:r>
            <w:r>
              <w:rPr>
                <w:rFonts w:hint="eastAsia"/>
                <w:b w:val="0"/>
                <w:bCs w:val="0"/>
                <w:color w:val="auto"/>
                <w:lang w:val="en-US" w:eastAsia="zh-CN"/>
              </w:rPr>
              <w:t>S（分子量218.18900），沸点330℃（760mmHg），闪点338.1℃。</w:t>
            </w:r>
          </w:p>
          <w:p>
            <w:pPr>
              <w:rPr>
                <w:rFonts w:hint="eastAsia"/>
                <w:b w:val="0"/>
                <w:bCs w:val="0"/>
                <w:color w:val="auto"/>
                <w:lang w:val="en-US" w:eastAsia="zh-CN"/>
              </w:rPr>
            </w:pPr>
            <w:r>
              <w:rPr>
                <w:rFonts w:hint="eastAsia"/>
                <w:b w:val="0"/>
                <w:bCs w:val="0"/>
                <w:color w:val="auto"/>
                <w:lang w:val="en-US" w:eastAsia="zh-CN"/>
              </w:rPr>
              <w:t>脲甲醛：本项目所用为50%脲甲醛溶液，根据厂商提供产品成分分析报告单可知，50%脲甲醛溶液由50%脲甲醛固体份和50%水组成，分析报告单见附件。</w:t>
            </w:r>
          </w:p>
          <w:p>
            <w:pPr>
              <w:ind w:left="0" w:firstLineChars="0" w:firstLine="0"/>
              <w:rPr>
                <w:b w:val="0"/>
                <w:bCs w:val="0"/>
                <w:color w:val="auto"/>
                <w:lang w:val="en-US"/>
              </w:rPr>
            </w:pPr>
            <w:r>
              <w:rPr>
                <w:rFonts w:hint="eastAsia"/>
                <w:b w:val="0"/>
                <w:bCs w:val="0"/>
                <w:color w:val="auto"/>
                <w:lang w:val="en-US" w:eastAsia="zh-CN"/>
              </w:rPr>
              <w:t>脲甲醛是由尿素与甲醛缩合形成的聚合物，又称</w:t>
            </w:r>
            <w:r>
              <w:rPr>
                <w:rFonts w:hint="eastAsia"/>
                <w:b w:val="0"/>
                <w:bCs w:val="0"/>
                <w:color w:val="auto"/>
                <w:lang w:val="en-US" w:eastAsia="zh-CN"/>
              </w:rPr>
              <w:fldChar w:fldCharType="begin"/>
            </w:r>
            <w:r>
              <w:instrText>HYPERLINK "https://baike.baidu.com/item/%E8%84%B2%E9%86%9B%E6%A0%91%E8%84%82/8885364?fromModule=lemma_inlink"</w:instrText>
            </w:r>
            <w:r>
              <w:rPr>
                <w:rFonts w:hint="eastAsia"/>
                <w:b w:val="0"/>
                <w:bCs w:val="0"/>
                <w:color w:val="auto"/>
                <w:lang w:val="en-US" w:eastAsia="zh-CN"/>
              </w:rPr>
              <w:fldChar w:fldCharType="separate"/>
            </w:r>
            <w:r>
              <w:rPr>
                <w:rFonts w:hint="eastAsia"/>
                <w:b w:val="0"/>
                <w:bCs w:val="0"/>
                <w:color w:val="auto"/>
                <w:lang w:val="en-US" w:eastAsia="zh-CN"/>
              </w:rPr>
              <w:t>脲醛树脂</w:t>
            </w:r>
            <w:r>
              <w:rPr>
                <w:rFonts w:hint="eastAsia"/>
                <w:b w:val="0"/>
                <w:bCs w:val="0"/>
                <w:color w:val="auto"/>
                <w:lang w:val="en-US" w:eastAsia="zh-CN"/>
              </w:rPr>
              <w:fldChar w:fldCharType="end"/>
            </w:r>
            <w:r>
              <w:rPr>
                <w:rFonts w:hint="eastAsia"/>
                <w:b w:val="0"/>
                <w:bCs w:val="0"/>
                <w:color w:val="auto"/>
                <w:lang w:val="en-US" w:eastAsia="zh-CN"/>
              </w:rPr>
              <w:t>（UF），其外观为白色无味粉末或颗粒，固体密度约1.30–1.50 g/cm³（20℃），通过调节尿素与甲醛的摩尔比控制缩合度，使氮素在12-16周内通过微生物分解逐步释放，适用于高尔夫球场、草坪及玉米、蔬菜等作物。肥料特性包括控释性、低盐指数及环保降解性，可减少养分流失与烧苗风险。</w:t>
            </w:r>
          </w:p>
          <w:p>
            <w:pPr>
              <w:rPr>
                <w:rFonts w:eastAsia="宋体"/>
                <w:b w:val="0"/>
                <w:bCs w:val="0"/>
                <w:color w:val="auto"/>
                <w:lang w:val="en-US" w:eastAsia="zh-CN"/>
              </w:rPr>
            </w:pPr>
            <w:r>
              <w:rPr>
                <w:rFonts w:hint="eastAsia"/>
                <w:b w:val="0"/>
                <w:bCs w:val="0"/>
                <w:color w:val="auto"/>
                <w:lang w:val="en-US" w:eastAsia="zh-CN"/>
              </w:rPr>
              <w:t>包裹油：涂覆在肥料颗粒外层的‌矿物油或植物油混合物‌，用于溶解防结块剂、增强着色效果并防止结块，可提升肥料光泽度、延长松散性，并提高肥效利用率。本项目所用包裹油主要成分为硬脂酸70%，植物油10%，活性剂（CAS号：</w:t>
            </w:r>
            <w:r>
              <w:rPr>
                <w:rFonts w:hint="eastAsia"/>
                <w:b w:val="0"/>
                <w:bCs w:val="0"/>
                <w:color w:val="auto"/>
                <w:lang w:val="en-US" w:eastAsia="zh-CN"/>
              </w:rPr>
              <w:fldChar w:fldCharType="begin"/>
            </w:r>
            <w:r>
              <w:instrText>HYPERLINK "http://www.ichemistry.cn/chemistry/14960-06-6.htm" \o "45841\" \\t \"http://search.ichemistry.cn/_blank"</w:instrText>
            </w:r>
            <w:r>
              <w:rPr>
                <w:rFonts w:hint="eastAsia"/>
                <w:b w:val="0"/>
                <w:bCs w:val="0"/>
                <w:color w:val="auto"/>
                <w:lang w:val="en-US" w:eastAsia="zh-CN"/>
              </w:rPr>
              <w:fldChar w:fldCharType="separate"/>
            </w:r>
            <w:r>
              <w:rPr>
                <w:rFonts w:hint="eastAsia"/>
                <w:b w:val="0"/>
                <w:bCs w:val="0"/>
                <w:color w:val="auto"/>
                <w:lang w:val="en-US" w:eastAsia="zh-CN"/>
              </w:rPr>
              <w:t>14960-06-6</w:t>
            </w:r>
            <w:r>
              <w:rPr>
                <w:rFonts w:hint="eastAsia"/>
                <w:b w:val="0"/>
                <w:bCs w:val="0"/>
                <w:color w:val="auto"/>
                <w:lang w:val="en-US" w:eastAsia="zh-CN"/>
              </w:rPr>
              <w:fldChar w:fldCharType="end"/>
            </w:r>
            <w:r>
              <w:rPr>
                <w:rFonts w:hint="eastAsia"/>
                <w:b w:val="0"/>
                <w:bCs w:val="0"/>
                <w:color w:val="auto"/>
                <w:lang w:val="en-US" w:eastAsia="zh-CN"/>
              </w:rPr>
              <w:t>主要成分为十二烷基苯磺酸钠）10%，石蜡（CnH</w:t>
            </w:r>
            <w:r>
              <w:rPr>
                <w:rFonts w:hint="eastAsia"/>
                <w:b w:val="0"/>
                <w:bCs w:val="0"/>
                <w:color w:val="auto"/>
                <w:vertAlign w:val="subscript"/>
                <w:lang w:val="en-US" w:eastAsia="zh-CN"/>
              </w:rPr>
              <w:t>2</w:t>
            </w:r>
            <w:r>
              <w:rPr>
                <w:rFonts w:hint="eastAsia"/>
                <w:b w:val="0"/>
                <w:bCs w:val="0"/>
                <w:color w:val="auto"/>
                <w:lang w:val="en-US" w:eastAsia="zh-CN"/>
              </w:rPr>
              <w:t>n+2=24~36，CAS号：</w:t>
            </w:r>
            <w:r>
              <w:rPr>
                <w:rFonts w:hint="eastAsia"/>
                <w:b w:val="0"/>
                <w:bCs w:val="0"/>
                <w:color w:val="auto"/>
                <w:lang w:val="en-US" w:eastAsia="zh-CN"/>
              </w:rPr>
              <w:fldChar w:fldCharType="begin"/>
            </w:r>
            <w:r>
              <w:instrText>HYPERLINK "http://www.ichemistry.cn/chemistry/8002-74-2.htm" \o "25856\" \\t \"http://search.ichemistry.cn/_blank"</w:instrText>
            </w:r>
            <w:r>
              <w:rPr>
                <w:rFonts w:hint="eastAsia"/>
                <w:b w:val="0"/>
                <w:bCs w:val="0"/>
                <w:color w:val="auto"/>
                <w:lang w:val="en-US" w:eastAsia="zh-CN"/>
              </w:rPr>
              <w:fldChar w:fldCharType="separate"/>
            </w:r>
            <w:r>
              <w:rPr>
                <w:rFonts w:hint="eastAsia"/>
                <w:b w:val="0"/>
                <w:bCs w:val="0"/>
                <w:color w:val="auto"/>
                <w:lang w:val="en-US" w:eastAsia="zh-CN"/>
              </w:rPr>
              <w:t>8002-74-2</w:t>
            </w:r>
            <w:r>
              <w:rPr>
                <w:rFonts w:hint="eastAsia"/>
                <w:b w:val="0"/>
                <w:bCs w:val="0"/>
                <w:color w:val="auto"/>
                <w:lang w:val="en-US" w:eastAsia="zh-CN"/>
              </w:rPr>
              <w:fldChar w:fldCharType="end"/>
            </w:r>
            <w:r>
              <w:rPr>
                <w:rFonts w:hint="eastAsia"/>
                <w:b w:val="0"/>
                <w:bCs w:val="0"/>
                <w:color w:val="auto"/>
                <w:lang w:val="en-US" w:eastAsia="zh-CN"/>
              </w:rPr>
              <w:t>）10%，挥发温度为100℃。‌‌</w:t>
            </w:r>
          </w:p>
          <w:p>
            <w:pPr>
              <w:rPr>
                <w:rFonts w:hint="eastAsia"/>
                <w:b w:val="0"/>
                <w:bCs w:val="0"/>
                <w:color w:val="auto"/>
                <w:lang w:val="en-US" w:eastAsia="zh-CN"/>
              </w:rPr>
            </w:pPr>
            <w:r>
              <w:rPr>
                <w:rFonts w:hint="eastAsia"/>
                <w:b w:val="0"/>
                <w:bCs w:val="0"/>
                <w:color w:val="auto"/>
                <w:lang w:val="en-US" w:eastAsia="zh-CN"/>
              </w:rPr>
              <w:t>防结粉：防结块剂（英文名：anti-caking agent），又称流散剂，是用于防止粉末状物质结块的添加剂，主要应用于饲料、化肥、农药及粉末涂料、涂层与塑料薄膜领域 。其外观呈米黄色膏体或白色粉末，化学性质稳定，耐酸碱、高温及硬水。原料包含无机矿物质和有机表面活性剂，通过吸附作用减少颗粒表面水分迁移，降低颗粒间粘连，控制晶型稳定，从而防止结块。本项目所用防结粉主要成分为碳酸钙25%，滑石粉60%，活性剂（CAS号：</w:t>
            </w:r>
            <w:r>
              <w:rPr>
                <w:rFonts w:hint="eastAsia"/>
                <w:b w:val="0"/>
                <w:bCs w:val="0"/>
                <w:color w:val="auto"/>
                <w:lang w:val="en-US" w:eastAsia="zh-CN"/>
              </w:rPr>
              <w:fldChar w:fldCharType="begin"/>
            </w:r>
            <w:r>
              <w:instrText>HYPERLINK "http://www.ichemistry.cn/chemistry/14960-06-6.htm" \o "45841\" \\t \"http://search.ichemistry.cn/_blank"</w:instrText>
            </w:r>
            <w:r>
              <w:rPr>
                <w:rFonts w:hint="eastAsia"/>
                <w:b w:val="0"/>
                <w:bCs w:val="0"/>
                <w:color w:val="auto"/>
                <w:lang w:val="en-US" w:eastAsia="zh-CN"/>
              </w:rPr>
              <w:fldChar w:fldCharType="separate"/>
            </w:r>
            <w:r>
              <w:rPr>
                <w:rFonts w:hint="eastAsia"/>
                <w:b w:val="0"/>
                <w:bCs w:val="0"/>
                <w:color w:val="auto"/>
                <w:lang w:val="en-US" w:eastAsia="zh-CN"/>
              </w:rPr>
              <w:t>14960-06-6</w:t>
            </w:r>
            <w:r>
              <w:rPr>
                <w:rFonts w:hint="eastAsia"/>
                <w:b w:val="0"/>
                <w:bCs w:val="0"/>
                <w:color w:val="auto"/>
                <w:lang w:val="en-US" w:eastAsia="zh-CN"/>
              </w:rPr>
              <w:fldChar w:fldCharType="end"/>
            </w:r>
            <w:r>
              <w:rPr>
                <w:rFonts w:hint="eastAsia"/>
                <w:b w:val="0"/>
                <w:bCs w:val="0"/>
                <w:color w:val="auto"/>
                <w:lang w:val="en-US" w:eastAsia="zh-CN"/>
              </w:rPr>
              <w:t>主要成分为十二烷基苯磺酸钠）10%，二氧化硅5%。</w:t>
            </w:r>
          </w:p>
          <w:p>
            <w:pPr>
              <w:rPr>
                <w:rFonts w:hint="eastAsia"/>
                <w:b w:val="0"/>
                <w:bCs w:val="0"/>
                <w:color w:val="auto"/>
                <w:lang w:val="en-US" w:eastAsia="zh-CN"/>
              </w:rPr>
            </w:pPr>
            <w:r>
              <w:rPr>
                <w:rFonts w:hint="eastAsia"/>
                <w:b w:val="0"/>
                <w:bCs w:val="0"/>
                <w:color w:val="auto"/>
                <w:lang w:val="en-US" w:eastAsia="zh-CN"/>
              </w:rPr>
              <w:t>氢氧化钠：化学式为NaOH，俗称烧碱、火碱、苛性钠，为一种具有强腐蚀性的强碱，一般为片状或块状形态，易溶于水 (溶于水时放热)并形成碱性溶液。</w:t>
            </w:r>
          </w:p>
          <w:p>
            <w:pPr>
              <w:rPr>
                <w:rFonts w:hint="eastAsia"/>
                <w:b w:val="0"/>
                <w:bCs w:val="0"/>
                <w:color w:val="auto"/>
                <w:lang w:val="en-US" w:eastAsia="zh-CN"/>
              </w:rPr>
            </w:pPr>
            <w:r>
              <w:rPr>
                <w:rFonts w:hint="eastAsia"/>
                <w:b w:val="0"/>
                <w:bCs w:val="0"/>
                <w:color w:val="auto"/>
                <w:lang w:val="en-US" w:eastAsia="zh-CN"/>
              </w:rPr>
              <w:t>硫酸：纯品为无色油状液体，密度1.84g/cm3，沸点337℃，熔点10.371℃，能与水以任意比例互溶，同时放出大量的热。浓硫酸有脱水性、强氧化性，稀硫酸能与金属、金属氧化物、碱等物质反应。</w:t>
            </w:r>
          </w:p>
          <w:p>
            <w:pPr>
              <w:rPr>
                <w:rFonts w:hint="eastAsia"/>
                <w:b w:val="0"/>
                <w:bCs w:val="0"/>
                <w:color w:val="auto"/>
                <w:lang w:val="en-US" w:eastAsia="zh-CN"/>
              </w:rPr>
            </w:pPr>
            <w:r>
              <w:rPr>
                <w:rFonts w:hint="eastAsia"/>
                <w:b w:val="0"/>
                <w:bCs w:val="0"/>
                <w:color w:val="auto"/>
                <w:lang w:val="en-US" w:eastAsia="zh-CN"/>
              </w:rPr>
              <w:t>盐酸：无色液体，有腐蚀性，具有刺激性气味。熔点-35 ℃，沸点57℃，相对密度(水=1)：1.20。与水混溶，浓盐酸溶于水有热量放出。与碱液发生中和反应。与活泼金属单质反应生成氢气。与金属氧化物反应生成盐和水。</w:t>
            </w:r>
          </w:p>
          <w:p>
            <w:pPr>
              <w:rPr>
                <w:rFonts w:hint="eastAsia"/>
                <w:b w:val="0"/>
                <w:bCs w:val="0"/>
                <w:color w:val="auto"/>
                <w:lang w:val="en-US" w:eastAsia="zh-CN"/>
              </w:rPr>
            </w:pPr>
            <w:r>
              <w:rPr>
                <w:rFonts w:hint="eastAsia"/>
                <w:b w:val="0"/>
                <w:bCs w:val="0"/>
                <w:color w:val="auto"/>
                <w:lang w:val="en-US" w:eastAsia="zh-CN"/>
              </w:rPr>
              <w:t>硝酸：无色透明溶液，易溶于水，易挥发，相对密度1.41，熔点-42℃，沸点120.5℃。是强氧化性、腐蚀性的强酸，能发生硝化、酯化、氧化还原反应。</w:t>
            </w:r>
          </w:p>
          <w:p>
            <w:pPr>
              <w:rPr>
                <w:b w:val="0"/>
                <w:bCs w:val="0"/>
                <w:color w:val="auto"/>
                <w:lang w:val="en-US" w:eastAsia="zh-CN"/>
              </w:rPr>
            </w:pPr>
            <w:r>
              <w:rPr>
                <w:rFonts w:hint="eastAsia"/>
                <w:b w:val="0"/>
                <w:bCs w:val="0"/>
                <w:color w:val="auto"/>
                <w:lang w:val="en-US" w:eastAsia="zh-CN"/>
              </w:rPr>
              <w:t>丙酮：是一种无色透明液体，有特殊的辛辣气味，易溶于水和甲醇、乙醇、乙醚、氯仿、吡啶等有机溶剂。易燃、易挥发，化学性质较活泼。</w:t>
            </w:r>
          </w:p>
          <w:p>
            <w:pPr>
              <w:rPr>
                <w:rFonts w:hint="eastAsia"/>
                <w:b w:val="0"/>
                <w:bCs w:val="0"/>
                <w:color w:val="auto"/>
                <w:lang w:val="en-US" w:eastAsia="zh-CN"/>
              </w:rPr>
            </w:pPr>
            <w:r>
              <w:rPr>
                <w:rFonts w:hint="eastAsia"/>
                <w:b w:val="0"/>
                <w:bCs w:val="0"/>
                <w:color w:val="auto"/>
                <w:lang w:val="en-US" w:eastAsia="zh-CN"/>
              </w:rPr>
              <w:t>邻苯二甲酸氢钾：是一种有机化合物，分子式是KC</w:t>
            </w:r>
            <w:r>
              <w:rPr>
                <w:rFonts w:hint="eastAsia"/>
                <w:b w:val="0"/>
                <w:bCs w:val="0"/>
                <w:color w:val="auto"/>
                <w:vertAlign w:val="subscript"/>
                <w:lang w:val="en-US" w:eastAsia="zh-CN"/>
              </w:rPr>
              <w:t>8</w:t>
            </w:r>
            <w:r>
              <w:rPr>
                <w:rFonts w:hint="eastAsia"/>
                <w:b w:val="0"/>
                <w:bCs w:val="0"/>
                <w:color w:val="auto"/>
                <w:lang w:val="en-US" w:eastAsia="zh-CN"/>
              </w:rPr>
              <w:t>H</w:t>
            </w:r>
            <w:r>
              <w:rPr>
                <w:rFonts w:hint="eastAsia"/>
                <w:b w:val="0"/>
                <w:bCs w:val="0"/>
                <w:color w:val="auto"/>
                <w:vertAlign w:val="subscript"/>
                <w:lang w:val="en-US" w:eastAsia="zh-CN"/>
              </w:rPr>
              <w:t>5</w:t>
            </w:r>
            <w:r>
              <w:rPr>
                <w:rFonts w:hint="eastAsia"/>
                <w:b w:val="0"/>
                <w:bCs w:val="0"/>
                <w:color w:val="auto"/>
                <w:lang w:val="en-US" w:eastAsia="zh-CN"/>
              </w:rPr>
              <w:t>O</w:t>
            </w:r>
            <w:r>
              <w:rPr>
                <w:rFonts w:hint="eastAsia"/>
                <w:b w:val="0"/>
                <w:bCs w:val="0"/>
                <w:color w:val="auto"/>
                <w:vertAlign w:val="subscript"/>
                <w:lang w:val="en-US" w:eastAsia="zh-CN"/>
              </w:rPr>
              <w:t>4</w:t>
            </w:r>
            <w:r>
              <w:rPr>
                <w:rFonts w:hint="eastAsia"/>
                <w:b w:val="0"/>
                <w:bCs w:val="0"/>
                <w:color w:val="auto"/>
                <w:lang w:val="en-US" w:eastAsia="zh-CN"/>
              </w:rPr>
              <w:t>。呈白色结晶粉末，在空气中稳定，能溶于水，微溶于醇，用作pH测定的缓冲剂、分析基准物质。</w:t>
            </w:r>
          </w:p>
          <w:p>
            <w:pPr>
              <w:rPr>
                <w:rFonts w:hint="eastAsia"/>
                <w:b w:val="0"/>
                <w:bCs w:val="0"/>
                <w:color w:val="auto"/>
                <w:lang w:val="en-US" w:eastAsia="zh-CN"/>
              </w:rPr>
            </w:pPr>
            <w:r>
              <w:rPr>
                <w:rFonts w:hint="eastAsia"/>
                <w:b w:val="0"/>
                <w:bCs w:val="0"/>
                <w:color w:val="auto"/>
                <w:lang w:val="en-US" w:eastAsia="zh-CN"/>
              </w:rPr>
              <w:t>乙二胺四乙酸二钠：（Ethylenediaminetetraacetic acid disodium salt，简称EDTA-2Na），为无味、无臭或微咸的白色或乳白色结晶或颗粒状粉末是化学中一种良好的配合剂。化学式为C</w:t>
            </w:r>
            <w:r>
              <w:rPr>
                <w:rFonts w:hint="eastAsia"/>
                <w:b w:val="0"/>
                <w:bCs w:val="0"/>
                <w:color w:val="auto"/>
                <w:vertAlign w:val="subscript"/>
                <w:lang w:val="en-US" w:eastAsia="zh-CN"/>
              </w:rPr>
              <w:t>10</w:t>
            </w:r>
            <w:r>
              <w:rPr>
                <w:rFonts w:hint="eastAsia"/>
                <w:b w:val="0"/>
                <w:bCs w:val="0"/>
                <w:color w:val="auto"/>
                <w:lang w:val="en-US" w:eastAsia="zh-CN"/>
              </w:rPr>
              <w:t>H</w:t>
            </w:r>
            <w:r>
              <w:rPr>
                <w:rFonts w:hint="eastAsia"/>
                <w:b w:val="0"/>
                <w:bCs w:val="0"/>
                <w:color w:val="auto"/>
                <w:vertAlign w:val="subscript"/>
                <w:lang w:val="en-US" w:eastAsia="zh-CN"/>
              </w:rPr>
              <w:t>14</w:t>
            </w:r>
            <w:r>
              <w:rPr>
                <w:rFonts w:hint="eastAsia"/>
                <w:b w:val="0"/>
                <w:bCs w:val="0"/>
                <w:color w:val="auto"/>
                <w:lang w:val="en-US" w:eastAsia="zh-CN"/>
              </w:rPr>
              <w:t>N</w:t>
            </w:r>
            <w:r>
              <w:rPr>
                <w:rFonts w:hint="eastAsia"/>
                <w:b w:val="0"/>
                <w:bCs w:val="0"/>
                <w:color w:val="auto"/>
                <w:vertAlign w:val="subscript"/>
                <w:lang w:val="en-US" w:eastAsia="zh-CN"/>
              </w:rPr>
              <w:t>2</w:t>
            </w:r>
            <w:r>
              <w:rPr>
                <w:rFonts w:hint="eastAsia"/>
                <w:b w:val="0"/>
                <w:bCs w:val="0"/>
                <w:color w:val="auto"/>
                <w:lang w:val="en-US" w:eastAsia="zh-CN"/>
              </w:rPr>
              <w:t>Na</w:t>
            </w:r>
            <w:r>
              <w:rPr>
                <w:rFonts w:hint="eastAsia"/>
                <w:b w:val="0"/>
                <w:bCs w:val="0"/>
                <w:color w:val="auto"/>
                <w:vertAlign w:val="subscript"/>
                <w:lang w:val="en-US" w:eastAsia="zh-CN"/>
              </w:rPr>
              <w:t>2</w:t>
            </w:r>
            <w:r>
              <w:rPr>
                <w:rFonts w:hint="eastAsia"/>
                <w:b w:val="0"/>
                <w:bCs w:val="0"/>
                <w:color w:val="auto"/>
                <w:lang w:val="en-US" w:eastAsia="zh-CN"/>
              </w:rPr>
              <w:t>O</w:t>
            </w:r>
            <w:r>
              <w:rPr>
                <w:rFonts w:hint="eastAsia"/>
                <w:b w:val="0"/>
                <w:bCs w:val="0"/>
                <w:color w:val="auto"/>
                <w:vertAlign w:val="subscript"/>
                <w:lang w:val="en-US" w:eastAsia="zh-CN"/>
              </w:rPr>
              <w:t>8</w:t>
            </w:r>
            <w:r>
              <w:rPr>
                <w:rFonts w:hint="eastAsia"/>
                <w:b w:val="0"/>
                <w:bCs w:val="0"/>
                <w:color w:val="auto"/>
                <w:lang w:val="en-US" w:eastAsia="zh-CN"/>
              </w:rPr>
              <w:t>，分子量为336.206，其分子结构中含有六个配位原子（两个氮原子和四个氧原子），可与金属离子形成稳定的螯合物，在染料、食品、药品等工业上有重要用途。</w:t>
            </w:r>
          </w:p>
          <w:p>
            <w:pPr>
              <w:rPr>
                <w:rFonts w:hint="eastAsia"/>
                <w:b w:val="0"/>
                <w:bCs w:val="0"/>
                <w:color w:val="auto"/>
                <w:lang w:val="en-US" w:eastAsia="zh-CN"/>
              </w:rPr>
            </w:pPr>
            <w:r>
              <w:rPr>
                <w:rFonts w:hint="eastAsia"/>
                <w:b w:val="0"/>
                <w:bCs w:val="0"/>
                <w:color w:val="auto"/>
                <w:lang w:val="en-US" w:eastAsia="zh-CN"/>
              </w:rPr>
              <w:t>四苯硼钠：是一种有机化合物，分子式为C</w:t>
            </w:r>
            <w:r>
              <w:rPr>
                <w:rFonts w:hint="eastAsia"/>
                <w:b w:val="0"/>
                <w:bCs w:val="0"/>
                <w:color w:val="auto"/>
                <w:vertAlign w:val="subscript"/>
                <w:lang w:val="en-US" w:eastAsia="zh-CN"/>
              </w:rPr>
              <w:t>24</w:t>
            </w:r>
            <w:r>
              <w:rPr>
                <w:rFonts w:hint="eastAsia"/>
                <w:b w:val="0"/>
                <w:bCs w:val="0"/>
                <w:color w:val="auto"/>
                <w:lang w:val="en-US" w:eastAsia="zh-CN"/>
              </w:rPr>
              <w:t>H</w:t>
            </w:r>
            <w:r>
              <w:rPr>
                <w:rFonts w:hint="eastAsia"/>
                <w:b w:val="0"/>
                <w:bCs w:val="0"/>
                <w:color w:val="auto"/>
                <w:vertAlign w:val="subscript"/>
                <w:lang w:val="en-US" w:eastAsia="zh-CN"/>
              </w:rPr>
              <w:t>20</w:t>
            </w:r>
            <w:r>
              <w:rPr>
                <w:rFonts w:hint="eastAsia"/>
                <w:b w:val="0"/>
                <w:bCs w:val="0"/>
                <w:color w:val="auto"/>
                <w:lang w:val="en-US" w:eastAsia="zh-CN"/>
              </w:rPr>
              <w:t>BNa，白色固体，无气味，变质品有</w:t>
            </w:r>
            <w:r>
              <w:rPr>
                <w:rFonts w:hint="eastAsia"/>
                <w:b w:val="0"/>
                <w:bCs w:val="0"/>
                <w:color w:val="auto"/>
                <w:lang w:val="en-US" w:eastAsia="zh-CN"/>
              </w:rPr>
              <w:fldChar w:fldCharType="begin"/>
            </w:r>
            <w:r>
              <w:instrText>HYPERLINK "https://baike.baidu.com/item/%E8%8B%AF%E8%83%BA/1466870?fromModule=lemma_inlink"</w:instrText>
            </w:r>
            <w:r>
              <w:rPr>
                <w:rFonts w:hint="eastAsia"/>
                <w:b w:val="0"/>
                <w:bCs w:val="0"/>
                <w:color w:val="auto"/>
                <w:lang w:val="en-US" w:eastAsia="zh-CN"/>
              </w:rPr>
              <w:fldChar w:fldCharType="separate"/>
            </w:r>
            <w:r>
              <w:rPr>
                <w:rFonts w:hint="eastAsia"/>
                <w:b w:val="0"/>
                <w:bCs w:val="0"/>
                <w:color w:val="auto"/>
                <w:lang w:val="en-US" w:eastAsia="zh-CN"/>
              </w:rPr>
              <w:t>苯胺</w:t>
            </w:r>
            <w:r>
              <w:rPr>
                <w:rFonts w:hint="eastAsia"/>
                <w:b w:val="0"/>
                <w:bCs w:val="0"/>
                <w:color w:val="auto"/>
                <w:lang w:val="en-US" w:eastAsia="zh-CN"/>
              </w:rPr>
              <w:fldChar w:fldCharType="end"/>
            </w:r>
            <w:r>
              <w:rPr>
                <w:rFonts w:hint="eastAsia"/>
                <w:b w:val="0"/>
                <w:bCs w:val="0"/>
                <w:color w:val="auto"/>
                <w:lang w:val="en-US" w:eastAsia="zh-CN"/>
              </w:rPr>
              <w:t>气味。溶于水，用于鉴定钾离子。可溶于</w:t>
            </w:r>
            <w:r>
              <w:rPr>
                <w:rFonts w:hint="eastAsia"/>
                <w:b w:val="0"/>
                <w:bCs w:val="0"/>
                <w:color w:val="auto"/>
                <w:lang w:val="en-US" w:eastAsia="zh-CN"/>
              </w:rPr>
              <w:fldChar w:fldCharType="begin"/>
            </w:r>
            <w:r>
              <w:instrText>HYPERLINK "https://baike.baidu.com/item/%E6%B0%B4/0?fromModule=lemma_inlink"</w:instrText>
            </w:r>
            <w:r>
              <w:rPr>
                <w:rFonts w:hint="eastAsia"/>
                <w:b w:val="0"/>
                <w:bCs w:val="0"/>
                <w:color w:val="auto"/>
                <w:lang w:val="en-US" w:eastAsia="zh-CN"/>
              </w:rPr>
              <w:fldChar w:fldCharType="separate"/>
            </w:r>
            <w:r>
              <w:rPr>
                <w:rFonts w:hint="eastAsia"/>
                <w:b w:val="0"/>
                <w:bCs w:val="0"/>
                <w:color w:val="auto"/>
                <w:lang w:val="en-US" w:eastAsia="zh-CN"/>
              </w:rPr>
              <w:t>水</w:t>
            </w:r>
            <w:r>
              <w:rPr>
                <w:rFonts w:hint="eastAsia"/>
                <w:b w:val="0"/>
                <w:bCs w:val="0"/>
                <w:color w:val="auto"/>
                <w:lang w:val="en-US" w:eastAsia="zh-CN"/>
              </w:rPr>
              <w:fldChar w:fldCharType="end"/>
            </w:r>
            <w:r>
              <w:rPr>
                <w:rFonts w:hint="eastAsia"/>
                <w:b w:val="0"/>
                <w:bCs w:val="0"/>
                <w:color w:val="auto"/>
                <w:lang w:val="en-US" w:eastAsia="zh-CN"/>
              </w:rPr>
              <w:t>、乙醇、甲醇、乙醇和</w:t>
            </w:r>
            <w:r>
              <w:rPr>
                <w:rFonts w:hint="eastAsia"/>
                <w:b w:val="0"/>
                <w:bCs w:val="0"/>
                <w:color w:val="auto"/>
                <w:lang w:val="en-US" w:eastAsia="zh-CN"/>
              </w:rPr>
              <w:fldChar w:fldCharType="begin"/>
            </w:r>
            <w:r>
              <w:instrText>HYPERLINK "https://baike.baidu.com/item/%E4%B8%99%E9%85%AE/955883?fromModule=lemma_inlink"</w:instrText>
            </w:r>
            <w:r>
              <w:rPr>
                <w:rFonts w:hint="eastAsia"/>
                <w:b w:val="0"/>
                <w:bCs w:val="0"/>
                <w:color w:val="auto"/>
                <w:lang w:val="en-US" w:eastAsia="zh-CN"/>
              </w:rPr>
              <w:fldChar w:fldCharType="separate"/>
            </w:r>
            <w:r>
              <w:rPr>
                <w:rFonts w:hint="eastAsia"/>
                <w:b w:val="0"/>
                <w:bCs w:val="0"/>
                <w:color w:val="auto"/>
                <w:lang w:val="en-US" w:eastAsia="zh-CN"/>
              </w:rPr>
              <w:t>丙酮</w:t>
            </w:r>
            <w:r>
              <w:rPr>
                <w:rFonts w:hint="eastAsia"/>
                <w:b w:val="0"/>
                <w:bCs w:val="0"/>
                <w:color w:val="auto"/>
                <w:lang w:val="en-US" w:eastAsia="zh-CN"/>
              </w:rPr>
              <w:fldChar w:fldCharType="end"/>
            </w:r>
            <w:r>
              <w:rPr>
                <w:rFonts w:hint="eastAsia"/>
                <w:b w:val="0"/>
                <w:bCs w:val="0"/>
                <w:color w:val="auto"/>
                <w:lang w:val="en-US" w:eastAsia="zh-CN"/>
              </w:rPr>
              <w:t>，</w:t>
            </w:r>
            <w:r>
              <w:rPr>
                <w:rFonts w:hint="eastAsia"/>
                <w:b w:val="0"/>
                <w:bCs w:val="0"/>
                <w:color w:val="auto"/>
                <w:lang w:val="en-US" w:eastAsia="zh-CN"/>
              </w:rPr>
              <w:fldChar w:fldCharType="begin"/>
            </w:r>
            <w:r>
              <w:instrText>HYPERLINK "https://baike.baidu.com/item/%E5%BE%AE%E6%BA%B6/6001808?fromModule=lemma_inlink"</w:instrText>
            </w:r>
            <w:r>
              <w:rPr>
                <w:rFonts w:hint="eastAsia"/>
                <w:b w:val="0"/>
                <w:bCs w:val="0"/>
                <w:color w:val="auto"/>
                <w:lang w:val="en-US" w:eastAsia="zh-CN"/>
              </w:rPr>
              <w:fldChar w:fldCharType="separate"/>
            </w:r>
            <w:r>
              <w:rPr>
                <w:rFonts w:hint="eastAsia"/>
                <w:b w:val="0"/>
                <w:bCs w:val="0"/>
                <w:color w:val="auto"/>
                <w:lang w:val="en-US" w:eastAsia="zh-CN"/>
              </w:rPr>
              <w:t>微溶</w:t>
            </w:r>
            <w:r>
              <w:rPr>
                <w:rFonts w:hint="eastAsia"/>
                <w:b w:val="0"/>
                <w:bCs w:val="0"/>
                <w:color w:val="auto"/>
                <w:lang w:val="en-US" w:eastAsia="zh-CN"/>
              </w:rPr>
              <w:fldChar w:fldCharType="end"/>
            </w:r>
            <w:r>
              <w:rPr>
                <w:rFonts w:hint="eastAsia"/>
                <w:b w:val="0"/>
                <w:bCs w:val="0"/>
                <w:color w:val="auto"/>
                <w:lang w:val="en-US" w:eastAsia="zh-CN"/>
              </w:rPr>
              <w:t>于</w:t>
            </w:r>
            <w:r>
              <w:rPr>
                <w:rFonts w:hint="eastAsia"/>
                <w:b w:val="0"/>
                <w:bCs w:val="0"/>
                <w:color w:val="auto"/>
                <w:lang w:val="en-US" w:eastAsia="zh-CN"/>
              </w:rPr>
              <w:fldChar w:fldCharType="begin"/>
            </w:r>
            <w:r>
              <w:instrText>HYPERLINK "https://baike.baidu.com/item/%E8%8B%AF/585785?fromModule=lemma_inlink"</w:instrText>
            </w:r>
            <w:r>
              <w:rPr>
                <w:rFonts w:hint="eastAsia"/>
                <w:b w:val="0"/>
                <w:bCs w:val="0"/>
                <w:color w:val="auto"/>
                <w:lang w:val="en-US" w:eastAsia="zh-CN"/>
              </w:rPr>
              <w:fldChar w:fldCharType="separate"/>
            </w:r>
            <w:r>
              <w:rPr>
                <w:rFonts w:hint="eastAsia"/>
                <w:b w:val="0"/>
                <w:bCs w:val="0"/>
                <w:color w:val="auto"/>
                <w:lang w:val="en-US" w:eastAsia="zh-CN"/>
              </w:rPr>
              <w:t>苯</w:t>
            </w:r>
            <w:r>
              <w:rPr>
                <w:rFonts w:hint="eastAsia"/>
                <w:b w:val="0"/>
                <w:bCs w:val="0"/>
                <w:color w:val="auto"/>
                <w:lang w:val="en-US" w:eastAsia="zh-CN"/>
              </w:rPr>
              <w:fldChar w:fldCharType="end"/>
            </w:r>
            <w:r>
              <w:rPr>
                <w:rFonts w:hint="eastAsia"/>
                <w:b w:val="0"/>
                <w:bCs w:val="0"/>
                <w:color w:val="auto"/>
                <w:lang w:val="en-US" w:eastAsia="zh-CN"/>
              </w:rPr>
              <w:t>和</w:t>
            </w:r>
            <w:r>
              <w:rPr>
                <w:rFonts w:hint="eastAsia"/>
                <w:b w:val="0"/>
                <w:bCs w:val="0"/>
                <w:color w:val="auto"/>
                <w:lang w:val="en-US" w:eastAsia="zh-CN"/>
              </w:rPr>
              <w:fldChar w:fldCharType="begin"/>
            </w:r>
            <w:r>
              <w:instrText>HYPERLINK "https://baike.baidu.com/item/%E6%B0%AF%E4%BB%BF/521847?fromModule=lemma_inlink"</w:instrText>
            </w:r>
            <w:r>
              <w:rPr>
                <w:rFonts w:hint="eastAsia"/>
                <w:b w:val="0"/>
                <w:bCs w:val="0"/>
                <w:color w:val="auto"/>
                <w:lang w:val="en-US" w:eastAsia="zh-CN"/>
              </w:rPr>
              <w:fldChar w:fldCharType="separate"/>
            </w:r>
            <w:r>
              <w:rPr>
                <w:rFonts w:hint="eastAsia"/>
                <w:b w:val="0"/>
                <w:bCs w:val="0"/>
                <w:color w:val="auto"/>
                <w:lang w:val="en-US" w:eastAsia="zh-CN"/>
              </w:rPr>
              <w:t>氯仿</w:t>
            </w:r>
            <w:r>
              <w:rPr>
                <w:rFonts w:hint="eastAsia"/>
                <w:b w:val="0"/>
                <w:bCs w:val="0"/>
                <w:color w:val="auto"/>
                <w:lang w:val="en-US" w:eastAsia="zh-CN"/>
              </w:rPr>
              <w:fldChar w:fldCharType="end"/>
            </w:r>
            <w:r>
              <w:rPr>
                <w:rFonts w:hint="eastAsia"/>
                <w:b w:val="0"/>
                <w:bCs w:val="0"/>
                <w:color w:val="auto"/>
                <w:lang w:val="en-US" w:eastAsia="zh-CN"/>
              </w:rPr>
              <w:t>，几乎不溶于</w:t>
            </w:r>
            <w:r>
              <w:rPr>
                <w:rFonts w:hint="eastAsia"/>
                <w:b w:val="0"/>
                <w:bCs w:val="0"/>
                <w:color w:val="auto"/>
                <w:lang w:val="en-US" w:eastAsia="zh-CN"/>
              </w:rPr>
              <w:fldChar w:fldCharType="begin"/>
            </w:r>
            <w:r>
              <w:instrText>HYPERLINK "https://baike.baidu.com/item/%E7%9F%B3%E6%B2%B9%E9%86%9A/2519986?fromModule=lemma_inlink"</w:instrText>
            </w:r>
            <w:r>
              <w:rPr>
                <w:rFonts w:hint="eastAsia"/>
                <w:b w:val="0"/>
                <w:bCs w:val="0"/>
                <w:color w:val="auto"/>
                <w:lang w:val="en-US" w:eastAsia="zh-CN"/>
              </w:rPr>
              <w:fldChar w:fldCharType="separate"/>
            </w:r>
            <w:r>
              <w:rPr>
                <w:rFonts w:hint="eastAsia"/>
                <w:b w:val="0"/>
                <w:bCs w:val="0"/>
                <w:color w:val="auto"/>
                <w:lang w:val="en-US" w:eastAsia="zh-CN"/>
              </w:rPr>
              <w:t>石油醚</w:t>
            </w:r>
            <w:r>
              <w:rPr>
                <w:rFonts w:hint="eastAsia"/>
                <w:b w:val="0"/>
                <w:bCs w:val="0"/>
                <w:color w:val="auto"/>
                <w:lang w:val="en-US" w:eastAsia="zh-CN"/>
              </w:rPr>
              <w:fldChar w:fldCharType="end"/>
            </w:r>
            <w:r>
              <w:rPr>
                <w:rFonts w:hint="eastAsia"/>
                <w:b w:val="0"/>
                <w:bCs w:val="0"/>
                <w:color w:val="auto"/>
                <w:lang w:val="en-US" w:eastAsia="zh-CN"/>
              </w:rPr>
              <w:t>。微吸湿，在</w:t>
            </w:r>
            <w:r>
              <w:rPr>
                <w:rFonts w:hint="eastAsia"/>
                <w:b w:val="0"/>
                <w:bCs w:val="0"/>
                <w:color w:val="auto"/>
                <w:lang w:val="en-US" w:eastAsia="zh-CN"/>
              </w:rPr>
              <w:fldChar w:fldCharType="begin"/>
            </w:r>
            <w:r>
              <w:instrText>HYPERLINK "https://baike.baidu.com/item/%E6%B0%B4%E6%BA%B6%E6%B6%B2/5296839?fromModule=lemma_inlink"</w:instrText>
            </w:r>
            <w:r>
              <w:rPr>
                <w:rFonts w:hint="eastAsia"/>
                <w:b w:val="0"/>
                <w:bCs w:val="0"/>
                <w:color w:val="auto"/>
                <w:lang w:val="en-US" w:eastAsia="zh-CN"/>
              </w:rPr>
              <w:fldChar w:fldCharType="separate"/>
            </w:r>
            <w:r>
              <w:rPr>
                <w:rFonts w:hint="eastAsia"/>
                <w:b w:val="0"/>
                <w:bCs w:val="0"/>
                <w:color w:val="auto"/>
                <w:lang w:val="en-US" w:eastAsia="zh-CN"/>
              </w:rPr>
              <w:t>水溶液</w:t>
            </w:r>
            <w:r>
              <w:rPr>
                <w:rFonts w:hint="eastAsia"/>
                <w:b w:val="0"/>
                <w:bCs w:val="0"/>
                <w:color w:val="auto"/>
                <w:lang w:val="en-US" w:eastAsia="zh-CN"/>
              </w:rPr>
              <w:fldChar w:fldCharType="end"/>
            </w:r>
            <w:r>
              <w:rPr>
                <w:rFonts w:hint="eastAsia"/>
                <w:b w:val="0"/>
                <w:bCs w:val="0"/>
                <w:color w:val="auto"/>
                <w:lang w:val="en-US" w:eastAsia="zh-CN"/>
              </w:rPr>
              <w:t>中逐渐分解而浑浊（固体较稳定）。水溶液pH调节到约5时，可以在室温中保存（在45℃保存5d而不变质）。</w:t>
            </w:r>
          </w:p>
          <w:p>
            <w:pPr>
              <w:rPr>
                <w:b w:val="0"/>
                <w:bCs w:val="0"/>
                <w:color w:val="auto"/>
                <w:lang w:val="en-US" w:eastAsia="zh-CN"/>
              </w:rPr>
            </w:pPr>
            <w:r>
              <w:rPr>
                <w:rFonts w:hint="eastAsia"/>
                <w:b w:val="0"/>
                <w:bCs w:val="0"/>
                <w:color w:val="auto"/>
                <w:lang w:val="en-US" w:eastAsia="zh-CN"/>
              </w:rPr>
              <w:t>柠檬酸：柠檬酸（CA），又名</w:t>
            </w:r>
            <w:r>
              <w:rPr>
                <w:rFonts w:hint="eastAsia"/>
                <w:b w:val="0"/>
                <w:bCs w:val="0"/>
                <w:color w:val="auto"/>
                <w:lang w:val="en-US" w:eastAsia="zh-CN"/>
              </w:rPr>
              <w:fldChar w:fldCharType="begin"/>
            </w:r>
            <w:r>
              <w:instrText>HYPERLINK "https://baike.baidu.com/item/%E6%9E%B8%E6%A9%BC%E9%85%B8/1188933?fromModule=lemma_inlink"</w:instrText>
            </w:r>
            <w:r>
              <w:rPr>
                <w:rFonts w:hint="eastAsia"/>
                <w:b w:val="0"/>
                <w:bCs w:val="0"/>
                <w:color w:val="auto"/>
                <w:lang w:val="en-US" w:eastAsia="zh-CN"/>
              </w:rPr>
              <w:fldChar w:fldCharType="separate"/>
            </w:r>
            <w:r>
              <w:rPr>
                <w:rFonts w:hint="eastAsia"/>
                <w:b w:val="0"/>
                <w:bCs w:val="0"/>
                <w:color w:val="auto"/>
                <w:lang w:val="en-US" w:eastAsia="zh-CN"/>
              </w:rPr>
              <w:t>枸橼酸</w:t>
            </w:r>
            <w:r>
              <w:rPr>
                <w:rFonts w:hint="eastAsia"/>
                <w:b w:val="0"/>
                <w:bCs w:val="0"/>
                <w:color w:val="auto"/>
                <w:lang w:val="en-US" w:eastAsia="zh-CN"/>
              </w:rPr>
              <w:fldChar w:fldCharType="end"/>
            </w:r>
            <w:r>
              <w:rPr>
                <w:rFonts w:hint="eastAsia"/>
                <w:b w:val="0"/>
                <w:bCs w:val="0"/>
                <w:color w:val="auto"/>
                <w:lang w:val="en-US" w:eastAsia="zh-CN"/>
              </w:rPr>
              <w:t>，分子式为C</w:t>
            </w:r>
            <w:r>
              <w:rPr>
                <w:rFonts w:hint="eastAsia"/>
                <w:b w:val="0"/>
                <w:bCs w:val="0"/>
                <w:color w:val="auto"/>
                <w:vertAlign w:val="subscript"/>
                <w:lang w:val="en-US" w:eastAsia="zh-CN"/>
              </w:rPr>
              <w:t>6</w:t>
            </w:r>
            <w:r>
              <w:rPr>
                <w:rFonts w:hint="eastAsia"/>
                <w:b w:val="0"/>
                <w:bCs w:val="0"/>
                <w:color w:val="auto"/>
                <w:lang w:val="en-US" w:eastAsia="zh-CN"/>
              </w:rPr>
              <w:t>H</w:t>
            </w:r>
            <w:r>
              <w:rPr>
                <w:rFonts w:hint="eastAsia"/>
                <w:b w:val="0"/>
                <w:bCs w:val="0"/>
                <w:color w:val="auto"/>
                <w:vertAlign w:val="subscript"/>
                <w:lang w:val="en-US" w:eastAsia="zh-CN"/>
              </w:rPr>
              <w:t>8</w:t>
            </w:r>
            <w:r>
              <w:rPr>
                <w:rFonts w:hint="eastAsia"/>
                <w:b w:val="0"/>
                <w:bCs w:val="0"/>
                <w:color w:val="auto"/>
                <w:lang w:val="en-US" w:eastAsia="zh-CN"/>
              </w:rPr>
              <w:t>O</w:t>
            </w:r>
            <w:r>
              <w:rPr>
                <w:rFonts w:hint="eastAsia"/>
                <w:b w:val="0"/>
                <w:bCs w:val="0"/>
                <w:color w:val="auto"/>
                <w:vertAlign w:val="subscript"/>
                <w:lang w:val="en-US" w:eastAsia="zh-CN"/>
              </w:rPr>
              <w:t>7</w:t>
            </w:r>
            <w:r>
              <w:rPr>
                <w:rFonts w:hint="eastAsia"/>
                <w:b w:val="0"/>
                <w:bCs w:val="0"/>
                <w:color w:val="auto"/>
                <w:lang w:val="en-US" w:eastAsia="zh-CN"/>
              </w:rPr>
              <w:t>，是一种重要的有机弱酸，为无色晶体，无臭，易溶于水，溶液显酸性。在生物化学中，它是柠檬酸循环（三羧酸循环）的中间体，柠檬酸循环发生在所有需氧生物的新陈代谢中。柠檬酸被广泛用作酸度调节剂（GB2760—2014）、调味剂和</w:t>
            </w:r>
            <w:r>
              <w:rPr>
                <w:rFonts w:hint="eastAsia"/>
                <w:b w:val="0"/>
                <w:bCs w:val="0"/>
                <w:color w:val="auto"/>
                <w:lang w:val="en-US" w:eastAsia="zh-CN"/>
              </w:rPr>
              <w:fldChar w:fldCharType="begin"/>
            </w:r>
            <w:r>
              <w:instrText>HYPERLINK "https://baike.baidu.com/item/%E8%9E%AF%E5%90%88%E5%89%82/10776165?fromModule=lemma_inlink"</w:instrText>
            </w:r>
            <w:r>
              <w:rPr>
                <w:rFonts w:hint="eastAsia"/>
                <w:b w:val="0"/>
                <w:bCs w:val="0"/>
                <w:color w:val="auto"/>
                <w:lang w:val="en-US" w:eastAsia="zh-CN"/>
              </w:rPr>
              <w:fldChar w:fldCharType="separate"/>
            </w:r>
            <w:r>
              <w:rPr>
                <w:rFonts w:hint="eastAsia"/>
                <w:b w:val="0"/>
                <w:bCs w:val="0"/>
                <w:color w:val="auto"/>
                <w:lang w:val="en-US" w:eastAsia="zh-CN"/>
              </w:rPr>
              <w:t>螯合剂</w:t>
            </w:r>
            <w:r>
              <w:rPr>
                <w:rFonts w:hint="eastAsia"/>
                <w:b w:val="0"/>
                <w:bCs w:val="0"/>
                <w:color w:val="auto"/>
                <w:lang w:val="en-US" w:eastAsia="zh-CN"/>
              </w:rPr>
              <w:fldChar w:fldCharType="end"/>
            </w:r>
            <w:r>
              <w:rPr>
                <w:rFonts w:hint="eastAsia"/>
                <w:b w:val="0"/>
                <w:bCs w:val="0"/>
                <w:color w:val="auto"/>
                <w:lang w:val="en-US" w:eastAsia="zh-CN"/>
              </w:rPr>
              <w:t>。</w:t>
            </w:r>
          </w:p>
          <w:p>
            <w:pPr>
              <w:rPr>
                <w:rFonts w:hint="eastAsia"/>
                <w:b w:val="0"/>
                <w:bCs w:val="0"/>
                <w:color w:val="auto"/>
                <w:lang w:val="en-US" w:eastAsia="zh-CN"/>
              </w:rPr>
            </w:pPr>
            <w:r>
              <w:rPr>
                <w:rFonts w:hint="eastAsia"/>
                <w:b w:val="0"/>
                <w:bCs w:val="0"/>
                <w:color w:val="auto"/>
                <w:lang w:val="en-US" w:eastAsia="zh-CN"/>
              </w:rPr>
              <w:t>钼酸钠：（英文名：sodium molybdate），一种无机盐类化合物，化学式为Na</w:t>
            </w:r>
            <w:r>
              <w:rPr>
                <w:rFonts w:hint="eastAsia"/>
                <w:b w:val="0"/>
                <w:bCs w:val="0"/>
                <w:color w:val="auto"/>
                <w:vertAlign w:val="subscript"/>
                <w:lang w:val="en-US" w:eastAsia="zh-CN"/>
              </w:rPr>
              <w:t>2</w:t>
            </w:r>
            <w:r>
              <w:rPr>
                <w:rFonts w:hint="eastAsia"/>
                <w:b w:val="0"/>
                <w:bCs w:val="0"/>
                <w:color w:val="auto"/>
                <w:lang w:val="en-US" w:eastAsia="zh-CN"/>
              </w:rPr>
              <w:t>MoO</w:t>
            </w:r>
            <w:r>
              <w:rPr>
                <w:rFonts w:hint="eastAsia"/>
                <w:b w:val="0"/>
                <w:bCs w:val="0"/>
                <w:color w:val="auto"/>
                <w:vertAlign w:val="subscript"/>
                <w:lang w:val="en-US" w:eastAsia="zh-CN"/>
              </w:rPr>
              <w:t>4</w:t>
            </w:r>
            <w:r>
              <w:rPr>
                <w:rFonts w:hint="eastAsia"/>
                <w:b w:val="0"/>
                <w:bCs w:val="0"/>
                <w:color w:val="auto"/>
                <w:lang w:val="en-US" w:eastAsia="zh-CN"/>
              </w:rPr>
              <w:t>，相对分子量为205.92。常见形态为无色片状有光泽的结晶或白色粉末，密度为3.78g/cm3，熔点为687℃，100℃时水中溶解度为84g/100mL，水溶液呈碱性，25℃时5%水溶液的pH为9.0~10.0。钼酸钠与其他金属（如钡、银、铅）盐可发生复分解反应生成不溶于水的沉淀。</w:t>
            </w:r>
          </w:p>
          <w:p>
            <w:pPr>
              <w:rPr>
                <w:b w:val="0"/>
                <w:bCs w:val="0"/>
                <w:color w:val="auto"/>
                <w:lang w:val="en-US" w:eastAsia="zh-CN"/>
              </w:rPr>
            </w:pPr>
            <w:r>
              <w:rPr>
                <w:rFonts w:hint="eastAsia"/>
                <w:b w:val="0"/>
                <w:bCs w:val="0"/>
                <w:color w:val="auto"/>
                <w:lang w:val="en-US" w:eastAsia="zh-CN"/>
              </w:rPr>
              <w:t>硫酸铜：硫酸铜（CuSO4），是一种广泛应用于工业生产和科学研究的无机化合物。该化合物的常见存在形式为五水合硫酸铜（CuSO</w:t>
            </w:r>
            <w:r>
              <w:rPr>
                <w:rFonts w:hint="eastAsia"/>
                <w:b w:val="0"/>
                <w:bCs w:val="0"/>
                <w:color w:val="auto"/>
                <w:vertAlign w:val="subscript"/>
                <w:lang w:val="en-US" w:eastAsia="zh-CN"/>
              </w:rPr>
              <w:t>4</w:t>
            </w:r>
            <w:r>
              <w:rPr>
                <w:rFonts w:hint="eastAsia"/>
                <w:b w:val="0"/>
                <w:bCs w:val="0"/>
                <w:color w:val="auto"/>
                <w:lang w:val="en-US" w:eastAsia="zh-CN"/>
              </w:rPr>
              <w:t>·5H</w:t>
            </w:r>
            <w:r>
              <w:rPr>
                <w:rFonts w:hint="eastAsia"/>
                <w:b w:val="0"/>
                <w:bCs w:val="0"/>
                <w:color w:val="auto"/>
                <w:vertAlign w:val="subscript"/>
                <w:lang w:val="en-US" w:eastAsia="zh-CN"/>
              </w:rPr>
              <w:t>2</w:t>
            </w:r>
            <w:r>
              <w:rPr>
                <w:rFonts w:hint="eastAsia"/>
                <w:b w:val="0"/>
                <w:bCs w:val="0"/>
                <w:color w:val="auto"/>
                <w:lang w:val="en-US" w:eastAsia="zh-CN"/>
              </w:rPr>
              <w:t>O），为蓝色晶体，俗称蓝矾。该物质在干燥条件下会失去结晶水，变为白色或灰白色粉末状的无水硫酸铜。</w:t>
            </w:r>
          </w:p>
          <w:p>
            <w:pPr>
              <w:rPr>
                <w:b/>
                <w:bCs/>
                <w:color w:val="auto"/>
              </w:rPr>
            </w:pPr>
            <w:r>
              <w:rPr>
                <w:b/>
                <w:bCs/>
                <w:color w:val="auto"/>
              </w:rPr>
              <w:t>4、生产规模及产品方案</w:t>
            </w:r>
          </w:p>
          <w:p>
            <w:pPr>
              <w:rPr>
                <w:color w:val="auto"/>
              </w:rPr>
            </w:pPr>
            <w:r>
              <w:rPr>
                <w:rFonts w:hint="eastAsia"/>
                <w:color w:val="auto"/>
              </w:rPr>
              <w:t>本项目</w:t>
            </w:r>
            <w:r>
              <w:rPr>
                <w:color w:val="auto"/>
              </w:rPr>
              <w:t>完成后全厂生产规模及产品方案见表2-</w:t>
            </w:r>
            <w:r>
              <w:rPr>
                <w:rFonts w:hint="eastAsia"/>
                <w:color w:val="auto"/>
                <w:lang w:val="en-US" w:eastAsia="zh-CN"/>
              </w:rPr>
              <w:t>4</w:t>
            </w:r>
            <w:r>
              <w:rPr>
                <w:color w:val="auto"/>
              </w:rPr>
              <w:t>。</w:t>
            </w:r>
          </w:p>
          <w:p>
            <w:pPr>
              <w:pStyle w:val="40"/>
              <w:rPr>
                <w:color w:val="auto"/>
              </w:rPr>
            </w:pPr>
            <w:r>
              <w:rPr>
                <w:color w:val="auto"/>
              </w:rPr>
              <w:t>表2-</w:t>
            </w:r>
            <w:r>
              <w:rPr>
                <w:rFonts w:hint="eastAsia"/>
                <w:color w:val="auto"/>
                <w:lang w:val="en-US" w:eastAsia="zh-CN"/>
              </w:rPr>
              <w:t>4</w:t>
            </w:r>
            <w:r>
              <w:rPr>
                <w:rFonts w:hint="eastAsia"/>
                <w:color w:val="auto"/>
              </w:rPr>
              <w:t xml:space="preserve">  本项目</w:t>
            </w:r>
            <w:r>
              <w:rPr>
                <w:rFonts w:hint="eastAsia"/>
                <w:color w:val="auto"/>
                <w:lang w:val="en-US" w:eastAsia="zh-CN"/>
              </w:rPr>
              <w:t>完成后全厂</w:t>
            </w:r>
            <w:r>
              <w:rPr>
                <w:color w:val="auto"/>
              </w:rPr>
              <w:t>生产规模及产品方案一览表</w:t>
            </w:r>
          </w:p>
          <w:tbl>
            <w:tblPr>
              <w:jc w:val="center"/>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348"/>
              <w:gridCol w:w="1953"/>
              <w:gridCol w:w="1106"/>
              <w:gridCol w:w="1022"/>
              <w:gridCol w:w="1279"/>
              <w:gridCol w:w="1264"/>
              <w:gridCol w:w="1266"/>
            </w:tblGrid>
            <w:tr>
              <w:trPr>
                <w:trHeight w:val="180"/>
              </w:trPr>
              <w:tc>
                <w:tcPr>
                  <w:tcW w:w="211" w:type="pct"/>
                  <w:vMerge w:val="restart"/>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color w:val="auto"/>
                      <w:sz w:val="21"/>
                      <w:lang w:val="en-US" w:eastAsia="zh-CN"/>
                      <w:highlight w:val="none"/>
                    </w:rPr>
                    <w:t>序号</w:t>
                  </w:r>
                </w:p>
              </w:tc>
              <w:tc>
                <w:tcPr>
                  <w:tcW w:w="1185" w:type="pct"/>
                  <w:vMerge w:val="restart"/>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color w:val="auto"/>
                      <w:sz w:val="21"/>
                      <w:lang w:val="en-US" w:eastAsia="zh-CN"/>
                      <w:highlight w:val="none"/>
                    </w:rPr>
                    <w:t>产品名称</w:t>
                  </w:r>
                </w:p>
              </w:tc>
              <w:tc>
                <w:tcPr>
                  <w:tcW w:w="2067" w:type="pct"/>
                  <w:gridSpan w:val="3"/>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color w:val="auto"/>
                      <w:sz w:val="21"/>
                      <w:lang w:val="en-US" w:eastAsia="zh-CN"/>
                      <w:highlight w:val="none"/>
                    </w:rPr>
                    <w:t>年产量</w:t>
                  </w:r>
                  <w:r>
                    <w:rPr>
                      <w:rFonts w:cs="Times New Roman" w:hint="eastAsia"/>
                      <w:color w:val="auto"/>
                      <w:sz w:val="21"/>
                      <w:lang w:val="en-US" w:eastAsia="zh-CN"/>
                      <w:highlight w:val="none"/>
                    </w:rPr>
                    <w:t>（万吨/年）</w:t>
                  </w:r>
                </w:p>
              </w:tc>
              <w:tc>
                <w:tcPr>
                  <w:tcW w:w="767" w:type="pct"/>
                  <w:vMerge w:val="restart"/>
                  <w:tcBorders>
                    <w:tl2br w:val="nil"/>
                    <w:tr2bl w:val="nil"/>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hint="eastAsia"/>
                      <w:color w:val="auto"/>
                      <w:sz w:val="21"/>
                      <w:lang w:val="en-US" w:eastAsia="zh-CN"/>
                      <w:highlight w:val="none"/>
                    </w:rPr>
                    <w:t>变化量</w:t>
                  </w:r>
                </w:p>
              </w:tc>
              <w:tc>
                <w:tcPr>
                  <w:tcW w:w="768" w:type="pct"/>
                  <w:vMerge w:val="restart"/>
                  <w:tcBorders>
                    <w:tl2br w:val="nil"/>
                    <w:tr2bl w:val="nil"/>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包装形式</w:t>
                  </w:r>
                </w:p>
              </w:tc>
            </w:tr>
            <w:tr>
              <w:trPr>
                <w:trHeight w:val="170"/>
              </w:trPr>
              <w:tc>
                <w:tcPr>
                  <w:tcW w:w="211" w:type="pct"/>
                  <w:vMerge/>
                  <w:tcMar>
                    <w:left w:w="28" w:type="dxa"/>
                    <w:right w:w="28" w:type="dxa"/>
                  </w:tcMar>
                  <w:vAlign w:val="center"/>
                </w:tcPr>
                <w:p/>
              </w:tc>
              <w:tc>
                <w:tcPr>
                  <w:tcW w:w="1185" w:type="pct"/>
                  <w:vMerge/>
                  <w:tcBorders>
                    <w:left w:val="single" w:sz="4" w:space="0" w:color="auto"/>
                  </w:tcBorders>
                  <w:tcMar>
                    <w:left w:w="28" w:type="dxa"/>
                    <w:right w:w="28" w:type="dxa"/>
                  </w:tcMar>
                  <w:vAlign w:val="center"/>
                </w:tcPr>
                <w:p/>
              </w:tc>
              <w:tc>
                <w:tcPr>
                  <w:tcW w:w="671"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hint="eastAsia"/>
                      <w:color w:val="auto"/>
                      <w:sz w:val="21"/>
                      <w:lang w:val="en-US" w:eastAsia="zh-CN"/>
                      <w:highlight w:val="none"/>
                    </w:rPr>
                  </w:pPr>
                  <w:r>
                    <w:rPr>
                      <w:rFonts w:ascii="Times New Roman" w:cs="Times New Roman" w:hAnsi="Times New Roman" w:hint="eastAsia"/>
                      <w:color w:val="auto"/>
                      <w:sz w:val="21"/>
                      <w:lang w:val="en-US" w:eastAsia="zh-CN"/>
                      <w:highlight w:val="none"/>
                    </w:rPr>
                    <w:t>现有工程</w:t>
                  </w:r>
                </w:p>
              </w:tc>
              <w:tc>
                <w:tcPr>
                  <w:tcW w:w="620"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hint="eastAsia"/>
                      <w:color w:val="auto"/>
                      <w:sz w:val="21"/>
                      <w:lang w:val="en-US" w:eastAsia="zh-CN"/>
                      <w:highlight w:val="none"/>
                    </w:rPr>
                  </w:pPr>
                  <w:r>
                    <w:rPr>
                      <w:rFonts w:ascii="Times New Roman" w:cs="Times New Roman" w:hAnsi="Times New Roman" w:hint="eastAsia"/>
                      <w:color w:val="auto"/>
                      <w:sz w:val="21"/>
                      <w:lang w:val="en-US" w:eastAsia="zh-CN"/>
                      <w:highlight w:val="none"/>
                    </w:rPr>
                    <w:t>本项目</w:t>
                  </w:r>
                </w:p>
              </w:tc>
              <w:tc>
                <w:tcPr>
                  <w:tcW w:w="776"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hint="eastAsia"/>
                      <w:color w:val="auto"/>
                      <w:sz w:val="21"/>
                      <w:lang w:val="en-US" w:eastAsia="zh-CN"/>
                      <w:highlight w:val="none"/>
                    </w:rPr>
                  </w:pPr>
                  <w:r>
                    <w:rPr>
                      <w:rFonts w:ascii="Times New Roman" w:cs="Times New Roman" w:hAnsi="Times New Roman" w:hint="eastAsia"/>
                      <w:color w:val="auto"/>
                      <w:sz w:val="21"/>
                      <w:lang w:val="en-US" w:eastAsia="zh-CN"/>
                      <w:highlight w:val="none"/>
                    </w:rPr>
                    <w:t>本项目完成后全厂</w:t>
                  </w:r>
                </w:p>
              </w:tc>
              <w:tc>
                <w:tcPr>
                  <w:tcW w:w="767" w:type="pct"/>
                  <w:vMerge/>
                  <w:tcBorders>
                    <w:tl2br w:val="nil"/>
                    <w:tr2bl w:val="nil"/>
                  </w:tcBorders>
                  <w:tcMar>
                    <w:left w:w="28" w:type="dxa"/>
                    <w:right w:w="28" w:type="dxa"/>
                  </w:tcMar>
                  <w:vAlign w:val="center"/>
                </w:tcPr>
                <w:p/>
              </w:tc>
              <w:tc>
                <w:tcPr>
                  <w:tcW w:w="768" w:type="pct"/>
                  <w:vMerge/>
                  <w:tcBorders>
                    <w:tl2br w:val="nil"/>
                    <w:tr2bl w:val="nil"/>
                  </w:tcBorders>
                  <w:tcMar>
                    <w:left w:w="28" w:type="dxa"/>
                    <w:right w:w="28" w:type="dxa"/>
                  </w:tcMar>
                  <w:vAlign w:val="center"/>
                </w:tcPr>
                <w:p/>
              </w:tc>
            </w:tr>
            <w:tr>
              <w:trPr>
                <w:trHeight w:val="177"/>
              </w:trPr>
              <w:tc>
                <w:tcPr>
                  <w:tcW w:w="211" w:type="pct"/>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color w:val="auto"/>
                      <w:sz w:val="21"/>
                      <w:lang w:val="en-US" w:eastAsia="zh-CN"/>
                      <w:highlight w:val="none"/>
                    </w:rPr>
                    <w:t>1</w:t>
                  </w:r>
                </w:p>
              </w:tc>
              <w:tc>
                <w:tcPr>
                  <w:tcW w:w="1185" w:type="pct"/>
                  <w:tcBorders>
                    <w:left w:val="single" w:sz="4" w:space="0" w:color="auto"/>
                  </w:tcBorders>
                  <w:shd w:val="clear" w:color="auto" w:fill="auto"/>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color w:val="auto"/>
                      <w:sz w:val="21"/>
                      <w:lang w:val="en-US" w:eastAsia="zh-CN"/>
                      <w:highlight w:val="none"/>
                    </w:rPr>
                    <w:t>含硫酸脲包衣复混肥</w:t>
                  </w:r>
                </w:p>
              </w:tc>
              <w:tc>
                <w:tcPr>
                  <w:tcW w:w="671"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0</w:t>
                  </w:r>
                </w:p>
              </w:tc>
              <w:tc>
                <w:tcPr>
                  <w:tcW w:w="620"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1</w:t>
                  </w:r>
                </w:p>
              </w:tc>
              <w:tc>
                <w:tcPr>
                  <w:tcW w:w="776"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1</w:t>
                  </w:r>
                </w:p>
              </w:tc>
              <w:tc>
                <w:tcPr>
                  <w:tcW w:w="767" w:type="pct"/>
                  <w:tcBorders>
                    <w:tl2br w:val="nil"/>
                    <w:tr2bl w:val="nil"/>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+1</w:t>
                  </w:r>
                </w:p>
              </w:tc>
              <w:tc>
                <w:tcPr>
                  <w:tcW w:w="768" w:type="pct"/>
                  <w:tcBorders>
                    <w:tl2br w:val="nil"/>
                    <w:tr2bl w:val="nil"/>
                  </w:tcBorders>
                  <w:tcMar>
                    <w:left w:w="28" w:type="dxa"/>
                    <w:right w:w="28" w:type="dxa"/>
                  </w:tcMar>
                  <w:vAlign w:val="center"/>
                </w:tcPr>
                <w:p>
                  <w:pPr>
                    <w:spacing w:line="240" w:lineRule="auto"/>
                    <w:ind w:firstLineChars="0" w:firstLine="0"/>
                    <w:jc w:val="center"/>
                    <w:rPr>
                      <w:lang w:val="en-US" w:eastAsia="zh-CN"/>
                      <w:highlight w:val="none"/>
                    </w:rPr>
                  </w:pPr>
                  <w:r>
                    <w:rPr>
                      <w:rFonts w:cs="Times New Roman" w:hint="eastAsia"/>
                      <w:color w:val="auto"/>
                      <w:sz w:val="21"/>
                      <w:lang w:val="en-US" w:eastAsia="zh-CN"/>
                      <w:highlight w:val="none"/>
                    </w:rPr>
                    <w:t>50kg包装袋</w:t>
                  </w:r>
                </w:p>
              </w:tc>
            </w:tr>
            <w:tr>
              <w:trPr>
                <w:trHeight w:val="177"/>
              </w:trPr>
              <w:tc>
                <w:tcPr>
                  <w:tcW w:w="211" w:type="pct"/>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hint="eastAsia"/>
                      <w:color w:val="auto"/>
                      <w:sz w:val="21"/>
                      <w:lang w:val="en-US" w:eastAsia="zh-CN"/>
                      <w:highlight w:val="none"/>
                    </w:rPr>
                    <w:t>2</w:t>
                  </w:r>
                </w:p>
              </w:tc>
              <w:tc>
                <w:tcPr>
                  <w:tcW w:w="1185" w:type="pct"/>
                  <w:tcBorders>
                    <w:left w:val="single" w:sz="4" w:space="0" w:color="auto"/>
                  </w:tcBorders>
                  <w:shd w:val="clear" w:color="auto" w:fill="auto"/>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color w:val="auto"/>
                      <w:sz w:val="21"/>
                      <w:lang w:val="en-US" w:eastAsia="zh-CN"/>
                      <w:highlight w:val="none"/>
                    </w:rPr>
                    <w:t>含脲甲醛包衣复混肥</w:t>
                  </w:r>
                </w:p>
              </w:tc>
              <w:tc>
                <w:tcPr>
                  <w:tcW w:w="671"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0</w:t>
                  </w:r>
                </w:p>
              </w:tc>
              <w:tc>
                <w:tcPr>
                  <w:tcW w:w="620"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2</w:t>
                  </w:r>
                </w:p>
              </w:tc>
              <w:tc>
                <w:tcPr>
                  <w:tcW w:w="776"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2</w:t>
                  </w:r>
                </w:p>
              </w:tc>
              <w:tc>
                <w:tcPr>
                  <w:tcW w:w="767" w:type="pct"/>
                  <w:tcBorders>
                    <w:left w:val="single" w:sz="4" w:space="0" w:color="auto"/>
                  </w:tcBorders>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+2</w:t>
                  </w:r>
                </w:p>
              </w:tc>
              <w:tc>
                <w:tcPr>
                  <w:tcW w:w="768" w:type="pct"/>
                  <w:tcBorders>
                    <w:left w:val="single" w:sz="4" w:space="0" w:color="auto"/>
                  </w:tcBorders>
                  <w:vAlign w:val="center"/>
                </w:tcPr>
                <w:p>
                  <w:pPr>
                    <w:spacing w:line="240" w:lineRule="auto"/>
                    <w:ind w:firstLineChars="0" w:firstLine="0"/>
                    <w:jc w:val="center"/>
                    <w:rPr>
                      <w:rFonts w:cs="Times New Roman" w:hint="eastAsia"/>
                      <w:color w:val="auto"/>
                      <w:sz w:val="21"/>
                      <w:lang w:val="en-US" w:eastAsia="zh-CN"/>
                      <w:highlight w:val="none"/>
                    </w:rPr>
                  </w:pPr>
                  <w:r>
                    <w:rPr>
                      <w:rFonts w:cs="Times New Roman" w:hint="eastAsia"/>
                      <w:color w:val="auto"/>
                      <w:sz w:val="21"/>
                      <w:lang w:val="en-US" w:eastAsia="zh-CN"/>
                      <w:highlight w:val="none"/>
                    </w:rPr>
                    <w:t>50kg包装袋</w:t>
                  </w:r>
                </w:p>
              </w:tc>
            </w:tr>
            <w:tr>
              <w:trPr>
                <w:trHeight w:val="177"/>
              </w:trPr>
              <w:tc>
                <w:tcPr>
                  <w:tcW w:w="211" w:type="pct"/>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hint="eastAsia"/>
                      <w:color w:val="auto"/>
                      <w:sz w:val="21"/>
                      <w:lang w:val="en-US" w:eastAsia="zh-CN"/>
                      <w:highlight w:val="none"/>
                    </w:rPr>
                    <w:t>3</w:t>
                  </w:r>
                </w:p>
              </w:tc>
              <w:tc>
                <w:tcPr>
                  <w:tcW w:w="1185" w:type="pct"/>
                  <w:tcBorders>
                    <w:left w:val="single" w:sz="4" w:space="0" w:color="auto"/>
                  </w:tcBorders>
                  <w:shd w:val="clear" w:color="auto" w:fill="auto"/>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ascii="Times New Roman" w:cs="Times New Roman" w:hAnsi="Times New Roman"/>
                      <w:color w:val="auto"/>
                      <w:sz w:val="21"/>
                      <w:lang w:val="en-US" w:eastAsia="zh-CN"/>
                      <w:highlight w:val="none"/>
                    </w:rPr>
                    <w:t>复混肥</w:t>
                  </w:r>
                </w:p>
              </w:tc>
              <w:tc>
                <w:tcPr>
                  <w:tcW w:w="671"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10</w:t>
                  </w:r>
                </w:p>
              </w:tc>
              <w:tc>
                <w:tcPr>
                  <w:tcW w:w="620"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7</w:t>
                  </w:r>
                </w:p>
              </w:tc>
              <w:tc>
                <w:tcPr>
                  <w:tcW w:w="776" w:type="pct"/>
                  <w:tcBorders>
                    <w:left w:val="single" w:sz="4" w:space="0" w:color="auto"/>
                  </w:tcBorders>
                  <w:tcMar>
                    <w:left w:w="28" w:type="dxa"/>
                    <w:right w:w="28" w:type="dxa"/>
                  </w:tcMar>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7</w:t>
                  </w:r>
                </w:p>
              </w:tc>
              <w:tc>
                <w:tcPr>
                  <w:tcW w:w="767" w:type="pct"/>
                  <w:tcBorders>
                    <w:left w:val="single" w:sz="4" w:space="0" w:color="auto"/>
                  </w:tcBorders>
                  <w:vAlign w:val="center"/>
                </w:tcPr>
                <w:p>
                  <w:pPr>
                    <w:spacing w:line="240" w:lineRule="auto"/>
                    <w:ind w:firstLineChars="0" w:firstLine="0"/>
                    <w:jc w:val="center"/>
                    <w:rPr>
                      <w:rFonts w:ascii="Times New Roman" w:cs="Times New Roman" w:hAnsi="Times New Roman"/>
                      <w:color w:val="auto"/>
                      <w:sz w:val="21"/>
                      <w:lang w:val="en-US" w:eastAsia="zh-CN"/>
                      <w:highlight w:val="none"/>
                    </w:rPr>
                  </w:pPr>
                  <w:r>
                    <w:rPr>
                      <w:rFonts w:cs="Times New Roman" w:hint="eastAsia"/>
                      <w:color w:val="auto"/>
                      <w:sz w:val="21"/>
                      <w:lang w:val="en-US" w:eastAsia="zh-CN"/>
                      <w:highlight w:val="none"/>
                    </w:rPr>
                    <w:t>-3</w:t>
                  </w:r>
                </w:p>
              </w:tc>
              <w:tc>
                <w:tcPr>
                  <w:tcW w:w="768" w:type="pct"/>
                  <w:tcBorders>
                    <w:left w:val="single" w:sz="4" w:space="0" w:color="auto"/>
                  </w:tcBorders>
                  <w:vAlign w:val="center"/>
                </w:tcPr>
                <w:p>
                  <w:pPr>
                    <w:spacing w:line="240" w:lineRule="auto"/>
                    <w:ind w:firstLineChars="0" w:firstLine="0"/>
                    <w:jc w:val="center"/>
                    <w:rPr>
                      <w:rFonts w:cs="Times New Roman" w:hint="eastAsia"/>
                      <w:color w:val="auto"/>
                      <w:sz w:val="21"/>
                      <w:lang w:val="en-US" w:eastAsia="zh-CN"/>
                      <w:highlight w:val="none"/>
                    </w:rPr>
                  </w:pPr>
                  <w:r>
                    <w:rPr>
                      <w:rFonts w:cs="Times New Roman" w:hint="eastAsia"/>
                      <w:color w:val="auto"/>
                      <w:sz w:val="21"/>
                      <w:lang w:val="en-US" w:eastAsia="zh-CN"/>
                      <w:highlight w:val="none"/>
                    </w:rPr>
                    <w:t>50kg包装袋</w:t>
                  </w:r>
                </w:p>
              </w:tc>
            </w:tr>
          </w:tbl>
          <w:p>
            <w:pPr>
              <w:spacing w:line="240" w:lineRule="auto"/>
              <w:ind w:firstLineChars="0" w:firstLine="0"/>
              <w:jc w:val="center"/>
              <w:rPr>
                <w:rFonts w:ascii="Times New Roman" w:eastAsia="宋体" w:cs="Times New Roman" w:hAnsi="Times New Roman"/>
                <w:b/>
                <w:bCs/>
                <w:sz w:val="24"/>
                <w:highlight w:val="none"/>
              </w:rPr>
            </w:pPr>
          </w:p>
          <w:p>
            <w:pPr>
              <w:spacing w:line="240" w:lineRule="auto"/>
              <w:ind w:firstLineChars="0" w:firstLine="0"/>
              <w:jc w:val="center"/>
              <w:rPr>
                <w:rFonts w:ascii="Times New Roman" w:eastAsia="宋体" w:cs="Times New Roman" w:hAnsi="Times New Roman"/>
                <w:b/>
                <w:bCs/>
                <w:sz w:val="24"/>
                <w:highlight w:val="none"/>
              </w:rPr>
            </w:pPr>
          </w:p>
          <w:p>
            <w:pPr>
              <w:spacing w:line="240" w:lineRule="auto"/>
              <w:ind w:firstLineChars="0" w:firstLine="0"/>
              <w:jc w:val="center"/>
              <w:rPr>
                <w:rFonts w:ascii="Times New Roman" w:eastAsia="宋体" w:cs="Times New Roman" w:hAnsi="Times New Roman"/>
                <w:b/>
                <w:bCs/>
                <w:sz w:val="24"/>
                <w:highlight w:val="none"/>
              </w:rPr>
            </w:pPr>
            <w:r>
              <w:rPr>
                <w:sz w:val="24"/>
              </w:rPr>
              <mc:AlternateContent>
                <mc:Choice Requires="wps">
                  <w:drawing>
                    <wp:anchor distT="0" distB="0" distL="114300" distR="114300" simplePos="0" relativeHeight="706" behindDoc="0" locked="0" layoutInCell="1" hidden="0" allowOverlap="1">
                      <wp:simplePos x="0" y="0"/>
                      <wp:positionH relativeFrom="column">
                        <wp:posOffset>257175</wp:posOffset>
                      </wp:positionH>
                      <wp:positionV relativeFrom="paragraph">
                        <wp:posOffset>28575</wp:posOffset>
                      </wp:positionV>
                      <wp:extent cx="4764403" cy="1052887"/>
                      <wp:wrapNone/>
                      <wp:docPr id="1039" name="组合 1039"/>
                      <wp:cNvGraphicFramePr>
                        <a:graphicFrameLocks noChangeAspect="0"/>
                      </wp:cNvGraphicFramePr>
                      <a:graphic>
                        <a:graphicData uri="http://schemas.microsoft.com/office/word/2010/wordprocessingGroup">
                          <wpg:wgp>
                            <wpg:cNvPr id="25" name="组合 25"/>
                            <wpg:cNvGrpSpPr/>
                            <wpg:grpSpPr>
                              <a:xfrm rot="0">
                                <a:off x="0" y="0"/>
                                <a:ext cx="4764403" cy="1052887"/>
                                <a:chOff x="0" y="0"/>
                                <a:chExt cx="4764403" cy="1052887"/>
                              </a:xfrm>
                              <a:prstGeom prst="rect"/>
                              <a:solidFill>
                                <a:srgbClr val="FFFFFF"/>
                              </a:solidFill>
                              <a:ln w="9525" cmpd="sng" cap="flat">
                                <a:solidFill>
                                  <a:srgbClr val="000000"/>
                                </a:solidFill>
                                <a:prstDash val="solid"/>
                                <a:miter/>
                              </a:ln>
                            </wpg:grpSpPr>
                            <wps:wsp>
                              <wps:cNvPr id="26" name="文本框 1 26"/>
                              <wps:cNvSpPr/>
                              <wps:spPr>
                                <a:xfrm rot="0">
                                  <a:off x="16510" y="30548"/>
                                  <a:ext cx="1160145" cy="271793"/>
                                </a:xfrm>
                                <a:prstGeom prst="rect"/>
                                <a:solidFill>
                                  <a:srgbClr val="FFFFFF"/>
                                </a:solidFill>
                                <a:ln w="6350" cmpd="sng" cap="flat">
                                  <a:solidFill>
                                    <a:srgbClr val="000000"/>
                                  </a:solidFill>
                                  <a:prstDash val="solid"/>
                                  <a:round/>
                                </a:ln>
                              </wps:spPr>
                              <wps:txbx id="27">
                                <w:txbxContent>
                                  <w:p>
                                    <w:pPr>
                                      <w:ind w:left="0" w:firstLineChars="0" w:firstLine="0"/>
                                      <w:rPr>
                                        <w:rFonts w:eastAsia="宋体"/>
                                        <w:sz w:val="21"/>
                                        <w:szCs w:val="21"/>
                                        <w:lang w:val="en-US" w:eastAsia="zh-CN"/>
                                      </w:rPr>
                                    </w:pPr>
                                    <w:r>
                                      <w:rPr>
                                        <w:rFonts w:hint="eastAsia"/>
                                        <w:sz w:val="21"/>
                                        <w:szCs w:val="21"/>
                                        <w:lang w:val="en-US" w:eastAsia="zh-CN"/>
                                      </w:rPr>
                                      <w:t>外购粉末状原料</w:t>
                                    </w:r>
                                  </w:p>
                                </w:txbxContent>
                              </wps:txbx>
                              <wps:bodyPr vert="horz" wrap="square" lIns="91440" tIns="45720" rIns="91440" bIns="45720" anchor="t" anchorCtr="0" upright="0">
                                <a:noAutofit/>
                              </wps:bodyPr>
                            </wps:wsp>
                            <wps:wsp>
                              <wps:cNvPr id="28" name="文本框 5 28"/>
                              <wps:cNvSpPr/>
                              <wps:spPr>
                                <a:xfrm rot="0">
                                  <a:off x="0" y="639475"/>
                                  <a:ext cx="1160145" cy="300356"/>
                                </a:xfrm>
                                <a:prstGeom prst="rect"/>
                                <a:solidFill>
                                  <a:srgbClr val="FFFFFF"/>
                                </a:solidFill>
                                <a:ln w="6350" cmpd="sng" cap="flat">
                                  <a:solidFill>
                                    <a:srgbClr val="000000"/>
                                  </a:solidFill>
                                  <a:prstDash val="solid"/>
                                  <a:round/>
                                </a:ln>
                              </wps:spPr>
                              <wps:txbx id="29">
                                <w:txbxContent>
                                  <w:p>
                                    <w:pPr>
                                      <w:ind w:left="0" w:firstLineChars="0" w:firstLine="0"/>
                                      <w:rPr>
                                        <w:rFonts w:eastAsia="宋体"/>
                                        <w:sz w:val="21"/>
                                        <w:szCs w:val="21"/>
                                        <w:lang w:val="en-US" w:eastAsia="zh-CN"/>
                                      </w:rPr>
                                    </w:pPr>
                                    <w:r>
                                      <w:rPr>
                                        <w:rFonts w:hint="eastAsia"/>
                                        <w:sz w:val="21"/>
                                        <w:szCs w:val="21"/>
                                        <w:lang w:val="en-US" w:eastAsia="zh-CN"/>
                                      </w:rPr>
                                      <w:t>外购颗粒状原料</w:t>
                                    </w:r>
                                  </w:p>
                                </w:txbxContent>
                              </wps:txbx>
                              <wps:bodyPr vert="horz" wrap="square" lIns="91440" tIns="45720" rIns="91440" bIns="45720" anchor="t" anchorCtr="0" upright="0">
                                <a:noAutofit/>
                              </wps:bodyPr>
                            </wps:wsp>
                            <wps:wsp>
                              <wps:cNvPr id="30" name="直接箭头连接符 24 30"/>
                              <wps:cNvSpPr/>
                              <wps:spPr>
                                <a:xfrm rot="0">
                                  <a:off x="1190624" y="771541"/>
                                  <a:ext cx="328929"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31" name="直接箭头连接符 47 31"/>
                              <wps:cNvSpPr/>
                              <wps:spPr>
                                <a:xfrm rot="0">
                                  <a:off x="1169669" y="170182"/>
                                  <a:ext cx="328929"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32" name="文本框 50 32"/>
                              <wps:cNvSpPr/>
                              <wps:spPr>
                                <a:xfrm rot="0">
                                  <a:off x="1516379" y="3230"/>
                                  <a:ext cx="1160145" cy="280653"/>
                                </a:xfrm>
                                <a:prstGeom prst="rect"/>
                                <a:solidFill>
                                  <a:srgbClr val="FFFFFF"/>
                                </a:solidFill>
                                <a:ln w="6350" cmpd="sng" cap="flat">
                                  <a:solidFill>
                                    <a:srgbClr val="000000"/>
                                  </a:solidFill>
                                  <a:prstDash val="solid"/>
                                  <a:round/>
                                </a:ln>
                              </wps:spPr>
                              <wps:txbx id="33">
                                <w:txbxContent>
                                  <w:p>
                                    <w:pPr>
                                      <w:ind w:left="0" w:firstLineChars="0" w:firstLine="0"/>
                                      <w:rPr>
                                        <w:rFonts w:eastAsia="宋体"/>
                                        <w:sz w:val="21"/>
                                        <w:szCs w:val="21"/>
                                        <w:lang w:val="en-US" w:eastAsia="zh-CN"/>
                                      </w:rPr>
                                    </w:pPr>
                                    <w:r>
                                      <w:rPr>
                                        <w:rFonts w:hint="eastAsia"/>
                                        <w:sz w:val="21"/>
                                        <w:szCs w:val="21"/>
                                        <w:lang w:val="en-US" w:eastAsia="zh-CN"/>
                                      </w:rPr>
                                      <w:t>挤压造粒生产线</w:t>
                                    </w:r>
                                  </w:p>
                                </w:txbxContent>
                              </wps:txbx>
                              <wps:bodyPr vert="horz" wrap="square" lIns="91440" tIns="45720" rIns="91440" bIns="45720" anchor="t" anchorCtr="0" upright="0">
                                <a:noAutofit/>
                              </wps:bodyPr>
                            </wps:wsp>
                            <wps:wsp>
                              <wps:cNvPr id="34" name="直接箭头连接符 51 34"/>
                              <wps:cNvSpPr/>
                              <wps:spPr>
                                <a:xfrm rot="0">
                                  <a:off x="2707639" y="167044"/>
                                  <a:ext cx="328929"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35" name="文本框 54 35"/>
                              <wps:cNvSpPr/>
                              <wps:spPr>
                                <a:xfrm rot="0">
                                  <a:off x="3045459" y="0"/>
                                  <a:ext cx="1402080" cy="280653"/>
                                </a:xfrm>
                                <a:prstGeom prst="rect"/>
                                <a:solidFill>
                                  <a:srgbClr val="FFFFFF"/>
                                </a:solidFill>
                                <a:ln w="6350" cmpd="sng" cap="flat">
                                  <a:solidFill>
                                    <a:srgbClr val="000000"/>
                                  </a:solidFill>
                                  <a:prstDash val="solid"/>
                                  <a:round/>
                                </a:ln>
                              </wps:spPr>
                              <wps:txbx id="36">
                                <w:txbxContent>
                                  <w:p>
                                    <w:pPr>
                                      <w:ind w:left="0" w:firstLineChars="0" w:firstLine="0"/>
                                      <w:rPr>
                                        <w:rFonts w:eastAsia="宋体"/>
                                        <w:sz w:val="21"/>
                                        <w:szCs w:val="21"/>
                                        <w:lang w:val="en-US" w:eastAsia="zh-CN"/>
                                      </w:rPr>
                                    </w:pPr>
                                    <w:r>
                                      <w:rPr>
                                        <w:rFonts w:hint="eastAsia"/>
                                        <w:sz w:val="21"/>
                                        <w:szCs w:val="21"/>
                                        <w:lang w:val="en-US" w:eastAsia="zh-CN"/>
                                      </w:rPr>
                                      <w:t>颗粒状复混肥原料</w:t>
                                    </w:r>
                                  </w:p>
                                </w:txbxContent>
                              </wps:txbx>
                              <wps:bodyPr vert="horz" wrap="square" lIns="91440" tIns="45720" rIns="91440" bIns="45720" anchor="t" anchorCtr="0" upright="0">
                                <a:noAutofit/>
                              </wps:bodyPr>
                            </wps:wsp>
                            <wps:wsp>
                              <wps:cNvPr id="37" name="文本框 55 37"/>
                              <wps:cNvSpPr/>
                              <wps:spPr>
                                <a:xfrm rot="0">
                                  <a:off x="1513839" y="667392"/>
                                  <a:ext cx="1160144" cy="300356"/>
                                </a:xfrm>
                                <a:prstGeom prst="rect"/>
                                <a:solidFill>
                                  <a:srgbClr val="FFFFFF"/>
                                </a:solidFill>
                                <a:ln w="6350" cmpd="sng" cap="flat">
                                  <a:solidFill>
                                    <a:srgbClr val="000000"/>
                                  </a:solidFill>
                                  <a:prstDash val="solid"/>
                                  <a:round/>
                                </a:ln>
                              </wps:spPr>
                              <wps:txbx id="38">
                                <w:txbxContent>
                                  <w:p>
                                    <w:pPr>
                                      <w:ind w:left="0" w:firstLineChars="0" w:firstLine="0"/>
                                      <w:rPr>
                                        <w:rFonts w:eastAsia="宋体"/>
                                        <w:sz w:val="21"/>
                                        <w:szCs w:val="21"/>
                                        <w:lang w:val="en-US" w:eastAsia="zh-CN"/>
                                      </w:rPr>
                                    </w:pPr>
                                    <w:r>
                                      <w:rPr>
                                        <w:rFonts w:hint="eastAsia"/>
                                        <w:sz w:val="21"/>
                                        <w:szCs w:val="21"/>
                                        <w:lang w:val="en-US" w:eastAsia="zh-CN"/>
                                      </w:rPr>
                                      <w:t>复混肥生产线</w:t>
                                    </w:r>
                                  </w:p>
                                </w:txbxContent>
                              </wps:txbx>
                              <wps:bodyPr vert="horz" wrap="square" lIns="91440" tIns="45720" rIns="91440" bIns="45720" anchor="t" anchorCtr="0" upright="0">
                                <a:noAutofit/>
                              </wps:bodyPr>
                            </wps:wsp>
                            <wps:wsp>
                              <wps:cNvPr id="39" name="直接箭头连接符 74 39"/>
                              <wps:cNvSpPr/>
                              <wps:spPr>
                                <a:xfrm flipH="1" rot="21600000">
                                  <a:off x="2094230" y="280699"/>
                                  <a:ext cx="1652269" cy="386693"/>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0" name="直接箭头连接符 127 40"/>
                              <wps:cNvSpPr/>
                              <wps:spPr>
                                <a:xfrm rot="0">
                                  <a:off x="2686683" y="769650"/>
                                  <a:ext cx="328929"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1" name="文本框 270 41"/>
                              <wps:cNvSpPr/>
                              <wps:spPr>
                                <a:xfrm rot="0">
                                  <a:off x="3032124" y="478199"/>
                                  <a:ext cx="1732279" cy="574688"/>
                                </a:xfrm>
                                <a:prstGeom prst="rect"/>
                                <a:solidFill>
                                  <a:srgbClr val="FFFFFF"/>
                                </a:solidFill>
                                <a:ln w="6350" cmpd="sng" cap="flat">
                                  <a:solidFill>
                                    <a:srgbClr val="000000"/>
                                  </a:solidFill>
                                  <a:prstDash val="solid"/>
                                  <a:round/>
                                </a:ln>
                              </wps:spPr>
                              <wps:txbx id="42">
                                <w:txbxContent>
                                  <w:p>
                                    <w:pPr>
                                      <w:ind w:left="0" w:firstLineChars="0" w:firstLine="0"/>
                                      <w:rPr>
                                        <w:rFonts w:eastAsia="宋体"/>
                                        <w:sz w:val="21"/>
                                        <w:szCs w:val="21"/>
                                        <w:lang w:val="en-US" w:eastAsia="zh-CN"/>
                                      </w:rPr>
                                    </w:pPr>
                                    <w:r>
                                      <w:rPr>
                                        <w:rFonts w:eastAsia="宋体" w:hint="eastAsia"/>
                                        <w:sz w:val="21"/>
                                        <w:szCs w:val="21"/>
                                        <w:lang w:val="en-US" w:eastAsia="zh-CN"/>
                                      </w:rPr>
                                      <w:t>含硫酸脲包衣复混肥产品</w:t>
                                    </w:r>
                                  </w:p>
                                  <w:p>
                                    <w:pPr>
                                      <w:ind w:left="0" w:firstLineChars="0" w:firstLine="0"/>
                                      <w:rPr>
                                        <w:rFonts w:eastAsia="宋体"/>
                                        <w:sz w:val="21"/>
                                        <w:szCs w:val="21"/>
                                        <w:lang w:val="en-US" w:eastAsia="zh-CN"/>
                                      </w:rPr>
                                    </w:pPr>
                                    <w:r>
                                      <w:rPr>
                                        <w:rFonts w:eastAsia="宋体" w:hint="eastAsia"/>
                                        <w:sz w:val="21"/>
                                        <w:szCs w:val="21"/>
                                        <w:lang w:val="en-US" w:eastAsia="zh-CN"/>
                                      </w:rPr>
                                      <w:t>含脲甲醛包衣复混肥产品</w:t>
                                    </w:r>
                                  </w:p>
                                  <w:p>
                                    <w:pPr>
                                      <w:rPr>
                                        <w:rFonts w:eastAsia="宋体"/>
                                        <w:sz w:val="21"/>
                                        <w:szCs w:val="21"/>
                                        <w:lang w:val="en-US" w:eastAsia="zh-CN"/>
                                      </w:rPr>
                                    </w:pPr>
                                    <w:r>
                                      <w:rPr>
                                        <w:rFonts w:eastAsia="宋体" w:hint="eastAsia"/>
                                        <w:sz w:val="21"/>
                                        <w:szCs w:val="21"/>
                                        <w:lang w:val="en-US" w:eastAsia="zh-CN"/>
                                      </w:rPr>
                                      <w:t>复混肥产品</w:t>
                                    </w:r>
                                  </w:p>
                                </w:txbxContent>
                              </wps:txbx>
                              <wps:bodyPr vert="horz" wrap="square" lIns="91440" tIns="45720" rIns="91440" bIns="45720" anchor="t" anchorCtr="0" upright="0">
                                <a:noAutofit/>
                              </wps:bodyPr>
                            </wps:wsp>
                            <wps:bodyPr vert="horz" wrap="square" lIns="91440" tIns="45720" rIns="91440" bIns="45720" anchor="t" anchorCtr="0" upright="1">
                              <a:noAutofit/>
                            </wps:bodyPr>
                          </wpg:wgp>
                        </a:graphicData>
                      </a:graphic>
                    </wp:anchor>
                  </w:drawing>
                </mc:Choice>
                <mc:Fallback>
                  <w:pict>
                    <v:group type="#_x0000_t1" id="组合 1039" o:spid="_x0000_s43" coordorigin="2453,12019" coordsize="7502,1658" style="position:absolute;margin-left:20.25pt;margin-top:2.25pt;width:375.1499pt;height:82.9045pt;z-index:706;mso-position-horizontal:absolute;mso-position-vertical:absolute;">
                      <v:rect type="#_x0000_t1" id="_s44" o:spid="_x0000_s44" style="position:absolute;left:2479;top:12067;width:1827;height:428;mso-wrap-style:square;" fillcolor="#FFFFFF" stroked="t" strokeweight="0.5pt">
                        <v:textbox id="859"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外购粉末状原料</w:t>
                              </w:r>
                            </w:p>
                          </w:txbxContent>
                        </v:textbox>
                        <v:stroke color="#000000"/>
                      </v:rect>
                      <v:rect type="#_x0000_t1" id="_s45" o:spid="_x0000_s45" style="position:absolute;left:2453;top:13026;width:1827;height:473;mso-wrap-style:square;" fillcolor="#FFFFFF" stroked="t" strokeweight="0.5pt">
                        <v:textbox id="860"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外购颗粒状原料</w:t>
                              </w:r>
                            </w:p>
                          </w:txbxContent>
                        </v:textbox>
                        <v:stroke color="#000000"/>
                      </v:rect>
                      <v:shape type="#_x0000_t32" id="直接箭头连接符 24 30" o:spid="_x0000_s46" style="position:absolute;left:4328;top:13234;width:518;height:0;" filled="f" stroked="t">
                        <v:stroke color="#000000" endarrow="open"/>
                      </v:shape>
                      <v:shape type="#_x0000_t32" id="直接箭头连接符 47 31" o:spid="_x0000_s47" style="position:absolute;left:4295;top:12287;width:518;height:0;" filled="f" stroked="t">
                        <v:stroke color="#000000" endarrow="open"/>
                      </v:shape>
                      <v:rect type="#_x0000_t1" id="_s48" o:spid="_x0000_s48" style="position:absolute;left:4841;top:12024;width:1827;height:441;mso-wrap-style:square;" fillcolor="#FFFFFF" stroked="t" strokeweight="0.5pt">
                        <v:textbox id="861"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挤压造粒生产线</w:t>
                              </w:r>
                            </w:p>
                          </w:txbxContent>
                        </v:textbox>
                        <v:stroke color="#000000"/>
                      </v:rect>
                      <v:shape type="#_x0000_t32" id="直接箭头连接符 51 34" o:spid="_x0000_s49" style="position:absolute;left:6717;top:12282;width:518;height:0;" filled="f" stroked="t">
                        <v:stroke color="#000000" endarrow="open"/>
                      </v:shape>
                      <v:rect type="#_x0000_t1" id="_s50" o:spid="_x0000_s50" style="position:absolute;left:7249;top:12019;width:2208;height:441;mso-wrap-style:square;" fillcolor="#FFFFFF" stroked="t" strokeweight="0.5pt">
                        <v:textbox id="862"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颗粒状复混肥原料</w:t>
                              </w:r>
                            </w:p>
                          </w:txbxContent>
                        </v:textbox>
                        <v:stroke color="#000000"/>
                      </v:rect>
                      <v:rect type="#_x0000_t1" id="_s51" o:spid="_x0000_s51" style="position:absolute;left:4837;top:13070;width:1826;height:473;mso-wrap-style:square;" fillcolor="#FFFFFF" stroked="t" strokeweight="0.5pt">
                        <v:textbox id="863"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复混肥生产线</w:t>
                              </w:r>
                            </w:p>
                          </w:txbxContent>
                        </v:textbox>
                        <v:stroke color="#000000"/>
                      </v:rect>
                      <v:shape type="#_x0000_t32" id="直接箭头连接符 74 39" o:spid="_x0000_s52" style="position:absolute;left:5751;top:12461;width:2602;height:609;flip:x;" filled="f" stroked="t">
                        <v:stroke color="#000000" endarrow="open"/>
                      </v:shape>
                      <v:shape type="#_x0000_t32" id="直接箭头连接符 127 40" o:spid="_x0000_s53" style="position:absolute;left:6684;top:13231;width:518;height:0;" filled="f" stroked="t">
                        <v:stroke color="#000000" endarrow="open"/>
                      </v:shape>
                      <v:rect type="#_x0000_t1" id="_s54" o:spid="_x0000_s54" style="position:absolute;left:7228;top:12772;width:2727;height:905;mso-wrap-style:square;" fillcolor="#FFFFFF" stroked="t" strokeweight="0.5pt">
                        <v:textbox id="864"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含硫酸脲包衣复混肥产品</w:t>
                              </w:r>
                            </w:p>
                            <w:p>
                              <w:pPr>
                                <w:ind w:left="0" w:firstLineChars="0" w:firstLine="0"/>
                                <w:rPr>
                                  <w:rFonts w:eastAsia="宋体"/>
                                  <w:sz w:val="21"/>
                                  <w:szCs w:val="21"/>
                                  <w:lang w:val="en-US" w:eastAsia="zh-CN"/>
                                </w:rPr>
                              </w:pPr>
                              <w:r>
                                <w:rPr>
                                  <w:rFonts w:eastAsia="宋体" w:hint="eastAsia"/>
                                  <w:sz w:val="21"/>
                                  <w:szCs w:val="21"/>
                                  <w:lang w:val="en-US" w:eastAsia="zh-CN"/>
                                </w:rPr>
                                <w:t>含脲甲醛包衣复混肥产品</w:t>
                              </w:r>
                            </w:p>
                            <w:p>
                              <w:pPr>
                                <w:rPr>
                                  <w:rFonts w:eastAsia="宋体"/>
                                  <w:sz w:val="21"/>
                                  <w:szCs w:val="21"/>
                                  <w:lang w:val="en-US" w:eastAsia="zh-CN"/>
                                </w:rPr>
                              </w:pPr>
                              <w:r>
                                <w:rPr>
                                  <w:rFonts w:eastAsia="宋体" w:hint="eastAsia"/>
                                  <w:sz w:val="21"/>
                                  <w:szCs w:val="21"/>
                                  <w:lang w:val="en-US" w:eastAsia="zh-CN"/>
                                </w:rPr>
                                <w:t>复混肥产品</w:t>
                              </w:r>
                            </w:p>
                          </w:txbxContent>
                        </v:textbox>
                        <v:stroke color="#000000"/>
                      </v:rect>
                    </v:group>
                  </w:pict>
                </mc:Fallback>
              </mc:AlternateContent>
            </w:r>
          </w:p>
          <w:p>
            <w:pPr>
              <w:spacing w:line="240" w:lineRule="auto"/>
              <w:ind w:firstLineChars="0" w:firstLine="0"/>
              <w:jc w:val="center"/>
              <w:rPr>
                <w:rFonts w:ascii="Times New Roman" w:eastAsia="宋体" w:cs="Times New Roman" w:hAnsi="Times New Roman"/>
                <w:b/>
                <w:bCs/>
                <w:sz w:val="24"/>
                <w:highlight w:val="none"/>
              </w:rPr>
            </w:pPr>
          </w:p>
          <w:p>
            <w:pPr>
              <w:spacing w:line="240" w:lineRule="auto"/>
              <w:ind w:firstLineChars="0" w:firstLine="0"/>
              <w:jc w:val="center"/>
              <w:rPr>
                <w:rFonts w:ascii="Times New Roman" w:eastAsia="宋体" w:cs="Times New Roman" w:hAnsi="Times New Roman"/>
                <w:b/>
                <w:bCs/>
                <w:sz w:val="24"/>
                <w:highlight w:val="none"/>
              </w:rPr>
            </w:pPr>
          </w:p>
          <w:p>
            <w:pPr>
              <w:spacing w:line="240" w:lineRule="auto"/>
              <w:ind w:firstLineChars="0" w:firstLine="0"/>
              <w:jc w:val="center"/>
              <w:rPr>
                <w:rFonts w:ascii="Times New Roman" w:eastAsia="宋体" w:cs="Times New Roman" w:hAnsi="Times New Roman"/>
                <w:b/>
                <w:bCs/>
                <w:sz w:val="24"/>
                <w:highlight w:val="none"/>
              </w:rPr>
            </w:pPr>
          </w:p>
          <w:p>
            <w:pPr>
              <w:spacing w:line="240" w:lineRule="auto"/>
              <w:ind w:firstLineChars="0" w:firstLine="0"/>
              <w:jc w:val="center"/>
              <w:rPr>
                <w:rFonts w:ascii="Times New Roman" w:eastAsia="宋体" w:cs="Times New Roman" w:hAnsi="Times New Roman"/>
                <w:b/>
                <w:bCs/>
                <w:sz w:val="24"/>
                <w:highlight w:val="none"/>
              </w:rPr>
            </w:pPr>
          </w:p>
          <w:p>
            <w:pPr>
              <w:spacing w:line="240" w:lineRule="auto"/>
              <w:ind w:firstLineChars="0" w:firstLine="0"/>
              <w:jc w:val="center"/>
              <w:rPr>
                <w:rFonts w:ascii="Times New Roman" w:eastAsia="宋体" w:cs="Times New Roman" w:hAnsi="Times New Roman"/>
                <w:b/>
                <w:bCs/>
                <w:sz w:val="24"/>
                <w:highlight w:val="none"/>
              </w:rPr>
            </w:pPr>
          </w:p>
          <w:p>
            <w:pPr>
              <w:spacing w:line="240" w:lineRule="auto"/>
              <w:ind w:firstLineChars="0" w:firstLine="0"/>
              <w:jc w:val="both"/>
              <w:rPr>
                <w:rFonts w:ascii="Times New Roman" w:eastAsia="宋体" w:cs="Times New Roman" w:hAnsi="Times New Roman"/>
                <w:b/>
                <w:bCs/>
                <w:sz w:val="24"/>
                <w:highlight w:val="none"/>
              </w:rPr>
            </w:pPr>
          </w:p>
          <w:p>
            <w:pPr>
              <w:spacing w:line="240" w:lineRule="auto"/>
              <w:ind w:firstLineChars="0" w:firstLine="0"/>
              <w:jc w:val="both"/>
              <w:rPr>
                <w:rFonts w:ascii="Times New Roman" w:eastAsia="宋体" w:cs="Times New Roman" w:hAnsi="Times New Roman"/>
                <w:b/>
                <w:bCs/>
                <w:sz w:val="24"/>
                <w:highlight w:val="none"/>
              </w:rPr>
            </w:pPr>
          </w:p>
          <w:p>
            <w:pPr>
              <w:spacing w:line="240" w:lineRule="auto"/>
              <w:ind w:firstLineChars="0" w:firstLine="0"/>
              <w:jc w:val="center"/>
              <w:rPr>
                <w:rFonts w:cs="Times New Roman" w:hint="eastAsia"/>
                <w:b/>
                <w:bCs/>
                <w:sz w:val="24"/>
                <w:lang w:val="en-US" w:eastAsia="zh-CN"/>
                <w:highlight w:val="none"/>
              </w:rPr>
            </w:pPr>
            <w:r>
              <w:rPr>
                <w:rFonts w:cs="Times New Roman" w:hint="eastAsia"/>
                <w:b/>
                <w:bCs/>
                <w:sz w:val="24"/>
                <w:lang w:val="en-US" w:eastAsia="zh-CN"/>
                <w:highlight w:val="none"/>
              </w:rPr>
              <w:t>图2-1  项目产品链图</w:t>
            </w:r>
          </w:p>
          <w:p>
            <w:pPr>
              <w:spacing w:line="240" w:lineRule="auto"/>
              <w:ind w:firstLineChars="0" w:firstLine="0"/>
              <w:jc w:val="center"/>
              <w:rPr>
                <w:rFonts w:cs="Times New Roman"/>
                <w:b/>
                <w:bCs/>
                <w:sz w:val="24"/>
                <w:lang w:val="en-US" w:eastAsia="zh-CN"/>
                <w:highlight w:val="none"/>
              </w:rPr>
            </w:pPr>
          </w:p>
          <w:p>
            <w:pPr>
              <w:spacing w:line="240" w:lineRule="auto"/>
              <w:ind w:firstLineChars="0" w:firstLine="0"/>
              <w:jc w:val="center"/>
              <w:rPr>
                <w:rFonts w:ascii="Times New Roman" w:eastAsia="宋体" w:cs="Times New Roman" w:hAnsi="Times New Roman"/>
                <w:b/>
                <w:bCs/>
                <w:sz w:val="24"/>
                <w:lang w:val="en-US" w:eastAsia="zh-CN"/>
                <w:highlight w:val="none"/>
              </w:rPr>
            </w:pPr>
            <w:r>
              <w:rPr>
                <w:rFonts w:ascii="Times New Roman" w:eastAsia="宋体" w:cs="Times New Roman" w:hAnsi="Times New Roman"/>
                <w:b/>
                <w:bCs/>
                <w:sz w:val="24"/>
                <w:highlight w:val="none"/>
              </w:rPr>
              <w:t>表2-</w:t>
            </w:r>
            <w:r>
              <w:rPr>
                <w:rFonts w:cs="Times New Roman" w:hint="eastAsia"/>
                <w:b/>
                <w:bCs/>
                <w:sz w:val="24"/>
                <w:lang w:val="en-US" w:eastAsia="zh-CN"/>
                <w:highlight w:val="none"/>
              </w:rPr>
              <w:t>5</w:t>
            </w:r>
            <w:r>
              <w:rPr>
                <w:rFonts w:ascii="Times New Roman" w:eastAsia="宋体" w:cs="Times New Roman" w:hAnsi="Times New Roman"/>
                <w:b/>
                <w:bCs/>
                <w:sz w:val="24"/>
                <w:highlight w:val="none"/>
              </w:rPr>
              <w:t xml:space="preserve"> </w:t>
            </w:r>
            <w:r>
              <w:rPr>
                <w:rFonts w:ascii="Times New Roman" w:eastAsia="宋体" w:cs="Times New Roman" w:hAnsi="Times New Roman"/>
                <w:b/>
                <w:bCs/>
                <w:sz w:val="24"/>
                <w:lang w:val="en-US" w:eastAsia="zh-CN"/>
                <w:highlight w:val="none"/>
              </w:rPr>
              <w:t xml:space="preserve"> </w:t>
            </w:r>
            <w:r>
              <w:rPr>
                <w:rFonts w:ascii="Times New Roman" w:eastAsia="宋体" w:cs="Times New Roman" w:hAnsi="Times New Roman" w:hint="eastAsia"/>
                <w:b/>
                <w:bCs/>
                <w:sz w:val="24"/>
                <w:lang w:val="en-US" w:eastAsia="zh-CN"/>
                <w:highlight w:val="none"/>
              </w:rPr>
              <w:t>复合肥料产品质量</w:t>
            </w:r>
            <w:r>
              <w:rPr>
                <w:rFonts w:ascii="Times New Roman" w:eastAsia="宋体" w:cs="Times New Roman" w:hAnsi="Times New Roman"/>
                <w:b/>
                <w:bCs/>
                <w:sz w:val="24"/>
                <w:lang w:val="en-US" w:eastAsia="zh-CN"/>
                <w:highlight w:val="none"/>
              </w:rPr>
              <w:t>要求（《</w:t>
            </w:r>
            <w:r>
              <w:rPr>
                <w:rFonts w:ascii="Times New Roman" w:eastAsia="宋体" w:cs="Times New Roman" w:hAnsi="Times New Roman" w:hint="eastAsia"/>
                <w:b/>
                <w:bCs/>
                <w:sz w:val="24"/>
                <w:lang w:val="en-US" w:eastAsia="zh-CN"/>
                <w:highlight w:val="none"/>
              </w:rPr>
              <w:t>复合肥料</w:t>
            </w:r>
            <w:r>
              <w:rPr>
                <w:rFonts w:ascii="Times New Roman" w:eastAsia="宋体" w:cs="Times New Roman" w:hAnsi="Times New Roman"/>
                <w:b/>
                <w:bCs/>
                <w:sz w:val="24"/>
                <w:lang w:val="en-US" w:eastAsia="zh-CN"/>
                <w:highlight w:val="none"/>
              </w:rPr>
              <w:t xml:space="preserve">》（GB/T </w:t>
            </w:r>
            <w:r>
              <w:rPr>
                <w:rFonts w:ascii="Times New Roman" w:eastAsia="宋体" w:cs="Times New Roman" w:hAnsi="Times New Roman" w:hint="eastAsia"/>
                <w:b/>
                <w:bCs/>
                <w:sz w:val="24"/>
                <w:lang w:val="en-US" w:eastAsia="zh-CN"/>
                <w:highlight w:val="none"/>
              </w:rPr>
              <w:t>15063</w:t>
            </w:r>
            <w:r>
              <w:rPr>
                <w:rFonts w:ascii="Times New Roman" w:eastAsia="宋体" w:cs="Times New Roman" w:hAnsi="Times New Roman"/>
                <w:b/>
                <w:bCs/>
                <w:sz w:val="24"/>
                <w:lang w:val="en-US" w:eastAsia="zh-CN"/>
                <w:highlight w:val="none"/>
              </w:rPr>
              <w:t>-2020）</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246"/>
              <w:gridCol w:w="3030"/>
              <w:gridCol w:w="990"/>
              <w:gridCol w:w="1005"/>
              <w:gridCol w:w="980"/>
            </w:tblGrid>
            <w:tr>
              <w:trPr>
                <w:trHeight w:val="325"/>
              </w:trPr>
              <w:tc>
                <w:tcPr>
                  <w:tcW w:w="3197" w:type="pct"/>
                  <w:gridSpan w:val="2"/>
                  <w:vMerge w:val="restart"/>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项目</w:t>
                  </w:r>
                </w:p>
              </w:tc>
              <w:tc>
                <w:tcPr>
                  <w:tcW w:w="1802" w:type="pct"/>
                  <w:gridSpan w:val="3"/>
                  <w:vAlign w:val="center"/>
                </w:tcPr>
                <w:p>
                  <w:pPr>
                    <w:spacing w:line="240" w:lineRule="auto"/>
                    <w:ind w:firstLineChars="0" w:firstLine="0"/>
                    <w:jc w:val="center"/>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指标</w:t>
                  </w:r>
                </w:p>
              </w:tc>
            </w:tr>
            <w:tr>
              <w:trPr>
                <w:trHeight w:val="324"/>
              </w:trPr>
              <w:tc>
                <w:tcPr>
                  <w:tcW w:w="3197" w:type="pct"/>
                  <w:gridSpan w:val="2"/>
                  <w:vMerge/>
                  <w:vAlign w:val="center"/>
                </w:tcPr>
                <w:p/>
              </w:tc>
              <w:tc>
                <w:tcPr>
                  <w:tcW w:w="600"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高浓度</w:t>
                  </w:r>
                </w:p>
              </w:tc>
              <w:tc>
                <w:tcPr>
                  <w:tcW w:w="609"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中浓度</w:t>
                  </w:r>
                </w:p>
              </w:tc>
              <w:tc>
                <w:tcPr>
                  <w:tcW w:w="5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低浓度</w:t>
                  </w:r>
                </w:p>
              </w:tc>
            </w:tr>
            <w:tr>
              <w:trPr>
                <w:trHeight w:val="324"/>
              </w:trPr>
              <w:tc>
                <w:tcPr>
                  <w:tcW w:w="3197"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kern w:val="2"/>
                      <w:sz w:val="21"/>
                      <w:szCs w:val="21"/>
                      <w:vertAlign w:val="baseline"/>
                      <w:lang w:val="en-US" w:eastAsia="zh-CN" w:bidi="ar-SA"/>
                      <w:highlight w:val="none"/>
                    </w:rPr>
                    <w:t>总养分</w:t>
                  </w:r>
                  <w:r>
                    <w:rPr>
                      <w:rFonts w:cs="Times New Roman" w:hint="eastAsia"/>
                      <w:kern w:val="2"/>
                      <w:sz w:val="21"/>
                      <w:szCs w:val="21"/>
                      <w:vertAlign w:val="superscript"/>
                      <w:lang w:val="en-US" w:eastAsia="zh-CN" w:bidi="ar-SA"/>
                      <w:highlight w:val="none"/>
                    </w:rPr>
                    <w:t>a</w:t>
                  </w:r>
                  <w:r>
                    <w:rPr>
                      <w:rFonts w:ascii="Times New Roman" w:eastAsia="宋体" w:cs="Times New Roman" w:hAnsi="Times New Roman" w:hint="eastAsia"/>
                      <w:kern w:val="2"/>
                      <w:sz w:val="21"/>
                      <w:szCs w:val="21"/>
                      <w:vertAlign w:val="baseline"/>
                      <w:lang w:val="en-US" w:eastAsia="zh-CN" w:bidi="ar-SA"/>
                      <w:highlight w:val="none"/>
                    </w:rPr>
                    <w:t>（N+P2O5+K2O）/%  ≥</w:t>
                  </w:r>
                </w:p>
              </w:tc>
              <w:tc>
                <w:tcPr>
                  <w:tcW w:w="600"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40.0</w:t>
                  </w:r>
                </w:p>
              </w:tc>
              <w:tc>
                <w:tcPr>
                  <w:tcW w:w="609"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30.0</w:t>
                  </w:r>
                </w:p>
              </w:tc>
              <w:tc>
                <w:tcPr>
                  <w:tcW w:w="5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25.0</w:t>
                  </w:r>
                </w:p>
              </w:tc>
            </w:tr>
            <w:tr>
              <w:trPr>
                <w:trHeight w:val="324"/>
              </w:trPr>
              <w:tc>
                <w:tcPr>
                  <w:tcW w:w="3197"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水溶性磷总有效磷百分率</w:t>
                  </w:r>
                  <w:r>
                    <w:rPr>
                      <w:rFonts w:cs="Times New Roman" w:hint="eastAsia"/>
                      <w:sz w:val="21"/>
                      <w:szCs w:val="21"/>
                      <w:vertAlign w:val="superscript"/>
                      <w:lang w:val="en-US" w:eastAsia="zh-CN"/>
                      <w:highlight w:val="none"/>
                    </w:rPr>
                    <w:t>b</w:t>
                  </w:r>
                  <w:r>
                    <w:rPr>
                      <w:rFonts w:ascii="Times New Roman" w:eastAsia="宋体" w:cs="Times New Roman" w:hAnsi="Times New Roman" w:hint="eastAsia"/>
                      <w:sz w:val="21"/>
                      <w:szCs w:val="21"/>
                      <w:vertAlign w:val="baseline"/>
                      <w:lang w:val="en-US" w:eastAsia="zh-CN"/>
                      <w:highlight w:val="none"/>
                    </w:rPr>
                    <w:t>/%  ≥</w:t>
                  </w:r>
                </w:p>
              </w:tc>
              <w:tc>
                <w:tcPr>
                  <w:tcW w:w="600"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60</w:t>
                  </w:r>
                </w:p>
              </w:tc>
              <w:tc>
                <w:tcPr>
                  <w:tcW w:w="609"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50</w:t>
                  </w:r>
                </w:p>
              </w:tc>
              <w:tc>
                <w:tcPr>
                  <w:tcW w:w="5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40</w:t>
                  </w:r>
                </w:p>
              </w:tc>
            </w:tr>
            <w:tr>
              <w:trPr>
                <w:trHeight w:val="324"/>
              </w:trPr>
              <w:tc>
                <w:tcPr>
                  <w:tcW w:w="3197"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硝态氮</w:t>
                  </w:r>
                  <w:r>
                    <w:rPr>
                      <w:rFonts w:cs="Times New Roman" w:hint="eastAsia"/>
                      <w:sz w:val="21"/>
                      <w:szCs w:val="21"/>
                      <w:vertAlign w:val="superscript"/>
                      <w:lang w:val="en-US" w:eastAsia="zh-CN"/>
                      <w:highlight w:val="none"/>
                    </w:rPr>
                    <w:t>c</w:t>
                  </w:r>
                  <w:r>
                    <w:rPr>
                      <w:rFonts w:ascii="Times New Roman" w:eastAsia="宋体" w:cs="Times New Roman" w:hAnsi="Times New Roman" w:hint="eastAsia"/>
                      <w:sz w:val="21"/>
                      <w:szCs w:val="21"/>
                      <w:vertAlign w:val="baseline"/>
                      <w:lang w:val="en-US" w:eastAsia="zh-CN"/>
                      <w:highlight w:val="none"/>
                    </w:rPr>
                    <w:t>/%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1.5</w:t>
                  </w:r>
                </w:p>
              </w:tc>
            </w:tr>
            <w:tr>
              <w:trPr>
                <w:trHeight w:val="324"/>
              </w:trPr>
              <w:tc>
                <w:tcPr>
                  <w:tcW w:w="3197"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水分</w:t>
                  </w:r>
                  <w:r>
                    <w:rPr>
                      <w:rFonts w:cs="Times New Roman" w:hint="eastAsia"/>
                      <w:sz w:val="21"/>
                      <w:szCs w:val="21"/>
                      <w:vertAlign w:val="superscript"/>
                      <w:lang w:val="en-US" w:eastAsia="zh-CN"/>
                      <w:highlight w:val="none"/>
                    </w:rPr>
                    <w:t>d</w:t>
                  </w:r>
                  <w:r>
                    <w:rPr>
                      <w:rFonts w:ascii="Times New Roman" w:eastAsia="宋体" w:cs="Times New Roman" w:hAnsi="Times New Roman" w:hint="eastAsia"/>
                      <w:sz w:val="21"/>
                      <w:szCs w:val="21"/>
                      <w:vertAlign w:val="baseline"/>
                      <w:lang w:val="en-US" w:eastAsia="zh-CN"/>
                      <w:highlight w:val="none"/>
                    </w:rPr>
                    <w:t>/%  ≥</w:t>
                  </w:r>
                </w:p>
              </w:tc>
              <w:tc>
                <w:tcPr>
                  <w:tcW w:w="600"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2.0</w:t>
                  </w:r>
                </w:p>
              </w:tc>
              <w:tc>
                <w:tcPr>
                  <w:tcW w:w="609"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2.5</w:t>
                  </w:r>
                </w:p>
              </w:tc>
              <w:tc>
                <w:tcPr>
                  <w:tcW w:w="5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5.0</w:t>
                  </w:r>
                </w:p>
              </w:tc>
            </w:tr>
            <w:tr>
              <w:trPr>
                <w:trHeight w:val="324"/>
              </w:trPr>
              <w:tc>
                <w:tcPr>
                  <w:tcW w:w="3197"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粒度</w:t>
                  </w:r>
                  <w:r>
                    <w:rPr>
                      <w:rFonts w:cs="Times New Roman" w:hint="eastAsia"/>
                      <w:sz w:val="21"/>
                      <w:szCs w:val="21"/>
                      <w:vertAlign w:val="baseline"/>
                      <w:lang w:val="en-US" w:eastAsia="zh-CN"/>
                      <w:highlight w:val="none"/>
                    </w:rPr>
                    <w:t>e</w:t>
                  </w:r>
                  <w:r>
                    <w:rPr>
                      <w:rFonts w:ascii="Times New Roman" w:eastAsia="宋体" w:cs="Times New Roman" w:hAnsi="Times New Roman" w:hint="eastAsia"/>
                      <w:sz w:val="21"/>
                      <w:szCs w:val="21"/>
                      <w:vertAlign w:val="baseline"/>
                      <w:lang w:val="en-US" w:eastAsia="zh-CN"/>
                      <w:highlight w:val="none"/>
                    </w:rPr>
                    <w:t>（1.00mm~4.75mm或3.35mm~5.60mm）/%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90</w:t>
                  </w:r>
                </w:p>
              </w:tc>
            </w:tr>
            <w:tr>
              <w:trPr>
                <w:trHeight w:val="324"/>
              </w:trPr>
              <w:tc>
                <w:tcPr>
                  <w:tcW w:w="1361" w:type="pct"/>
                  <w:vMerge w:val="restart"/>
                  <w:vAlign w:val="center"/>
                </w:tcPr>
                <w:p>
                  <w:pPr>
                    <w:spacing w:line="240" w:lineRule="auto"/>
                    <w:ind w:firstLineChars="0" w:firstLine="0"/>
                    <w:jc w:val="center"/>
                    <w:rPr>
                      <w:rFonts w:ascii="Times New Roman" w:eastAsia="宋体" w:cs="Times New Roman" w:hAnsi="Times New Roman"/>
                      <w:kern w:val="2"/>
                      <w:sz w:val="21"/>
                      <w:szCs w:val="21"/>
                      <w:vertAlign w:val="baseline"/>
                      <w:lang w:val="en-US" w:eastAsia="zh-CN" w:bidi="ar-SA"/>
                      <w:highlight w:val="none"/>
                    </w:rPr>
                  </w:pPr>
                  <w:r>
                    <w:rPr>
                      <w:rFonts w:ascii="Times New Roman" w:eastAsia="宋体" w:cs="Times New Roman" w:hAnsi="Times New Roman" w:hint="eastAsia"/>
                      <w:kern w:val="2"/>
                      <w:sz w:val="21"/>
                      <w:szCs w:val="21"/>
                      <w:vertAlign w:val="baseline"/>
                      <w:lang w:val="en-US" w:eastAsia="zh-CN" w:bidi="ar-SA"/>
                      <w:highlight w:val="none"/>
                    </w:rPr>
                    <w:t>氯离子</w:t>
                  </w:r>
                  <w:r>
                    <w:rPr>
                      <w:rFonts w:cs="Times New Roman" w:hint="eastAsia"/>
                      <w:kern w:val="2"/>
                      <w:sz w:val="21"/>
                      <w:szCs w:val="21"/>
                      <w:vertAlign w:val="superscript"/>
                      <w:lang w:val="en-US" w:eastAsia="zh-CN" w:bidi="ar-SA"/>
                      <w:highlight w:val="none"/>
                    </w:rPr>
                    <w:t>f</w:t>
                  </w:r>
                  <w:r>
                    <w:rPr>
                      <w:rFonts w:ascii="Times New Roman" w:eastAsia="宋体" w:cs="Times New Roman" w:hAnsi="Times New Roman" w:hint="eastAsia"/>
                      <w:kern w:val="2"/>
                      <w:sz w:val="21"/>
                      <w:szCs w:val="21"/>
                      <w:vertAlign w:val="baseline"/>
                      <w:lang w:val="en-US" w:eastAsia="zh-CN" w:bidi="ar-SA"/>
                      <w:highlight w:val="none"/>
                    </w:rPr>
                    <w:t>/%</w:t>
                  </w:r>
                </w:p>
              </w:tc>
              <w:tc>
                <w:tcPr>
                  <w:tcW w:w="1836"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未标“含氯”的产品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3.0</w:t>
                  </w:r>
                </w:p>
              </w:tc>
            </w:tr>
            <w:tr>
              <w:trPr>
                <w:trHeight w:val="324"/>
              </w:trPr>
              <w:tc>
                <w:tcPr>
                  <w:tcW w:w="1361" w:type="pct"/>
                  <w:vMerge/>
                  <w:vAlign w:val="center"/>
                </w:tcPr>
                <w:p/>
              </w:tc>
              <w:tc>
                <w:tcPr>
                  <w:tcW w:w="1836"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标识</w:t>
                  </w:r>
                  <w:r>
                    <w:rPr>
                      <w:rFonts w:ascii="Times New Roman" w:eastAsia="宋体" w:cs="Times New Roman" w:hAnsi="Times New Roman"/>
                      <w:sz w:val="21"/>
                      <w:szCs w:val="21"/>
                      <w:vertAlign w:val="baseline"/>
                      <w:lang w:val="en-US" w:eastAsia="zh-CN"/>
                      <w:highlight w:val="none"/>
                    </w:rPr>
                    <w:t>“含氯</w:t>
                  </w:r>
                  <w:r>
                    <w:rPr>
                      <w:rFonts w:ascii="Times New Roman" w:eastAsia="宋体" w:cs="Times New Roman" w:hAnsi="Times New Roman" w:hint="eastAsia"/>
                      <w:sz w:val="21"/>
                      <w:szCs w:val="21"/>
                      <w:vertAlign w:val="baseline"/>
                      <w:lang w:val="en-US" w:eastAsia="zh-CN"/>
                      <w:highlight w:val="none"/>
                    </w:rPr>
                    <w:t>（低氯）</w:t>
                  </w:r>
                  <w:r>
                    <w:rPr>
                      <w:rFonts w:ascii="Times New Roman" w:eastAsia="宋体" w:cs="Times New Roman" w:hAnsi="Times New Roman"/>
                      <w:sz w:val="21"/>
                      <w:szCs w:val="21"/>
                      <w:vertAlign w:val="baseline"/>
                      <w:lang w:val="en-US" w:eastAsia="zh-CN"/>
                      <w:highlight w:val="none"/>
                    </w:rPr>
                    <w:t>”的产品</w:t>
                  </w:r>
                  <w:r>
                    <w:rPr>
                      <w:rFonts w:ascii="Times New Roman" w:eastAsia="宋体" w:cs="Times New Roman" w:hAnsi="Times New Roman" w:hint="eastAsia"/>
                      <w:sz w:val="21"/>
                      <w:szCs w:val="21"/>
                      <w:vertAlign w:val="baseline"/>
                      <w:lang w:val="en-US" w:eastAsia="zh-CN"/>
                      <w:highlight w:val="none"/>
                    </w:rPr>
                    <w:t xml:space="preserve">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15.0</w:t>
                  </w:r>
                </w:p>
              </w:tc>
            </w:tr>
            <w:tr>
              <w:trPr>
                <w:trHeight w:val="324"/>
              </w:trPr>
              <w:tc>
                <w:tcPr>
                  <w:tcW w:w="1361" w:type="pct"/>
                  <w:vMerge/>
                  <w:vAlign w:val="center"/>
                </w:tcPr>
                <w:p/>
              </w:tc>
              <w:tc>
                <w:tcPr>
                  <w:tcW w:w="1836"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sz w:val="21"/>
                      <w:szCs w:val="21"/>
                      <w:vertAlign w:val="baseline"/>
                      <w:lang w:val="en-US" w:eastAsia="zh-CN"/>
                      <w:highlight w:val="none"/>
                    </w:rPr>
                    <w:t>标识“含氯（</w:t>
                  </w:r>
                  <w:r>
                    <w:rPr>
                      <w:rFonts w:ascii="Times New Roman" w:eastAsia="宋体" w:cs="Times New Roman" w:hAnsi="Times New Roman" w:hint="eastAsia"/>
                      <w:sz w:val="21"/>
                      <w:szCs w:val="21"/>
                      <w:vertAlign w:val="baseline"/>
                      <w:lang w:val="en-US" w:eastAsia="zh-CN"/>
                      <w:highlight w:val="none"/>
                    </w:rPr>
                    <w:t>中</w:t>
                  </w:r>
                  <w:r>
                    <w:rPr>
                      <w:rFonts w:ascii="Times New Roman" w:eastAsia="宋体" w:cs="Times New Roman" w:hAnsi="Times New Roman"/>
                      <w:sz w:val="21"/>
                      <w:szCs w:val="21"/>
                      <w:vertAlign w:val="baseline"/>
                      <w:lang w:val="en-US" w:eastAsia="zh-CN"/>
                      <w:highlight w:val="none"/>
                    </w:rPr>
                    <w:t>氯）”的产品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30.0</w:t>
                  </w:r>
                </w:p>
              </w:tc>
            </w:tr>
            <w:tr>
              <w:trPr>
                <w:trHeight w:val="324"/>
              </w:trPr>
              <w:tc>
                <w:tcPr>
                  <w:tcW w:w="1361" w:type="pct"/>
                  <w:vMerge w:val="restart"/>
                  <w:vAlign w:val="center"/>
                </w:tcPr>
                <w:p>
                  <w:pPr>
                    <w:spacing w:line="240" w:lineRule="auto"/>
                    <w:ind w:firstLineChars="0" w:firstLine="0"/>
                    <w:jc w:val="center"/>
                    <w:rPr>
                      <w:rFonts w:ascii="Times New Roman" w:eastAsia="宋体" w:cs="Times New Roman" w:hAnsi="Times New Roman"/>
                      <w:kern w:val="2"/>
                      <w:sz w:val="21"/>
                      <w:szCs w:val="21"/>
                      <w:vertAlign w:val="baseline"/>
                      <w:lang w:val="en-US" w:eastAsia="zh-CN" w:bidi="ar-SA"/>
                      <w:highlight w:val="none"/>
                    </w:rPr>
                  </w:pPr>
                  <w:r>
                    <w:rPr>
                      <w:rFonts w:ascii="Times New Roman" w:eastAsia="宋体" w:cs="Times New Roman" w:hAnsi="Times New Roman"/>
                      <w:kern w:val="2"/>
                      <w:sz w:val="21"/>
                      <w:szCs w:val="21"/>
                      <w:vertAlign w:val="baseline"/>
                      <w:lang w:val="en-US" w:eastAsia="zh-CN" w:bidi="ar-SA"/>
                      <w:highlight w:val="none"/>
                    </w:rPr>
                    <w:t>单一微量元素</w:t>
                  </w:r>
                  <w:r>
                    <w:rPr>
                      <w:rFonts w:cs="Times New Roman" w:hint="eastAsia"/>
                      <w:kern w:val="2"/>
                      <w:sz w:val="21"/>
                      <w:szCs w:val="21"/>
                      <w:vertAlign w:val="superscript"/>
                      <w:lang w:val="en-US" w:eastAsia="zh-CN" w:bidi="ar-SA"/>
                      <w:highlight w:val="none"/>
                    </w:rPr>
                    <w:t>g</w:t>
                  </w:r>
                  <w:r>
                    <w:rPr>
                      <w:rFonts w:ascii="Times New Roman" w:eastAsia="宋体" w:cs="Times New Roman" w:hAnsi="Times New Roman"/>
                      <w:kern w:val="2"/>
                      <w:sz w:val="21"/>
                      <w:szCs w:val="21"/>
                      <w:vertAlign w:val="baseline"/>
                      <w:lang w:val="en-US" w:eastAsia="zh-CN" w:bidi="ar-SA"/>
                      <w:highlight w:val="none"/>
                    </w:rPr>
                    <w:t xml:space="preserve">（以单质计）/% </w:t>
                  </w:r>
                </w:p>
              </w:tc>
              <w:tc>
                <w:tcPr>
                  <w:tcW w:w="1836"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有效钙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1.0</w:t>
                  </w:r>
                </w:p>
              </w:tc>
            </w:tr>
            <w:tr>
              <w:trPr>
                <w:trHeight w:val="324"/>
              </w:trPr>
              <w:tc>
                <w:tcPr>
                  <w:tcW w:w="1361" w:type="pct"/>
                  <w:vMerge/>
                  <w:vAlign w:val="center"/>
                </w:tcPr>
                <w:p/>
              </w:tc>
              <w:tc>
                <w:tcPr>
                  <w:tcW w:w="1836"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有效镁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1.0</w:t>
                  </w:r>
                </w:p>
              </w:tc>
            </w:tr>
            <w:tr>
              <w:trPr>
                <w:trHeight w:val="324"/>
              </w:trPr>
              <w:tc>
                <w:tcPr>
                  <w:tcW w:w="1361" w:type="pct"/>
                  <w:vMerge/>
                  <w:vAlign w:val="center"/>
                </w:tcPr>
                <w:p/>
              </w:tc>
              <w:tc>
                <w:tcPr>
                  <w:tcW w:w="1836"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总硫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2.0</w:t>
                  </w:r>
                </w:p>
              </w:tc>
            </w:tr>
            <w:tr>
              <w:trPr>
                <w:trHeight w:val="324"/>
              </w:trPr>
              <w:tc>
                <w:tcPr>
                  <w:tcW w:w="3197"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单一微量元素</w:t>
                  </w:r>
                  <w:r>
                    <w:rPr>
                      <w:rFonts w:cs="Times New Roman" w:hint="eastAsia"/>
                      <w:sz w:val="21"/>
                      <w:szCs w:val="21"/>
                      <w:vertAlign w:val="superscript"/>
                      <w:lang w:val="en-US" w:eastAsia="zh-CN"/>
                      <w:highlight w:val="none"/>
                    </w:rPr>
                    <w:t>h</w:t>
                  </w:r>
                  <w:r>
                    <w:rPr>
                      <w:rFonts w:ascii="Times New Roman" w:eastAsia="宋体" w:cs="Times New Roman" w:hAnsi="Times New Roman" w:hint="eastAsia"/>
                      <w:sz w:val="21"/>
                      <w:szCs w:val="21"/>
                      <w:vertAlign w:val="baseline"/>
                      <w:lang w:val="en-US" w:eastAsia="zh-CN"/>
                      <w:highlight w:val="none"/>
                    </w:rPr>
                    <w:t>（以单质计）/%   ≥</w:t>
                  </w:r>
                </w:p>
              </w:tc>
              <w:tc>
                <w:tcPr>
                  <w:tcW w:w="1802"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0.02</w:t>
                  </w:r>
                </w:p>
              </w:tc>
            </w:tr>
            <w:tr>
              <w:trPr>
                <w:trHeight w:val="324"/>
              </w:trPr>
              <w:tc>
                <w:tcPr>
                  <w:tcW w:w="5000" w:type="pct"/>
                  <w:gridSpan w:val="5"/>
                  <w:vAlign w:val="center"/>
                </w:tcPr>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 xml:space="preserve">a 组成产品的单一养分含量不应小于 4.0%，且单一养分测定值与标明值负偏差的绝对值不应大于1.5%。 </w:t>
                  </w:r>
                </w:p>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 xml:space="preserve">b 以钙镁磷肥等枸溶性磷肥为基础磷肥并在包装容器上注明为“枸溶性磷”时，“水溶性磷占有效磷百分率”项目不做检验和判定。若为氮、钾二元肥料，“水溶性磷占有效磷百分率”项目不做检验和判定。 </w:t>
                  </w:r>
                </w:p>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 xml:space="preserve">c 包装容器上标明“含硝态氮”时检测本项目。 </w:t>
                  </w:r>
                </w:p>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 xml:space="preserve">d 水分以生产企业出厂检验数据为准。 </w:t>
                  </w:r>
                </w:p>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 xml:space="preserve">e 特殊形状或更大颗粒(粉状除外)产品的粒度可由供需双方协议确定。 </w:t>
                  </w:r>
                </w:p>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 xml:space="preserve">f 氯离子的质量分数大于 30.0%的产品，应在包装容器上标明“含氯(高氯)”；标识“含氯(高氯)”的产品氯离子的质量分数可不做检验和判定。 </w:t>
                  </w:r>
                </w:p>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 xml:space="preserve">g 包装容器上标明含、镁、硫时检测本项目。 </w:t>
                  </w:r>
                </w:p>
                <w:p>
                  <w:pPr>
                    <w:spacing w:line="240" w:lineRule="auto"/>
                    <w:ind w:firstLineChars="0" w:firstLine="0"/>
                    <w:jc w:val="left"/>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h 包装容器上标明含铜、铁、锰、锌、硼、时检测本项目，钼元素的质量分数不高于 0.5%</w:t>
                  </w:r>
                </w:p>
              </w:tc>
            </w:tr>
          </w:tbl>
          <w:p>
            <w:pPr>
              <w:ind w:left="0" w:firstLineChars="0" w:firstLine="0"/>
              <w:jc w:val="center"/>
              <w:rPr>
                <w:b/>
                <w:bCs/>
                <w:color w:val="auto"/>
              </w:rPr>
            </w:pPr>
            <w:r>
              <w:rPr>
                <w:b/>
                <w:bCs/>
                <w:color w:val="auto"/>
              </w:rPr>
              <w:t>表2-</w:t>
            </w:r>
            <w:r>
              <w:rPr>
                <w:rFonts w:hint="eastAsia"/>
                <w:b/>
                <w:bCs/>
                <w:color w:val="auto"/>
                <w:lang w:val="en-US" w:eastAsia="zh-CN"/>
              </w:rPr>
              <w:t>6</w:t>
            </w:r>
            <w:r>
              <w:rPr>
                <w:b/>
                <w:bCs/>
                <w:color w:val="auto"/>
              </w:rPr>
              <w:t xml:space="preserve"> </w:t>
            </w:r>
            <w:r>
              <w:rPr>
                <w:rFonts w:hint="eastAsia"/>
                <w:b/>
                <w:bCs/>
                <w:color w:val="auto"/>
                <w:lang w:val="en-US" w:eastAsia="zh-CN"/>
              </w:rPr>
              <w:t>含硫酸脲复合肥料产品质量</w:t>
            </w:r>
            <w:r>
              <w:rPr>
                <w:b/>
                <w:bCs/>
                <w:color w:val="auto"/>
                <w:lang w:val="en-US" w:eastAsia="zh-CN"/>
              </w:rPr>
              <w:t>要求（</w:t>
            </w:r>
            <w:r>
              <w:rPr>
                <w:rFonts w:hint="eastAsia"/>
                <w:b/>
                <w:bCs/>
                <w:color w:val="auto"/>
                <w:lang w:val="en-US" w:eastAsia="zh-CN"/>
              </w:rPr>
              <w:t>HG</w:t>
            </w:r>
            <w:r>
              <w:rPr>
                <w:b/>
                <w:bCs/>
                <w:color w:val="auto"/>
                <w:lang w:val="en-US" w:eastAsia="zh-CN"/>
              </w:rPr>
              <w:t>/T</w:t>
            </w:r>
            <w:r>
              <w:rPr>
                <w:rFonts w:hint="eastAsia"/>
                <w:b/>
                <w:bCs/>
                <w:color w:val="auto"/>
                <w:lang w:val="en-US" w:eastAsia="zh-CN"/>
              </w:rPr>
              <w:t xml:space="preserve"> 5516</w:t>
            </w:r>
            <w:r>
              <w:rPr>
                <w:b/>
                <w:bCs/>
                <w:color w:val="auto"/>
                <w:lang w:val="en-US" w:eastAsia="zh-CN"/>
              </w:rPr>
              <w:t>-20</w:t>
            </w:r>
            <w:r>
              <w:rPr>
                <w:rFonts w:hint="eastAsia"/>
                <w:b/>
                <w:bCs/>
                <w:color w:val="auto"/>
                <w:lang w:val="en-US" w:eastAsia="zh-CN"/>
              </w:rPr>
              <w:t>19</w:t>
            </w:r>
            <w:r>
              <w:rPr>
                <w:b/>
                <w:bCs/>
                <w:color w:val="auto"/>
                <w:lang w:val="en-US" w:eastAsia="zh-CN"/>
              </w:rPr>
              <w:t>）</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545"/>
              <w:gridCol w:w="3438"/>
              <w:gridCol w:w="1117"/>
              <w:gridCol w:w="1144"/>
              <w:gridCol w:w="8"/>
            </w:tblGrid>
            <w:tr>
              <w:trPr>
                <w:trHeight w:val="325"/>
              </w:trPr>
              <w:tc>
                <w:tcPr>
                  <w:tcW w:w="3625" w:type="pct"/>
                  <w:gridSpan w:val="2"/>
                  <w:vMerge w:val="restart"/>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项目</w:t>
                  </w:r>
                </w:p>
              </w:tc>
              <w:tc>
                <w:tcPr>
                  <w:tcW w:w="1374" w:type="pct"/>
                  <w:gridSpan w:val="3"/>
                  <w:vAlign w:val="center"/>
                </w:tcPr>
                <w:p>
                  <w:pPr>
                    <w:spacing w:line="240" w:lineRule="auto"/>
                    <w:ind w:firstLineChars="0" w:firstLine="0"/>
                    <w:jc w:val="center"/>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指标</w:t>
                  </w:r>
                </w:p>
              </w:tc>
            </w:tr>
            <w:tr>
              <w:trPr>
                <w:trHeight w:val="324"/>
                <w:gridAfter w:val="1"/>
                <w:wAfter w:w="8" w:type="dxa"/>
              </w:trPr>
              <w:tc>
                <w:tcPr>
                  <w:tcW w:w="3625" w:type="pct"/>
                  <w:gridSpan w:val="2"/>
                  <w:vMerge/>
                  <w:vAlign w:val="center"/>
                </w:tcPr>
                <w:p/>
              </w:tc>
              <w:tc>
                <w:tcPr>
                  <w:tcW w:w="677"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高浓度</w:t>
                  </w:r>
                </w:p>
              </w:tc>
              <w:tc>
                <w:tcPr>
                  <w:tcW w:w="6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中浓度</w:t>
                  </w:r>
                </w:p>
              </w:tc>
            </w:tr>
            <w:tr>
              <w:trPr>
                <w:trHeight w:val="324"/>
                <w:gridAfter w:val="1"/>
                <w:wAfter w:w="8" w:type="dxa"/>
              </w:trPr>
              <w:tc>
                <w:tcPr>
                  <w:tcW w:w="3625"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kern w:val="2"/>
                      <w:sz w:val="21"/>
                      <w:szCs w:val="21"/>
                      <w:vertAlign w:val="baseline"/>
                      <w:lang w:val="en-US" w:eastAsia="zh-CN" w:bidi="ar-SA"/>
                      <w:highlight w:val="none"/>
                    </w:rPr>
                    <w:t>总养分（N+P</w:t>
                  </w:r>
                  <w:r>
                    <w:rPr>
                      <w:rFonts w:ascii="Times New Roman" w:eastAsia="宋体" w:cs="Times New Roman" w:hAnsi="Times New Roman" w:hint="eastAsia"/>
                      <w:kern w:val="2"/>
                      <w:sz w:val="21"/>
                      <w:szCs w:val="21"/>
                      <w:vertAlign w:val="subscript"/>
                      <w:lang w:val="en-US" w:eastAsia="zh-CN" w:bidi="ar-SA"/>
                      <w:highlight w:val="none"/>
                    </w:rPr>
                    <w:t>2</w:t>
                  </w:r>
                  <w:r>
                    <w:rPr>
                      <w:rFonts w:ascii="Times New Roman" w:eastAsia="宋体" w:cs="Times New Roman" w:hAnsi="Times New Roman" w:hint="eastAsia"/>
                      <w:kern w:val="2"/>
                      <w:sz w:val="21"/>
                      <w:szCs w:val="21"/>
                      <w:vertAlign w:val="baseline"/>
                      <w:lang w:val="en-US" w:eastAsia="zh-CN" w:bidi="ar-SA"/>
                      <w:highlight w:val="none"/>
                    </w:rPr>
                    <w:t>O</w:t>
                  </w:r>
                  <w:r>
                    <w:rPr>
                      <w:rFonts w:ascii="Times New Roman" w:eastAsia="宋体" w:cs="Times New Roman" w:hAnsi="Times New Roman" w:hint="eastAsia"/>
                      <w:kern w:val="2"/>
                      <w:sz w:val="21"/>
                      <w:szCs w:val="21"/>
                      <w:vertAlign w:val="subscript"/>
                      <w:lang w:val="en-US" w:eastAsia="zh-CN" w:bidi="ar-SA"/>
                      <w:highlight w:val="none"/>
                    </w:rPr>
                    <w:t>5</w:t>
                  </w:r>
                  <w:r>
                    <w:rPr>
                      <w:rFonts w:ascii="Times New Roman" w:eastAsia="宋体" w:cs="Times New Roman" w:hAnsi="Times New Roman" w:hint="eastAsia"/>
                      <w:kern w:val="2"/>
                      <w:sz w:val="21"/>
                      <w:szCs w:val="21"/>
                      <w:vertAlign w:val="baseline"/>
                      <w:lang w:val="en-US" w:eastAsia="zh-CN" w:bidi="ar-SA"/>
                      <w:highlight w:val="none"/>
                    </w:rPr>
                    <w:t>+K</w:t>
                  </w:r>
                  <w:r>
                    <w:rPr>
                      <w:rFonts w:ascii="Times New Roman" w:eastAsia="宋体" w:cs="Times New Roman" w:hAnsi="Times New Roman" w:hint="eastAsia"/>
                      <w:kern w:val="2"/>
                      <w:sz w:val="21"/>
                      <w:szCs w:val="21"/>
                      <w:vertAlign w:val="subscript"/>
                      <w:lang w:val="en-US" w:eastAsia="zh-CN" w:bidi="ar-SA"/>
                      <w:highlight w:val="none"/>
                    </w:rPr>
                    <w:t>2</w:t>
                  </w:r>
                  <w:r>
                    <w:rPr>
                      <w:rFonts w:ascii="Times New Roman" w:eastAsia="宋体" w:cs="Times New Roman" w:hAnsi="Times New Roman" w:hint="eastAsia"/>
                      <w:kern w:val="2"/>
                      <w:sz w:val="21"/>
                      <w:szCs w:val="21"/>
                      <w:vertAlign w:val="baseline"/>
                      <w:lang w:val="en-US" w:eastAsia="zh-CN" w:bidi="ar-SA"/>
                      <w:highlight w:val="none"/>
                    </w:rPr>
                    <w:t>O）</w:t>
                  </w:r>
                  <w:r>
                    <w:rPr>
                      <w:rFonts w:cs="Times New Roman" w:hint="eastAsia"/>
                      <w:kern w:val="2"/>
                      <w:sz w:val="21"/>
                      <w:szCs w:val="21"/>
                      <w:vertAlign w:val="baseline"/>
                      <w:lang w:val="en-US" w:eastAsia="zh-CN" w:bidi="ar-SA"/>
                      <w:highlight w:val="none"/>
                    </w:rPr>
                    <w:t>的质量分数</w:t>
                  </w:r>
                  <w:r>
                    <w:rPr>
                      <w:rFonts w:cs="Times New Roman" w:hint="eastAsia"/>
                      <w:kern w:val="2"/>
                      <w:sz w:val="21"/>
                      <w:szCs w:val="21"/>
                      <w:vertAlign w:val="superscript"/>
                      <w:lang w:val="en-US" w:eastAsia="zh-CN" w:bidi="ar-SA"/>
                      <w:highlight w:val="none"/>
                    </w:rPr>
                    <w:t>a</w:t>
                  </w:r>
                  <w:r>
                    <w:rPr>
                      <w:rFonts w:ascii="Times New Roman" w:eastAsia="宋体" w:cs="Times New Roman" w:hAnsi="Times New Roman" w:hint="eastAsia"/>
                      <w:kern w:val="2"/>
                      <w:sz w:val="21"/>
                      <w:szCs w:val="21"/>
                      <w:vertAlign w:val="baseline"/>
                      <w:lang w:val="en-US" w:eastAsia="zh-CN" w:bidi="ar-SA"/>
                      <w:highlight w:val="none"/>
                    </w:rPr>
                    <w:t>/%  ≥</w:t>
                  </w:r>
                </w:p>
              </w:tc>
              <w:tc>
                <w:tcPr>
                  <w:tcW w:w="677"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40.0</w:t>
                  </w:r>
                </w:p>
              </w:tc>
              <w:tc>
                <w:tcPr>
                  <w:tcW w:w="6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30.0</w:t>
                  </w:r>
                </w:p>
              </w:tc>
            </w:tr>
            <w:tr>
              <w:trPr>
                <w:trHeight w:val="324"/>
                <w:gridAfter w:val="1"/>
                <w:wAfter w:w="8" w:type="dxa"/>
              </w:trPr>
              <w:tc>
                <w:tcPr>
                  <w:tcW w:w="3625"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水溶性磷总有效磷百分率/%  ≥</w:t>
                  </w:r>
                </w:p>
              </w:tc>
              <w:tc>
                <w:tcPr>
                  <w:tcW w:w="677"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60</w:t>
                  </w:r>
                </w:p>
              </w:tc>
              <w:tc>
                <w:tcPr>
                  <w:tcW w:w="6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50</w:t>
                  </w:r>
                </w:p>
              </w:tc>
            </w:tr>
            <w:tr>
              <w:trPr>
                <w:trHeight w:val="324"/>
              </w:trPr>
              <w:tc>
                <w:tcPr>
                  <w:tcW w:w="3625"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硫（S）的质量分数</w:t>
                  </w:r>
                  <w:r>
                    <w:rPr>
                      <w:rFonts w:ascii="Times New Roman" w:eastAsia="宋体" w:cs="Times New Roman" w:hAnsi="Times New Roman" w:hint="eastAsia"/>
                      <w:sz w:val="21"/>
                      <w:szCs w:val="21"/>
                      <w:vertAlign w:val="baseline"/>
                      <w:lang w:val="en-US" w:eastAsia="zh-CN"/>
                      <w:highlight w:val="none"/>
                    </w:rPr>
                    <w:t>/%   ≥</w:t>
                  </w:r>
                </w:p>
              </w:tc>
              <w:tc>
                <w:tcPr>
                  <w:tcW w:w="677"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5.0</w:t>
                  </w:r>
                </w:p>
              </w:tc>
              <w:tc>
                <w:tcPr>
                  <w:tcW w:w="697" w:type="pct"/>
                  <w:gridSpan w:val="2"/>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4.0</w:t>
                  </w:r>
                </w:p>
              </w:tc>
            </w:tr>
            <w:tr>
              <w:trPr>
                <w:trHeight w:val="324"/>
                <w:gridAfter w:val="1"/>
                <w:wAfter w:w="8" w:type="dxa"/>
              </w:trPr>
              <w:tc>
                <w:tcPr>
                  <w:tcW w:w="3625"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水</w:t>
                  </w:r>
                  <w:r>
                    <w:rPr>
                      <w:rFonts w:ascii="Times New Roman" w:eastAsia="宋体" w:cs="Times New Roman" w:hAnsi="Times New Roman" w:hint="eastAsia"/>
                      <w:sz w:val="21"/>
                      <w:szCs w:val="21"/>
                      <w:vertAlign w:val="baseline"/>
                      <w:lang w:val="en-US" w:eastAsia="zh-CN"/>
                      <w:highlight w:val="none"/>
                    </w:rPr>
                    <w:t>（</w:t>
                  </w:r>
                  <w:r>
                    <w:rPr>
                      <w:rFonts w:cs="Times New Roman" w:hint="eastAsia"/>
                      <w:sz w:val="21"/>
                      <w:szCs w:val="21"/>
                      <w:vertAlign w:val="baseline"/>
                      <w:lang w:val="en-US" w:eastAsia="zh-CN"/>
                      <w:highlight w:val="none"/>
                    </w:rPr>
                    <w:t>H</w:t>
                  </w:r>
                  <w:r>
                    <w:rPr>
                      <w:rFonts w:cs="Times New Roman" w:hint="eastAsia"/>
                      <w:sz w:val="21"/>
                      <w:szCs w:val="21"/>
                      <w:vertAlign w:val="subscript"/>
                      <w:lang w:val="en-US" w:eastAsia="zh-CN"/>
                      <w:highlight w:val="none"/>
                    </w:rPr>
                    <w:t>2</w:t>
                  </w:r>
                  <w:r>
                    <w:rPr>
                      <w:rFonts w:cs="Times New Roman" w:hint="eastAsia"/>
                      <w:sz w:val="21"/>
                      <w:szCs w:val="21"/>
                      <w:vertAlign w:val="baseline"/>
                      <w:lang w:val="en-US" w:eastAsia="zh-CN"/>
                      <w:highlight w:val="none"/>
                    </w:rPr>
                    <w:t>O</w:t>
                  </w:r>
                  <w:r>
                    <w:rPr>
                      <w:rFonts w:ascii="Times New Roman" w:eastAsia="宋体" w:cs="Times New Roman" w:hAnsi="Times New Roman" w:hint="eastAsia"/>
                      <w:sz w:val="21"/>
                      <w:szCs w:val="21"/>
                      <w:vertAlign w:val="baseline"/>
                      <w:lang w:val="en-US" w:eastAsia="zh-CN"/>
                      <w:highlight w:val="none"/>
                    </w:rPr>
                    <w:t>）的质量分数/%</w:t>
                  </w:r>
                  <w:r>
                    <w:rPr>
                      <w:rFonts w:ascii="Times New Roman" w:eastAsia="宋体" w:cs="Times New Roman" w:hAnsi="Times New Roman" w:hint="eastAsia"/>
                      <w:sz w:val="21"/>
                      <w:szCs w:val="21"/>
                      <w:vertAlign w:val="superscript"/>
                      <w:lang w:val="en-US" w:eastAsia="zh-CN"/>
                      <w:highlight w:val="none"/>
                    </w:rPr>
                    <w:t xml:space="preserve"> </w:t>
                  </w:r>
                  <w:r>
                    <w:rPr>
                      <w:rFonts w:cs="Times New Roman" w:hint="eastAsia"/>
                      <w:sz w:val="21"/>
                      <w:szCs w:val="21"/>
                      <w:vertAlign w:val="superscript"/>
                      <w:lang w:val="en-US" w:eastAsia="zh-CN"/>
                      <w:highlight w:val="none"/>
                    </w:rPr>
                    <w:t>b</w:t>
                  </w:r>
                  <w:r>
                    <w:rPr>
                      <w:rFonts w:ascii="Times New Roman" w:eastAsia="宋体" w:cs="Times New Roman" w:hAnsi="Times New Roman" w:hint="eastAsia"/>
                      <w:sz w:val="21"/>
                      <w:szCs w:val="21"/>
                      <w:vertAlign w:val="baseline"/>
                      <w:lang w:val="en-US" w:eastAsia="zh-CN"/>
                      <w:highlight w:val="none"/>
                    </w:rPr>
                    <w:t xml:space="preserve"> </w:t>
                  </w:r>
                  <w:r>
                    <w:rPr>
                      <w:rFonts w:cs="Times New Roman" w:hint="eastAsia"/>
                      <w:sz w:val="21"/>
                      <w:szCs w:val="21"/>
                      <w:vertAlign w:val="baseline"/>
                      <w:lang w:val="en-US" w:eastAsia="zh-CN"/>
                      <w:highlight w:val="none"/>
                    </w:rPr>
                    <w:t>≤</w:t>
                  </w:r>
                </w:p>
              </w:tc>
              <w:tc>
                <w:tcPr>
                  <w:tcW w:w="677"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2.0</w:t>
                  </w:r>
                </w:p>
              </w:tc>
              <w:tc>
                <w:tcPr>
                  <w:tcW w:w="69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2.5</w:t>
                  </w:r>
                </w:p>
              </w:tc>
            </w:tr>
            <w:tr>
              <w:trPr>
                <w:trHeight w:val="324"/>
              </w:trPr>
              <w:tc>
                <w:tcPr>
                  <w:tcW w:w="3625" w:type="pct"/>
                  <w:gridSpan w:val="2"/>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氨挥发氮占总氮的百分率</w:t>
                  </w:r>
                  <w:r>
                    <w:rPr>
                      <w:rFonts w:ascii="Times New Roman" w:eastAsia="宋体" w:cs="Times New Roman" w:hAnsi="Times New Roman" w:hint="eastAsia"/>
                      <w:sz w:val="21"/>
                      <w:szCs w:val="21"/>
                      <w:vertAlign w:val="baseline"/>
                      <w:lang w:val="en-US" w:eastAsia="zh-CN"/>
                      <w:highlight w:val="none"/>
                    </w:rPr>
                    <w:t>/%  ≥</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2</w:t>
                  </w:r>
                  <w:r>
                    <w:rPr>
                      <w:rFonts w:ascii="Times New Roman" w:eastAsia="宋体" w:cs="Times New Roman" w:hAnsi="Times New Roman" w:hint="eastAsia"/>
                      <w:sz w:val="21"/>
                      <w:szCs w:val="21"/>
                      <w:vertAlign w:val="baseline"/>
                      <w:lang w:val="en-US" w:eastAsia="zh-CN"/>
                      <w:highlight w:val="none"/>
                    </w:rPr>
                    <w:t>0</w:t>
                  </w:r>
                </w:p>
              </w:tc>
            </w:tr>
            <w:tr>
              <w:trPr>
                <w:trHeight w:val="324"/>
              </w:trPr>
              <w:tc>
                <w:tcPr>
                  <w:tcW w:w="3625" w:type="pct"/>
                  <w:gridSpan w:val="2"/>
                  <w:vAlign w:val="center"/>
                </w:tcPr>
                <w:p>
                  <w:pPr>
                    <w:spacing w:line="240" w:lineRule="auto"/>
                    <w:ind w:firstLineChars="0" w:firstLine="0"/>
                    <w:jc w:val="center"/>
                    <w:rPr>
                      <w:rFonts w:cs="Times New Roman"/>
                      <w:sz w:val="21"/>
                      <w:szCs w:val="21"/>
                      <w:vertAlign w:val="baseline"/>
                      <w:lang w:val="en-US" w:eastAsia="zh-CN"/>
                      <w:highlight w:val="none"/>
                    </w:rPr>
                  </w:pPr>
                  <w:r>
                    <w:rPr>
                      <w:rFonts w:cs="Times New Roman" w:hint="eastAsia"/>
                      <w:sz w:val="21"/>
                      <w:szCs w:val="21"/>
                      <w:vertAlign w:val="baseline"/>
                      <w:lang w:val="en-US" w:eastAsia="zh-CN"/>
                      <w:highlight w:val="none"/>
                    </w:rPr>
                    <w:t>酰胺态氮占总氮的百分率/%  ≥</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60</w:t>
                  </w:r>
                </w:p>
              </w:tc>
            </w:tr>
            <w:tr>
              <w:trPr>
                <w:trHeight w:val="324"/>
              </w:trPr>
              <w:tc>
                <w:tcPr>
                  <w:tcW w:w="3625" w:type="pct"/>
                  <w:gridSpan w:val="2"/>
                  <w:vAlign w:val="center"/>
                </w:tcPr>
                <w:p>
                  <w:pPr>
                    <w:spacing w:line="240" w:lineRule="auto"/>
                    <w:ind w:firstLineChars="0" w:firstLine="0"/>
                    <w:jc w:val="center"/>
                    <w:rPr>
                      <w:rFonts w:cs="Times New Roman" w:hint="eastAsia"/>
                      <w:sz w:val="21"/>
                      <w:szCs w:val="21"/>
                      <w:vertAlign w:val="baseline"/>
                      <w:lang w:val="en-US" w:eastAsia="zh-CN"/>
                      <w:highlight w:val="none"/>
                    </w:rPr>
                  </w:pPr>
                  <w:r>
                    <w:rPr>
                      <w:rFonts w:cs="Times New Roman" w:hint="eastAsia"/>
                      <w:sz w:val="21"/>
                      <w:szCs w:val="21"/>
                      <w:vertAlign w:val="baseline"/>
                      <w:lang w:val="en-US" w:eastAsia="zh-CN"/>
                      <w:highlight w:val="none"/>
                    </w:rPr>
                    <w:t>粒度（1.00mm~4.75mm或3.35mm~5.60mm）/%  ≥</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90</w:t>
                  </w:r>
                </w:p>
              </w:tc>
            </w:tr>
            <w:tr>
              <w:trPr>
                <w:trHeight w:val="324"/>
              </w:trPr>
              <w:tc>
                <w:tcPr>
                  <w:tcW w:w="3625" w:type="pct"/>
                  <w:gridSpan w:val="2"/>
                  <w:vAlign w:val="center"/>
                </w:tcPr>
                <w:p>
                  <w:pPr>
                    <w:spacing w:line="240" w:lineRule="auto"/>
                    <w:ind w:firstLineChars="0" w:firstLine="0"/>
                    <w:jc w:val="center"/>
                    <w:rPr>
                      <w:rFonts w:cs="Times New Roman"/>
                      <w:sz w:val="21"/>
                      <w:szCs w:val="21"/>
                      <w:vertAlign w:val="baseline"/>
                      <w:lang w:val="en-US" w:eastAsia="zh-CN"/>
                      <w:highlight w:val="none"/>
                    </w:rPr>
                  </w:pPr>
                  <w:r>
                    <w:rPr>
                      <w:rFonts w:cs="Times New Roman" w:hint="eastAsia"/>
                      <w:sz w:val="21"/>
                      <w:szCs w:val="21"/>
                      <w:vertAlign w:val="baseline"/>
                      <w:lang w:val="en-US" w:eastAsia="zh-CN"/>
                      <w:highlight w:val="none"/>
                    </w:rPr>
                    <w:t>pH值</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5.0~6.5</w:t>
                  </w:r>
                </w:p>
              </w:tc>
            </w:tr>
            <w:tr>
              <w:trPr>
                <w:trHeight w:val="324"/>
              </w:trPr>
              <w:tc>
                <w:tcPr>
                  <w:tcW w:w="3625" w:type="pct"/>
                  <w:gridSpan w:val="2"/>
                  <w:vAlign w:val="center"/>
                </w:tcPr>
                <w:p>
                  <w:pPr>
                    <w:spacing w:line="240" w:lineRule="auto"/>
                    <w:ind w:firstLineChars="0" w:firstLine="0"/>
                    <w:jc w:val="center"/>
                    <w:rPr>
                      <w:rFonts w:cs="Times New Roman"/>
                      <w:sz w:val="21"/>
                      <w:szCs w:val="21"/>
                      <w:vertAlign w:val="baseline"/>
                      <w:lang w:val="en-US" w:eastAsia="zh-CN"/>
                      <w:highlight w:val="none"/>
                    </w:rPr>
                  </w:pPr>
                  <w:r>
                    <w:rPr>
                      <w:rFonts w:cs="Times New Roman" w:hint="eastAsia"/>
                      <w:sz w:val="21"/>
                      <w:szCs w:val="21"/>
                      <w:vertAlign w:val="baseline"/>
                      <w:lang w:val="en-US" w:eastAsia="zh-CN"/>
                      <w:highlight w:val="none"/>
                    </w:rPr>
                    <w:t>缩二脲的质量分数/%  ≤</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0.5</w:t>
                  </w:r>
                </w:p>
              </w:tc>
            </w:tr>
            <w:tr>
              <w:trPr>
                <w:trHeight w:val="324"/>
              </w:trPr>
              <w:tc>
                <w:tcPr>
                  <w:tcW w:w="1542" w:type="pct"/>
                  <w:vMerge w:val="restart"/>
                  <w:vAlign w:val="center"/>
                </w:tcPr>
                <w:p>
                  <w:pPr>
                    <w:spacing w:line="240" w:lineRule="auto"/>
                    <w:ind w:firstLineChars="0" w:firstLine="0"/>
                    <w:jc w:val="center"/>
                    <w:rPr>
                      <w:rFonts w:ascii="Times New Roman" w:eastAsia="宋体" w:cs="Times New Roman" w:hAnsi="Times New Roman"/>
                      <w:kern w:val="2"/>
                      <w:sz w:val="21"/>
                      <w:szCs w:val="21"/>
                      <w:vertAlign w:val="baseline"/>
                      <w:lang w:val="en-US" w:eastAsia="zh-CN" w:bidi="ar-SA"/>
                      <w:highlight w:val="none"/>
                    </w:rPr>
                  </w:pPr>
                  <w:r>
                    <w:rPr>
                      <w:rFonts w:ascii="Times New Roman" w:eastAsia="宋体" w:cs="Times New Roman" w:hAnsi="Times New Roman" w:hint="eastAsia"/>
                      <w:kern w:val="2"/>
                      <w:sz w:val="21"/>
                      <w:szCs w:val="21"/>
                      <w:vertAlign w:val="baseline"/>
                      <w:lang w:val="en-US" w:eastAsia="zh-CN" w:bidi="ar-SA"/>
                      <w:highlight w:val="none"/>
                    </w:rPr>
                    <w:t>氯离子/%</w:t>
                  </w:r>
                </w:p>
              </w:tc>
              <w:tc>
                <w:tcPr>
                  <w:tcW w:w="208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未标“含氯”的产品 ≥</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3.0</w:t>
                  </w:r>
                </w:p>
              </w:tc>
            </w:tr>
            <w:tr>
              <w:trPr>
                <w:trHeight w:val="324"/>
              </w:trPr>
              <w:tc>
                <w:tcPr>
                  <w:tcW w:w="1542" w:type="pct"/>
                  <w:vMerge/>
                  <w:vAlign w:val="center"/>
                </w:tcPr>
                <w:p/>
              </w:tc>
              <w:tc>
                <w:tcPr>
                  <w:tcW w:w="208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标识</w:t>
                  </w:r>
                  <w:r>
                    <w:rPr>
                      <w:rFonts w:ascii="Times New Roman" w:eastAsia="宋体" w:cs="Times New Roman" w:hAnsi="Times New Roman"/>
                      <w:sz w:val="21"/>
                      <w:szCs w:val="21"/>
                      <w:vertAlign w:val="baseline"/>
                      <w:lang w:val="en-US" w:eastAsia="zh-CN"/>
                      <w:highlight w:val="none"/>
                    </w:rPr>
                    <w:t>“含氯</w:t>
                  </w:r>
                  <w:r>
                    <w:rPr>
                      <w:rFonts w:ascii="Times New Roman" w:eastAsia="宋体" w:cs="Times New Roman" w:hAnsi="Times New Roman" w:hint="eastAsia"/>
                      <w:sz w:val="21"/>
                      <w:szCs w:val="21"/>
                      <w:vertAlign w:val="baseline"/>
                      <w:lang w:val="en-US" w:eastAsia="zh-CN"/>
                      <w:highlight w:val="none"/>
                    </w:rPr>
                    <w:t>（低氯）</w:t>
                  </w:r>
                  <w:r>
                    <w:rPr>
                      <w:rFonts w:ascii="Times New Roman" w:eastAsia="宋体" w:cs="Times New Roman" w:hAnsi="Times New Roman"/>
                      <w:sz w:val="21"/>
                      <w:szCs w:val="21"/>
                      <w:vertAlign w:val="baseline"/>
                      <w:lang w:val="en-US" w:eastAsia="zh-CN"/>
                      <w:highlight w:val="none"/>
                    </w:rPr>
                    <w:t>”的产品</w:t>
                  </w:r>
                  <w:r>
                    <w:rPr>
                      <w:rFonts w:ascii="Times New Roman" w:eastAsia="宋体" w:cs="Times New Roman" w:hAnsi="Times New Roman" w:hint="eastAsia"/>
                      <w:sz w:val="21"/>
                      <w:szCs w:val="21"/>
                      <w:vertAlign w:val="baseline"/>
                      <w:lang w:val="en-US" w:eastAsia="zh-CN"/>
                      <w:highlight w:val="none"/>
                    </w:rPr>
                    <w:t xml:space="preserve">  ≥</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15.0</w:t>
                  </w:r>
                </w:p>
              </w:tc>
            </w:tr>
            <w:tr>
              <w:trPr>
                <w:trHeight w:val="324"/>
              </w:trPr>
              <w:tc>
                <w:tcPr>
                  <w:tcW w:w="1542" w:type="pct"/>
                  <w:vMerge/>
                  <w:vAlign w:val="center"/>
                </w:tcPr>
                <w:p/>
              </w:tc>
              <w:tc>
                <w:tcPr>
                  <w:tcW w:w="208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sz w:val="21"/>
                      <w:szCs w:val="21"/>
                      <w:vertAlign w:val="baseline"/>
                      <w:lang w:val="en-US" w:eastAsia="zh-CN"/>
                      <w:highlight w:val="none"/>
                    </w:rPr>
                    <w:t>标识“含氯（</w:t>
                  </w:r>
                  <w:r>
                    <w:rPr>
                      <w:rFonts w:ascii="Times New Roman" w:eastAsia="宋体" w:cs="Times New Roman" w:hAnsi="Times New Roman" w:hint="eastAsia"/>
                      <w:sz w:val="21"/>
                      <w:szCs w:val="21"/>
                      <w:vertAlign w:val="baseline"/>
                      <w:lang w:val="en-US" w:eastAsia="zh-CN"/>
                      <w:highlight w:val="none"/>
                    </w:rPr>
                    <w:t>中</w:t>
                  </w:r>
                  <w:r>
                    <w:rPr>
                      <w:rFonts w:ascii="Times New Roman" w:eastAsia="宋体" w:cs="Times New Roman" w:hAnsi="Times New Roman"/>
                      <w:sz w:val="21"/>
                      <w:szCs w:val="21"/>
                      <w:vertAlign w:val="baseline"/>
                      <w:lang w:val="en-US" w:eastAsia="zh-CN"/>
                      <w:highlight w:val="none"/>
                    </w:rPr>
                    <w:t>氯）”的产品  ≥</w:t>
                  </w:r>
                </w:p>
              </w:tc>
              <w:tc>
                <w:tcPr>
                  <w:tcW w:w="1374" w:type="pct"/>
                  <w:gridSpan w:val="3"/>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30.0</w:t>
                  </w:r>
                </w:p>
              </w:tc>
            </w:tr>
            <w:tr>
              <w:trPr>
                <w:trHeight w:val="324"/>
              </w:trPr>
              <w:tc>
                <w:tcPr>
                  <w:tcW w:w="5000" w:type="pct"/>
                  <w:gridSpan w:val="5"/>
                  <w:vAlign w:val="center"/>
                </w:tcPr>
                <w:p>
                  <w:pPr>
                    <w:spacing w:line="240" w:lineRule="auto"/>
                    <w:ind w:firstLineChars="0" w:firstLine="0"/>
                    <w:jc w:val="both"/>
                    <w:rPr>
                      <w:rFonts w:cs="Times New Roman" w:hint="eastAsia"/>
                      <w:sz w:val="21"/>
                      <w:szCs w:val="21"/>
                      <w:vertAlign w:val="baseline"/>
                      <w:lang w:val="en-US" w:eastAsia="zh-CN"/>
                      <w:highlight w:val="none"/>
                    </w:rPr>
                  </w:pPr>
                  <w:r>
                    <w:rPr>
                      <w:rFonts w:cs="Times New Roman" w:hint="eastAsia"/>
                      <w:sz w:val="21"/>
                      <w:szCs w:val="21"/>
                      <w:vertAlign w:val="baseline"/>
                      <w:lang w:val="en-US" w:eastAsia="zh-CN"/>
                      <w:highlight w:val="none"/>
                    </w:rPr>
                    <w:t>a产品单一养分含量不得低于4.0%，且单一养分测定值与标明值负偏差的绝对值不应大于1.5%。</w:t>
                  </w:r>
                </w:p>
                <w:p>
                  <w:pPr>
                    <w:spacing w:line="240" w:lineRule="auto"/>
                    <w:ind w:firstLineChars="0" w:firstLine="0"/>
                    <w:jc w:val="both"/>
                    <w:rPr>
                      <w:rFonts w:cs="Times New Roman"/>
                      <w:sz w:val="21"/>
                      <w:szCs w:val="21"/>
                      <w:vertAlign w:val="baseline"/>
                      <w:lang w:val="en-US" w:eastAsia="zh-CN"/>
                      <w:highlight w:val="none"/>
                    </w:rPr>
                  </w:pPr>
                  <w:r>
                    <w:rPr>
                      <w:rFonts w:cs="Times New Roman" w:hint="eastAsia"/>
                      <w:sz w:val="21"/>
                      <w:szCs w:val="21"/>
                      <w:vertAlign w:val="baseline"/>
                      <w:lang w:val="en-US" w:eastAsia="zh-CN"/>
                      <w:highlight w:val="none"/>
                    </w:rPr>
                    <w:t>b水（H</w:t>
                  </w:r>
                  <w:r>
                    <w:rPr>
                      <w:rFonts w:cs="Times New Roman" w:hint="eastAsia"/>
                      <w:sz w:val="21"/>
                      <w:szCs w:val="21"/>
                      <w:vertAlign w:val="subscript"/>
                      <w:lang w:val="en-US" w:eastAsia="zh-CN"/>
                      <w:highlight w:val="none"/>
                    </w:rPr>
                    <w:t>2</w:t>
                  </w:r>
                  <w:r>
                    <w:rPr>
                      <w:rFonts w:cs="Times New Roman" w:hint="eastAsia"/>
                      <w:sz w:val="21"/>
                      <w:szCs w:val="21"/>
                      <w:vertAlign w:val="baseline"/>
                      <w:lang w:val="en-US" w:eastAsia="zh-CN"/>
                      <w:highlight w:val="none"/>
                    </w:rPr>
                    <w:t>O）的质量分数以生产企业的出厂检测数据为准。</w:t>
                  </w:r>
                </w:p>
              </w:tc>
            </w:tr>
          </w:tbl>
          <w:p>
            <w:pPr>
              <w:ind w:left="0" w:firstLineChars="0" w:firstLine="0"/>
              <w:jc w:val="center"/>
              <w:rPr>
                <w:b/>
                <w:bCs/>
                <w:color w:val="auto"/>
              </w:rPr>
            </w:pPr>
            <w:r>
              <w:rPr>
                <w:b/>
                <w:bCs/>
                <w:color w:val="auto"/>
              </w:rPr>
              <w:t>表2-</w:t>
            </w:r>
            <w:r>
              <w:rPr>
                <w:rFonts w:hint="eastAsia"/>
                <w:b/>
                <w:bCs/>
                <w:color w:val="auto"/>
                <w:lang w:val="en-US" w:eastAsia="zh-CN"/>
              </w:rPr>
              <w:t>7</w:t>
            </w:r>
            <w:r>
              <w:rPr>
                <w:b/>
                <w:bCs/>
                <w:color w:val="auto"/>
              </w:rPr>
              <w:t xml:space="preserve"> </w:t>
            </w:r>
            <w:r>
              <w:rPr>
                <w:rFonts w:hint="eastAsia"/>
                <w:b/>
                <w:bCs/>
                <w:color w:val="auto"/>
                <w:lang w:val="en-US" w:eastAsia="zh-CN"/>
              </w:rPr>
              <w:t>脲醛缓释肥料</w:t>
            </w:r>
            <w:r>
              <w:rPr>
                <w:rFonts w:ascii="Times New Roman" w:eastAsia="宋体" w:hAnsi="Times New Roman" w:hint="eastAsia"/>
                <w:b/>
                <w:bCs/>
                <w:color w:val="auto"/>
                <w:lang w:val="en-US" w:eastAsia="zh-CN"/>
              </w:rPr>
              <w:t>产品质量</w:t>
            </w:r>
            <w:r>
              <w:rPr>
                <w:b/>
                <w:bCs/>
                <w:color w:val="auto"/>
                <w:lang w:val="en-US" w:eastAsia="zh-CN"/>
              </w:rPr>
              <w:t>要求（</w:t>
            </w:r>
            <w:r>
              <w:rPr>
                <w:rFonts w:ascii="Times New Roman" w:eastAsia="宋体" w:hAnsi="Times New Roman" w:hint="eastAsia"/>
                <w:b/>
                <w:bCs/>
                <w:color w:val="auto"/>
                <w:lang w:val="en-US" w:eastAsia="zh-CN"/>
              </w:rPr>
              <w:t>G</w:t>
            </w:r>
            <w:r>
              <w:rPr>
                <w:rFonts w:hint="eastAsia"/>
                <w:b/>
                <w:bCs/>
                <w:color w:val="auto"/>
                <w:lang w:val="en-US" w:eastAsia="zh-CN"/>
              </w:rPr>
              <w:t>B</w:t>
            </w:r>
            <w:r>
              <w:rPr>
                <w:b/>
                <w:bCs/>
                <w:color w:val="auto"/>
                <w:lang w:val="en-US" w:eastAsia="zh-CN"/>
              </w:rPr>
              <w:t>/T</w:t>
            </w:r>
            <w:r>
              <w:rPr>
                <w:rFonts w:ascii="Times New Roman" w:eastAsia="宋体" w:hAnsi="Times New Roman" w:hint="eastAsia"/>
                <w:b/>
                <w:bCs/>
                <w:color w:val="auto"/>
                <w:lang w:val="en-US" w:eastAsia="zh-CN"/>
              </w:rPr>
              <w:t xml:space="preserve"> </w:t>
            </w:r>
            <w:r>
              <w:rPr>
                <w:rFonts w:hint="eastAsia"/>
                <w:b/>
                <w:bCs/>
                <w:color w:val="auto"/>
                <w:lang w:val="en-US" w:eastAsia="zh-CN"/>
              </w:rPr>
              <w:t>34763</w:t>
            </w:r>
            <w:r>
              <w:rPr>
                <w:b/>
                <w:bCs/>
                <w:color w:val="auto"/>
                <w:lang w:val="en-US" w:eastAsia="zh-CN"/>
              </w:rPr>
              <w:t>-20</w:t>
            </w:r>
            <w:r>
              <w:rPr>
                <w:rFonts w:ascii="Times New Roman" w:eastAsia="宋体" w:hAnsi="Times New Roman" w:hint="eastAsia"/>
                <w:b/>
                <w:bCs/>
                <w:color w:val="auto"/>
                <w:lang w:val="en-US" w:eastAsia="zh-CN"/>
              </w:rPr>
              <w:t>1</w:t>
            </w:r>
            <w:r>
              <w:rPr>
                <w:rFonts w:hint="eastAsia"/>
                <w:b/>
                <w:bCs/>
                <w:color w:val="auto"/>
                <w:lang w:val="en-US" w:eastAsia="zh-CN"/>
              </w:rPr>
              <w:t>7</w:t>
            </w:r>
            <w:r>
              <w:rPr>
                <w:b/>
                <w:bCs/>
                <w:color w:val="auto"/>
                <w:lang w:val="en-US" w:eastAsia="zh-CN"/>
              </w:rPr>
              <w:t>）</w:t>
            </w:r>
          </w:p>
          <w:tbl>
            <w:tblPr>
              <w:jc w:val="left"/>
              <w:tblInd w:w="0" w:type="dxa"/>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075"/>
              <w:gridCol w:w="2325"/>
            </w:tblGrid>
            <w:tr>
              <w:trPr>
                <w:trHeight w:val="629"/>
              </w:trPr>
              <w:tc>
                <w:tcPr>
                  <w:tcW w:w="3616" w:type="pct"/>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项目</w:t>
                  </w:r>
                </w:p>
              </w:tc>
              <w:tc>
                <w:tcPr>
                  <w:tcW w:w="1383" w:type="pct"/>
                  <w:vAlign w:val="center"/>
                </w:tcPr>
                <w:p>
                  <w:pPr>
                    <w:spacing w:line="240" w:lineRule="auto"/>
                    <w:ind w:firstLineChars="0" w:firstLine="0"/>
                    <w:jc w:val="center"/>
                    <w:rPr>
                      <w:rFonts w:ascii="Times New Roman" w:eastAsia="宋体" w:cs="Times New Roman" w:hAnsi="Times New Roman" w:hint="eastAsia"/>
                      <w:sz w:val="21"/>
                      <w:szCs w:val="21"/>
                      <w:vertAlign w:val="baseline"/>
                      <w:lang w:val="en-US" w:eastAsia="zh-CN"/>
                      <w:highlight w:val="none"/>
                    </w:rPr>
                  </w:pPr>
                  <w:r>
                    <w:rPr>
                      <w:rFonts w:ascii="Times New Roman" w:eastAsia="宋体" w:cs="Times New Roman" w:hAnsi="Times New Roman" w:hint="eastAsia"/>
                      <w:sz w:val="21"/>
                      <w:szCs w:val="21"/>
                      <w:vertAlign w:val="baseline"/>
                      <w:lang w:val="en-US" w:eastAsia="zh-CN"/>
                      <w:highlight w:val="none"/>
                    </w:rPr>
                    <w:t>指标</w:t>
                  </w:r>
                </w:p>
              </w:tc>
            </w:tr>
            <w:tr>
              <w:trPr>
                <w:trHeight w:val="324"/>
              </w:trPr>
              <w:tc>
                <w:tcPr>
                  <w:tcW w:w="3616" w:type="pct"/>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kern w:val="2"/>
                      <w:sz w:val="21"/>
                      <w:szCs w:val="21"/>
                      <w:vertAlign w:val="baseline"/>
                      <w:lang w:val="en-US" w:eastAsia="zh-CN" w:bidi="ar-SA"/>
                      <w:highlight w:val="none"/>
                    </w:rPr>
                    <w:t>缓释有效氮的质量分数（脲醛缓释肥料以冷水不溶性氮CWIN计，脲醛缓释复合肥料以脲醛氮UFN计，脲醛缓释掺混肥以冷水不溶性氮CWIN计）</w:t>
                  </w:r>
                  <w:r>
                    <w:rPr>
                      <w:rFonts w:cs="Times New Roman" w:hint="eastAsia"/>
                      <w:kern w:val="2"/>
                      <w:sz w:val="21"/>
                      <w:szCs w:val="21"/>
                      <w:vertAlign w:val="superscript"/>
                      <w:lang w:val="en-US" w:eastAsia="zh-CN" w:bidi="ar-SA"/>
                      <w:highlight w:val="none"/>
                    </w:rPr>
                    <w:t>a</w:t>
                  </w:r>
                  <w:r>
                    <w:rPr>
                      <w:rFonts w:ascii="Times New Roman" w:eastAsia="宋体" w:cs="Times New Roman" w:hAnsi="Times New Roman" w:hint="eastAsia"/>
                      <w:kern w:val="2"/>
                      <w:sz w:val="21"/>
                      <w:szCs w:val="21"/>
                      <w:vertAlign w:val="baseline"/>
                      <w:lang w:val="en-US" w:eastAsia="zh-CN" w:bidi="ar-SA"/>
                      <w:highlight w:val="none"/>
                    </w:rPr>
                    <w:t xml:space="preserve"> </w:t>
                  </w:r>
                  <w:r>
                    <w:rPr>
                      <w:rFonts w:cs="Times New Roman" w:hint="eastAsia"/>
                      <w:kern w:val="2"/>
                      <w:sz w:val="21"/>
                      <w:szCs w:val="21"/>
                      <w:vertAlign w:val="baseline"/>
                      <w:lang w:val="en-US" w:eastAsia="zh-CN" w:bidi="ar-SA"/>
                      <w:highlight w:val="none"/>
                    </w:rPr>
                    <w:t xml:space="preserve">    </w:t>
                  </w:r>
                  <w:r>
                    <w:rPr>
                      <w:rFonts w:ascii="Times New Roman" w:eastAsia="宋体" w:cs="Times New Roman" w:hAnsi="Times New Roman" w:hint="eastAsia"/>
                      <w:kern w:val="2"/>
                      <w:sz w:val="21"/>
                      <w:szCs w:val="21"/>
                      <w:vertAlign w:val="baseline"/>
                      <w:lang w:val="en-US" w:eastAsia="zh-CN" w:bidi="ar-SA"/>
                      <w:highlight w:val="none"/>
                    </w:rPr>
                    <w:t>≥</w:t>
                  </w:r>
                </w:p>
              </w:tc>
              <w:tc>
                <w:tcPr>
                  <w:tcW w:w="138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标明值</w:t>
                  </w:r>
                </w:p>
              </w:tc>
            </w:tr>
            <w:tr>
              <w:trPr>
                <w:trHeight w:val="324"/>
              </w:trPr>
              <w:tc>
                <w:tcPr>
                  <w:tcW w:w="3616" w:type="pct"/>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总氮（TN）的质量分数</w:t>
                  </w:r>
                  <w:r>
                    <w:rPr>
                      <w:rFonts w:ascii="Times New Roman" w:eastAsia="宋体" w:cs="Times New Roman" w:hAnsi="Times New Roman" w:hint="eastAsia"/>
                      <w:sz w:val="21"/>
                      <w:szCs w:val="21"/>
                      <w:vertAlign w:val="baseline"/>
                      <w:lang w:val="en-US" w:eastAsia="zh-CN"/>
                      <w:highlight w:val="none"/>
                    </w:rPr>
                    <w:t xml:space="preserve"> </w:t>
                  </w:r>
                  <w:r>
                    <w:rPr>
                      <w:rFonts w:cs="Times New Roman" w:hint="eastAsia"/>
                      <w:sz w:val="21"/>
                      <w:szCs w:val="21"/>
                      <w:vertAlign w:val="superscript"/>
                      <w:lang w:val="en-US" w:eastAsia="zh-CN"/>
                      <w:highlight w:val="none"/>
                    </w:rPr>
                    <w:t>b</w:t>
                  </w:r>
                  <w:r>
                    <w:rPr>
                      <w:rFonts w:ascii="Times New Roman" w:eastAsia="宋体" w:cs="Times New Roman" w:hAnsi="Times New Roman" w:hint="eastAsia"/>
                      <w:sz w:val="21"/>
                      <w:szCs w:val="21"/>
                      <w:vertAlign w:val="baseline"/>
                      <w:lang w:val="en-US" w:eastAsia="zh-CN"/>
                      <w:highlight w:val="none"/>
                    </w:rPr>
                    <w:t xml:space="preserve"> ≥</w:t>
                  </w:r>
                </w:p>
              </w:tc>
              <w:tc>
                <w:tcPr>
                  <w:tcW w:w="138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18.0</w:t>
                  </w:r>
                </w:p>
              </w:tc>
            </w:tr>
            <w:tr>
              <w:trPr>
                <w:trHeight w:val="324"/>
              </w:trPr>
              <w:tc>
                <w:tcPr>
                  <w:tcW w:w="3616" w:type="pct"/>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单一元素单一养分的质量分数（以单质计）</w:t>
                  </w:r>
                  <w:r>
                    <w:rPr>
                      <w:rFonts w:cs="Times New Roman" w:hint="eastAsia"/>
                      <w:sz w:val="21"/>
                      <w:szCs w:val="21"/>
                      <w:vertAlign w:val="superscript"/>
                      <w:lang w:val="en-US" w:eastAsia="zh-CN"/>
                      <w:highlight w:val="none"/>
                    </w:rPr>
                    <w:t>c</w:t>
                  </w:r>
                  <w:r>
                    <w:rPr>
                      <w:rFonts w:cs="Times New Roman" w:hint="eastAsia"/>
                      <w:sz w:val="21"/>
                      <w:szCs w:val="21"/>
                      <w:vertAlign w:val="baseline"/>
                      <w:lang w:val="en-US" w:eastAsia="zh-CN"/>
                      <w:highlight w:val="none"/>
                    </w:rPr>
                    <w:t xml:space="preserve"> </w:t>
                  </w:r>
                  <w:r>
                    <w:rPr>
                      <w:rFonts w:ascii="Times New Roman" w:eastAsia="宋体" w:cs="Times New Roman" w:hAnsi="Times New Roman" w:hint="eastAsia"/>
                      <w:sz w:val="21"/>
                      <w:szCs w:val="21"/>
                      <w:vertAlign w:val="baseline"/>
                      <w:lang w:val="en-US" w:eastAsia="zh-CN"/>
                      <w:highlight w:val="none"/>
                    </w:rPr>
                    <w:t xml:space="preserve"> ≥</w:t>
                  </w:r>
                </w:p>
              </w:tc>
              <w:tc>
                <w:tcPr>
                  <w:tcW w:w="138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2.0</w:t>
                  </w:r>
                </w:p>
              </w:tc>
            </w:tr>
            <w:tr>
              <w:trPr>
                <w:trHeight w:val="324"/>
              </w:trPr>
              <w:tc>
                <w:tcPr>
                  <w:tcW w:w="3616" w:type="pct"/>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微量元素单一养分的质量分数（以单质计）</w:t>
                  </w:r>
                  <w:r>
                    <w:rPr>
                      <w:rFonts w:cs="Times New Roman" w:hint="eastAsia"/>
                      <w:sz w:val="21"/>
                      <w:szCs w:val="21"/>
                      <w:vertAlign w:val="superscript"/>
                      <w:lang w:val="en-US" w:eastAsia="zh-CN"/>
                      <w:highlight w:val="none"/>
                    </w:rPr>
                    <w:t xml:space="preserve">d </w:t>
                  </w:r>
                  <w:r>
                    <w:rPr>
                      <w:rFonts w:cs="Times New Roman" w:hint="eastAsia"/>
                      <w:sz w:val="21"/>
                      <w:szCs w:val="21"/>
                      <w:vertAlign w:val="baseline"/>
                      <w:lang w:val="en-US" w:eastAsia="zh-CN"/>
                      <w:highlight w:val="none"/>
                    </w:rPr>
                    <w:t xml:space="preserve"> ≥</w:t>
                  </w:r>
                </w:p>
              </w:tc>
              <w:tc>
                <w:tcPr>
                  <w:tcW w:w="1383" w:type="pct"/>
                  <w:tcBorders>
                    <w:left w:val="single" w:sz="4" w:space="0" w:color="auto"/>
                  </w:tcBorders>
                  <w:vAlign w:val="center"/>
                </w:tcPr>
                <w:p>
                  <w:pPr>
                    <w:spacing w:line="240" w:lineRule="auto"/>
                    <w:ind w:firstLineChars="0" w:firstLine="0"/>
                    <w:jc w:val="center"/>
                    <w:rPr>
                      <w:rFonts w:ascii="Times New Roman" w:eastAsia="宋体" w:cs="Times New Roman" w:hAnsi="Times New Roman"/>
                      <w:sz w:val="21"/>
                      <w:szCs w:val="21"/>
                      <w:vertAlign w:val="baseline"/>
                      <w:lang w:val="en-US" w:eastAsia="zh-CN"/>
                      <w:highlight w:val="none"/>
                    </w:rPr>
                  </w:pPr>
                  <w:r>
                    <w:rPr>
                      <w:rFonts w:cs="Times New Roman" w:hint="eastAsia"/>
                      <w:sz w:val="21"/>
                      <w:szCs w:val="21"/>
                      <w:vertAlign w:val="baseline"/>
                      <w:lang w:val="en-US" w:eastAsia="zh-CN"/>
                      <w:highlight w:val="none"/>
                    </w:rPr>
                    <w:t>0.02</w:t>
                  </w:r>
                </w:p>
              </w:tc>
            </w:tr>
            <w:tr>
              <w:trPr>
                <w:trHeight w:val="324"/>
              </w:trPr>
              <w:tc>
                <w:tcPr>
                  <w:tcW w:w="5000" w:type="pct"/>
                  <w:gridSpan w:val="2"/>
                  <w:vAlign w:val="center"/>
                </w:tcPr>
                <w:p>
                  <w:pPr>
                    <w:spacing w:line="240" w:lineRule="auto"/>
                    <w:ind w:firstLineChars="0" w:firstLine="0"/>
                    <w:jc w:val="both"/>
                    <w:rPr>
                      <w:rFonts w:cs="Times New Roman"/>
                      <w:sz w:val="21"/>
                      <w:szCs w:val="21"/>
                      <w:vertAlign w:val="baseline"/>
                      <w:lang w:val="en-US" w:eastAsia="zh-CN"/>
                      <w:highlight w:val="none"/>
                    </w:rPr>
                  </w:pPr>
                  <w:r>
                    <w:rPr>
                      <w:rFonts w:cs="Times New Roman" w:hint="eastAsia"/>
                      <w:sz w:val="21"/>
                      <w:szCs w:val="21"/>
                      <w:vertAlign w:val="baseline"/>
                      <w:lang w:val="en-US" w:eastAsia="zh-CN"/>
                      <w:highlight w:val="none"/>
                    </w:rPr>
                    <w:t>a脲醛缓释氮肥缓释有效氮（以冷水不溶性氮CWIN计）应不小于4.0%；脲醛缓释掺混肥缓释有效氮（以冷水不溶性氮CWIN计）应不小于2.0%，脲醛缓释复合肥料缓释有效氮（以脲醛氮UFN计）应不小于2.0%。冷水不溶性氮CWIN应注明缓释氮的形式，如脲甲醛（UF/MU），异丁叉二脲（IBDU）、丁烯叉二脲（CDU）。</w:t>
                  </w:r>
                </w:p>
                <w:p>
                  <w:pPr>
                    <w:spacing w:line="240" w:lineRule="auto"/>
                    <w:ind w:firstLineChars="0" w:firstLine="0"/>
                    <w:jc w:val="both"/>
                    <w:rPr>
                      <w:rFonts w:cs="Times New Roman" w:hint="eastAsia"/>
                      <w:sz w:val="21"/>
                      <w:szCs w:val="21"/>
                      <w:vertAlign w:val="baseline"/>
                      <w:lang w:val="en-US" w:eastAsia="zh-CN"/>
                      <w:highlight w:val="none"/>
                    </w:rPr>
                  </w:pPr>
                  <w:r>
                    <w:rPr>
                      <w:rFonts w:cs="Times New Roman" w:hint="eastAsia"/>
                      <w:sz w:val="21"/>
                      <w:szCs w:val="21"/>
                      <w:vertAlign w:val="baseline"/>
                      <w:lang w:val="en-US" w:eastAsia="zh-CN"/>
                      <w:highlight w:val="none"/>
                    </w:rPr>
                    <w:t>b该项目仅适用于脲醛缓释氮肥。</w:t>
                  </w:r>
                </w:p>
                <w:p>
                  <w:pPr>
                    <w:spacing w:line="240" w:lineRule="auto"/>
                    <w:ind w:firstLineChars="0" w:firstLine="0"/>
                    <w:jc w:val="both"/>
                    <w:rPr>
                      <w:rFonts w:cs="Times New Roman" w:hint="eastAsia"/>
                      <w:sz w:val="21"/>
                      <w:szCs w:val="21"/>
                      <w:vertAlign w:val="baseline"/>
                      <w:lang w:val="en-US" w:eastAsia="zh-CN"/>
                      <w:highlight w:val="none"/>
                    </w:rPr>
                  </w:pPr>
                  <w:r>
                    <w:rPr>
                      <w:rFonts w:cs="Times New Roman" w:hint="eastAsia"/>
                      <w:sz w:val="21"/>
                      <w:szCs w:val="21"/>
                      <w:vertAlign w:val="baseline"/>
                      <w:lang w:val="en-US" w:eastAsia="zh-CN"/>
                      <w:highlight w:val="none"/>
                    </w:rPr>
                    <w:t>c包装容器标明有钙、镁、硫时检测该项指标。</w:t>
                  </w:r>
                </w:p>
                <w:p>
                  <w:pPr>
                    <w:spacing w:line="240" w:lineRule="auto"/>
                    <w:ind w:firstLineChars="0" w:firstLine="0"/>
                    <w:jc w:val="both"/>
                    <w:rPr>
                      <w:rFonts w:cs="Times New Roman"/>
                      <w:sz w:val="21"/>
                      <w:szCs w:val="21"/>
                      <w:vertAlign w:val="baseline"/>
                      <w:lang w:val="en-US" w:eastAsia="zh-CN"/>
                      <w:highlight w:val="none"/>
                    </w:rPr>
                  </w:pPr>
                  <w:r>
                    <w:rPr>
                      <w:rFonts w:cs="Times New Roman" w:hint="eastAsia"/>
                      <w:sz w:val="21"/>
                      <w:szCs w:val="21"/>
                      <w:vertAlign w:val="baseline"/>
                      <w:lang w:val="en-US" w:eastAsia="zh-CN"/>
                      <w:highlight w:val="none"/>
                    </w:rPr>
                    <w:t>d包装容器标明有铜、铁、猛、锌、硼、钼时检测该项目指标。</w:t>
                  </w:r>
                </w:p>
              </w:tc>
            </w:tr>
          </w:tbl>
          <w:p>
            <w:pPr>
              <w:rPr>
                <w:b/>
                <w:bCs/>
                <w:color w:val="auto"/>
              </w:rPr>
            </w:pPr>
            <w:r>
              <w:rPr>
                <w:b/>
                <w:bCs/>
                <w:color w:val="auto"/>
              </w:rPr>
              <w:t>5、公用工程</w:t>
            </w:r>
          </w:p>
          <w:p>
            <w:pPr>
              <w:rPr>
                <w:color w:val="auto"/>
              </w:rPr>
            </w:pPr>
            <w:r>
              <w:rPr>
                <w:rFonts w:hint="eastAsia"/>
                <w:color w:val="auto"/>
                <w:lang w:val="en-US" w:eastAsia="zh-CN"/>
              </w:rPr>
              <w:t>现有工程给排水情况：</w:t>
            </w:r>
          </w:p>
          <w:p>
            <w:pPr>
              <w:tabs>
                <w:tab w:val="left" w:pos="4080"/>
              </w:tabs>
              <w:rPr>
                <w:color w:val="auto"/>
              </w:rPr>
            </w:pPr>
            <w:r>
              <w:rPr>
                <w:color w:val="auto"/>
              </w:rPr>
              <w:t>（1）给水</w:t>
            </w:r>
          </w:p>
          <w:p>
            <w:pPr>
              <w:rPr>
                <w:rFonts w:ascii="Times New Roman" w:cs="Times New Roman" w:hAnsi="Times New Roman"/>
                <w:color w:val="auto"/>
                <w:lang w:val="en-US" w:eastAsia="zh-CN"/>
              </w:rPr>
            </w:pPr>
            <w:r>
              <w:rPr>
                <w:rFonts w:cs="Times New Roman" w:hint="eastAsia"/>
                <w:color w:val="auto"/>
                <w:lang w:val="en-US" w:eastAsia="zh-CN"/>
              </w:rPr>
              <w:t>现有工程</w:t>
            </w:r>
            <w:r>
              <w:rPr>
                <w:rFonts w:ascii="Times New Roman" w:cs="Times New Roman" w:hAnsi="Times New Roman"/>
                <w:color w:val="auto"/>
                <w:lang w:val="en-US" w:eastAsia="zh-CN"/>
              </w:rPr>
              <w:t>用水由园区统一供给，项目用水情况如下：生活、生产用水由园区供水厂提供。总用水量为44.205m³/d，其中新鲜水用量为7m³/d，循环水用量为 36m³/d，化验室用纯水0.005m³/d，回用水量1.2m³/d。</w:t>
            </w:r>
          </w:p>
          <w:p>
            <w:pPr>
              <w:rPr>
                <w:rFonts w:ascii="Times New Roman" w:cs="Times New Roman" w:hAnsi="Times New Roman"/>
                <w:color w:val="auto"/>
                <w:lang w:val="en-US" w:eastAsia="zh-CN"/>
              </w:rPr>
            </w:pPr>
            <w:r>
              <w:rPr>
                <w:rFonts w:ascii="Times New Roman" w:cs="Times New Roman" w:hAnsi="Times New Roman"/>
                <w:color w:val="auto"/>
                <w:lang w:val="en-US" w:eastAsia="zh-CN"/>
              </w:rPr>
              <w:t>①喷淋塔用水：总用水量为16.4m³/d，其中新鲜水量为0.4m³/d，循环水量为16m³/d，损耗量为0.2m³/d，回用于搅拌工序水量为0.2m³/d。</w:t>
            </w:r>
          </w:p>
          <w:p>
            <w:pPr>
              <w:rPr>
                <w:rFonts w:ascii="Times New Roman" w:cs="Times New Roman" w:hAnsi="Times New Roman"/>
                <w:color w:val="auto"/>
                <w:lang w:val="en-US" w:eastAsia="zh-CN"/>
              </w:rPr>
            </w:pPr>
            <w:r>
              <w:rPr>
                <w:rFonts w:ascii="Times New Roman" w:cs="Times New Roman" w:hAnsi="Times New Roman"/>
                <w:color w:val="auto"/>
                <w:lang w:val="en-US" w:eastAsia="zh-CN"/>
              </w:rPr>
              <w:t>②旋转吸附机用水：总用水量为16.6m³/d，其中新鲜水量为0.6m³/d，循环水量为16m³/d，损耗量为0.2m³/d，回用于搅拌工序水量为0.4m³/d。</w:t>
            </w:r>
          </w:p>
          <w:p>
            <w:pPr>
              <w:rPr>
                <w:rFonts w:ascii="Times New Roman" w:cs="Times New Roman" w:hAnsi="Times New Roman"/>
                <w:color w:val="auto"/>
                <w:lang w:val="en-US" w:eastAsia="zh-CN"/>
              </w:rPr>
            </w:pPr>
            <w:r>
              <w:rPr>
                <w:rFonts w:ascii="Times New Roman" w:cs="Times New Roman" w:hAnsi="Times New Roman"/>
                <w:color w:val="auto"/>
                <w:lang w:val="en-US" w:eastAsia="zh-CN"/>
              </w:rPr>
              <w:t xml:space="preserve">③热风炉用水：本项目热风炉用水量不新增。总用水量为5m³/d，其中新鲜水量为1m³/d，循环水量为4m³/d，损耗量为0.4m³/d，回用于搅拌工序水量为0.6m³/d。 </w:t>
            </w:r>
          </w:p>
          <w:p>
            <w:pPr>
              <w:rPr>
                <w:rFonts w:ascii="Times New Roman" w:cs="Times New Roman" w:hAnsi="Times New Roman"/>
                <w:color w:val="auto"/>
                <w:lang w:val="en-US" w:eastAsia="zh-CN"/>
              </w:rPr>
            </w:pPr>
            <w:r>
              <w:rPr>
                <w:rFonts w:ascii="Times New Roman" w:cs="Times New Roman" w:hAnsi="Times New Roman"/>
                <w:color w:val="auto"/>
                <w:lang w:val="en-US" w:eastAsia="zh-CN"/>
              </w:rPr>
              <w:t>④生产用水：本项目生产用水量不新增。新鲜水量为1.4m³/d。搅拌工序损耗量为2.6m³/d。</w:t>
            </w:r>
          </w:p>
          <w:p>
            <w:pPr>
              <w:rPr>
                <w:rFonts w:ascii="Times New Roman" w:cs="Times New Roman" w:hAnsi="Times New Roman"/>
                <w:color w:val="auto"/>
                <w:lang w:val="en-US" w:eastAsia="zh-CN"/>
              </w:rPr>
            </w:pPr>
            <w:r>
              <w:rPr>
                <w:rFonts w:ascii="Times New Roman" w:cs="Times New Roman" w:hAnsi="Times New Roman"/>
                <w:color w:val="auto"/>
                <w:lang w:val="en-US" w:eastAsia="zh-CN"/>
              </w:rPr>
              <w:t>⑤其他用水：本项目纯水用量不新增。化验室用水为外购纯水，用水量为0.005m³/d。损耗量为0.001m³/d，废水产生量0.004m³/d（暂存危废间，定期交由有资质单位合理处置）。</w:t>
            </w:r>
          </w:p>
          <w:p>
            <w:pPr>
              <w:rPr>
                <w:rFonts w:ascii="Times New Roman" w:cs="Times New Roman" w:hAnsi="Times New Roman"/>
                <w:color w:val="auto"/>
                <w:lang w:val="en-US" w:eastAsia="zh-CN"/>
              </w:rPr>
            </w:pPr>
            <w:r>
              <w:rPr>
                <w:rFonts w:ascii="Times New Roman" w:cs="Times New Roman" w:hAnsi="Times New Roman"/>
                <w:color w:val="auto"/>
                <w:lang w:val="en-US" w:eastAsia="zh-CN"/>
              </w:rPr>
              <w:t>⑥生活用水：项目不新增劳动定员，新鲜水量为3.6m³/d，损耗量0.72m³/d，废水产生量为2.88m³/d。</w:t>
            </w:r>
          </w:p>
          <w:p>
            <w:pPr>
              <w:rPr>
                <w:rFonts w:ascii="Times New Roman" w:cs="Times New Roman" w:hAnsi="Times New Roman"/>
                <w:color w:val="auto"/>
                <w:lang w:val="en-US" w:eastAsia="zh-CN"/>
              </w:rPr>
            </w:pPr>
            <w:r>
              <w:rPr>
                <w:rFonts w:ascii="Times New Roman" w:cs="Times New Roman" w:hAnsi="Times New Roman"/>
                <w:color w:val="auto"/>
                <w:lang w:val="en-US" w:eastAsia="zh-CN"/>
              </w:rPr>
              <w:t>（2）排水</w:t>
            </w:r>
          </w:p>
          <w:p>
            <w:pPr>
              <w:keepNext w:val="0"/>
              <w:keepLines w:val="0"/>
              <w:widowControl/>
              <w:suppressLineNumbers w:val="0"/>
              <w:jc w:val="left"/>
              <w:rPr>
                <w:color w:val="auto"/>
              </w:rPr>
            </w:pPr>
            <w:r>
              <w:rPr>
                <w:rFonts w:ascii="宋体" w:eastAsia="宋体" w:cs="宋体" w:hAnsi="宋体" w:hint="eastAsia"/>
                <w:color w:val="auto"/>
                <w:kern w:val="0"/>
                <w:sz w:val="24"/>
                <w:szCs w:val="24"/>
                <w:lang w:val="en-US" w:eastAsia="zh-CN"/>
              </w:rPr>
              <w:t>生活污水排水量</w:t>
            </w:r>
            <w:r>
              <w:rPr>
                <w:rFonts w:ascii="Times New Roman" w:eastAsia="宋体" w:cs="Times New Roman" w:hAnsi="Times New Roman"/>
                <w:color w:val="auto"/>
                <w:kern w:val="0"/>
                <w:sz w:val="24"/>
                <w:szCs w:val="24"/>
                <w:lang w:val="en-US" w:eastAsia="zh-CN"/>
              </w:rPr>
              <w:t>2.88m³/d</w:t>
            </w:r>
            <w:r>
              <w:rPr>
                <w:rFonts w:ascii="宋体" w:eastAsia="宋体" w:cs="宋体" w:hAnsi="宋体" w:hint="eastAsia"/>
                <w:color w:val="auto"/>
                <w:kern w:val="0"/>
                <w:sz w:val="24"/>
                <w:szCs w:val="24"/>
                <w:lang w:val="en-US" w:eastAsia="zh-CN"/>
              </w:rPr>
              <w:t>。生活污水进入厂区多格生物化粪池处理，处理后经园区污水管网进入石家庄装备制造基地绿源污水处理有限公司进一步处理。</w:t>
            </w:r>
          </w:p>
          <w:p>
            <w:pPr>
              <w:rPr>
                <w:rFonts w:hint="eastAsia"/>
                <w:color w:val="auto"/>
                <w:lang w:val="en-US" w:eastAsia="zh-CN"/>
                <w:highlight w:val="yellow"/>
              </w:rPr>
            </w:pPr>
            <w:r>
              <w:rPr>
                <w:rFonts w:hint="eastAsia"/>
                <w:color w:val="auto"/>
                <w:lang w:val="en-US" w:eastAsia="zh-CN"/>
                <w:highlight w:val="none"/>
              </w:rPr>
              <w:t>本项目给排水情况：</w:t>
            </w:r>
          </w:p>
          <w:p>
            <w:pPr>
              <w:rPr>
                <w:rFonts w:hint="eastAsia"/>
                <w:color w:val="auto"/>
                <w:lang w:val="en-US" w:eastAsia="zh-CN"/>
                <w:highlight w:val="none"/>
              </w:rPr>
            </w:pPr>
            <w:r>
              <w:rPr>
                <w:rFonts w:hint="eastAsia"/>
                <w:color w:val="auto"/>
                <w:lang w:val="en-US" w:eastAsia="zh-CN"/>
                <w:highlight w:val="none"/>
              </w:rPr>
              <w:t>本项目生产工艺不涉及用水，不新增劳动定员，不新增生活用水量，不新增生活污水的排放量。</w:t>
            </w:r>
          </w:p>
          <w:p>
            <w:pPr>
              <w:rPr>
                <w:rFonts w:hint="eastAsia"/>
                <w:color w:val="auto"/>
                <w:lang w:val="en-US" w:eastAsia="zh-CN"/>
                <w:highlight w:val="none"/>
              </w:rPr>
            </w:pPr>
            <w:r>
              <w:rPr>
                <w:rFonts w:hint="eastAsia"/>
                <w:color w:val="auto"/>
                <w:lang w:val="en-US" w:eastAsia="zh-CN"/>
                <w:highlight w:val="none"/>
              </w:rPr>
              <w:t>本项目新增电蒸汽发生器用水，现有搅拌工序新鲜水用量为1.4m</w:t>
            </w:r>
            <w:r>
              <w:rPr>
                <w:rFonts w:hint="eastAsia"/>
                <w:color w:val="auto"/>
                <w:vertAlign w:val="superscript"/>
                <w:lang w:val="en-US" w:eastAsia="zh-CN"/>
                <w:highlight w:val="none"/>
              </w:rPr>
              <w:t>3</w:t>
            </w:r>
            <w:r>
              <w:rPr>
                <w:rFonts w:hint="eastAsia"/>
                <w:color w:val="auto"/>
                <w:lang w:val="en-US" w:eastAsia="zh-CN"/>
                <w:highlight w:val="none"/>
              </w:rPr>
              <w:t>/d，本次技改后</w:t>
            </w:r>
            <w:r>
              <w:rPr>
                <w:rFonts w:ascii="Times New Roman" w:eastAsia="宋体" w:hAnsi="Times New Roman" w:hint="eastAsia"/>
                <w:color w:val="auto"/>
                <w:lang w:val="en-US" w:eastAsia="zh-CN"/>
                <w:highlight w:val="none"/>
              </w:rPr>
              <w:t>搅拌工序新鲜水用量为</w:t>
            </w:r>
            <w:r>
              <w:rPr>
                <w:rFonts w:hint="eastAsia"/>
                <w:color w:val="auto"/>
                <w:lang w:val="en-US" w:eastAsia="zh-CN"/>
                <w:highlight w:val="none"/>
              </w:rPr>
              <w:t>0</w:t>
            </w:r>
            <w:r>
              <w:rPr>
                <w:rFonts w:ascii="Times New Roman" w:eastAsia="宋体" w:hAnsi="Times New Roman" w:hint="eastAsia"/>
                <w:color w:val="auto"/>
                <w:lang w:val="en-US" w:eastAsia="zh-CN"/>
                <w:highlight w:val="none"/>
              </w:rPr>
              <w:t>.4m</w:t>
            </w:r>
            <w:r>
              <w:rPr>
                <w:rFonts w:ascii="Times New Roman" w:eastAsia="宋体" w:hAnsi="Times New Roman" w:hint="eastAsia"/>
                <w:color w:val="auto"/>
                <w:vertAlign w:val="superscript"/>
                <w:lang w:val="en-US" w:eastAsia="zh-CN"/>
                <w:highlight w:val="none"/>
              </w:rPr>
              <w:t>3</w:t>
            </w:r>
            <w:r>
              <w:rPr>
                <w:rFonts w:ascii="Times New Roman" w:eastAsia="宋体" w:hAnsi="Times New Roman" w:hint="eastAsia"/>
                <w:color w:val="auto"/>
                <w:lang w:val="en-US" w:eastAsia="zh-CN"/>
                <w:highlight w:val="none"/>
              </w:rPr>
              <w:t>/d</w:t>
            </w:r>
            <w:r>
              <w:rPr>
                <w:rFonts w:hint="eastAsia"/>
                <w:color w:val="auto"/>
                <w:lang w:val="en-US" w:eastAsia="zh-CN"/>
                <w:highlight w:val="none"/>
              </w:rPr>
              <w:t>，电蒸汽发生器新鲜水用量为1</w:t>
            </w:r>
            <w:r>
              <w:rPr>
                <w:rFonts w:ascii="Times New Roman" w:eastAsia="宋体" w:hAnsi="Times New Roman" w:hint="eastAsia"/>
                <w:color w:val="auto"/>
                <w:lang w:val="en-US" w:eastAsia="zh-CN"/>
                <w:highlight w:val="none"/>
              </w:rPr>
              <w:t>m</w:t>
            </w:r>
            <w:r>
              <w:rPr>
                <w:rFonts w:ascii="Times New Roman" w:eastAsia="宋体" w:hAnsi="Times New Roman" w:hint="eastAsia"/>
                <w:color w:val="auto"/>
                <w:vertAlign w:val="superscript"/>
                <w:lang w:val="en-US" w:eastAsia="zh-CN"/>
                <w:highlight w:val="none"/>
              </w:rPr>
              <w:t>3</w:t>
            </w:r>
            <w:r>
              <w:rPr>
                <w:rFonts w:ascii="Times New Roman" w:eastAsia="宋体" w:hAnsi="Times New Roman" w:hint="eastAsia"/>
                <w:color w:val="auto"/>
                <w:lang w:val="en-US" w:eastAsia="zh-CN"/>
                <w:highlight w:val="none"/>
              </w:rPr>
              <w:t>/d，</w:t>
            </w:r>
            <w:r>
              <w:rPr>
                <w:rFonts w:hint="eastAsia"/>
                <w:color w:val="auto"/>
                <w:lang w:val="en-US" w:eastAsia="zh-CN"/>
                <w:highlight w:val="none"/>
              </w:rPr>
              <w:t>不新增新鲜水用量。本项目不涉及废水排放。</w:t>
            </w:r>
          </w:p>
          <w:p>
            <w:pPr>
              <w:ind w:left="0" w:firstLineChars="0" w:firstLine="0"/>
              <w:jc w:val="center"/>
              <w:rPr>
                <w:rFonts w:hint="eastAsia"/>
                <w:color w:val="auto"/>
                <w:lang w:val="en-US" w:eastAsia="zh-CN"/>
                <w:highlight w:val="none"/>
              </w:rPr>
            </w:pPr>
            <w:r>
              <w:rPr>
                <w:rFonts w:hint="eastAsia"/>
                <w:color w:val="auto"/>
                <w:lang w:val="en-US" w:eastAsia="zh-CN"/>
                <w:highlight w:val="none"/>
              </w:rPr>
              <w:drawing>
                <wp:inline distT="0" distB="0" distL="114300" distR="114300">
                  <wp:extent cx="5124450" cy="4362450"/>
                  <wp:effectExtent l="0" t="0" r="0" b="0"/>
                  <wp:docPr id="1040" name="图片 4"/>
                  <wp:cNvGraphicFramePr>
                    <a:graphicFrameLocks noChangeAspect="1"/>
                  </wp:cNvGraphicFramePr>
                  <a:graphic>
                    <a:graphicData uri="http://schemas.openxmlformats.org/drawingml/2006/picture">
                      <pic:pic>
                        <pic:nvPicPr>
                          <pic:cNvPr id="56" name="图片 4 56"/>
                          <pic:cNvPicPr/>
                        </pic:nvPicPr>
                        <pic:blipFill>
                          <a:blip r:embed="rId16"/>
                          <a:stretch>
                            <a:fillRect/>
                          </a:stretch>
                        </pic:blipFill>
                        <pic:spPr>
                          <a:xfrm rot="0">
                            <a:off x="0" y="0"/>
                            <a:ext cx="5124450" cy="4362450"/>
                          </a:xfrm>
                          <a:prstGeom prst="rect"/>
                          <a:noFill/>
                          <a:ln cmpd="sng" cap="flat">
                            <a:noFill/>
                            <a:prstDash val="solid"/>
                            <a:round/>
                          </a:ln>
                        </pic:spPr>
                      </pic:pic>
                    </a:graphicData>
                  </a:graphic>
                </wp:inline>
              </w:drawing>
            </w:r>
          </w:p>
          <w:p>
            <w:pPr>
              <w:spacing w:line="240" w:lineRule="auto"/>
              <w:ind w:firstLineChars="0" w:firstLine="0"/>
              <w:jc w:val="center"/>
              <w:rPr>
                <w:rFonts w:hint="eastAsia"/>
                <w:color w:val="auto"/>
                <w:lang w:val="en-US" w:eastAsia="zh-CN"/>
                <w:highlight w:val="none"/>
              </w:rPr>
            </w:pPr>
            <w:r>
              <w:rPr>
                <w:b/>
                <w:bCs/>
                <w:color w:val="auto"/>
              </w:rPr>
              <w:t>图2-</w:t>
            </w:r>
            <w:r>
              <w:rPr>
                <w:rFonts w:hint="eastAsia"/>
                <w:b/>
                <w:bCs/>
                <w:color w:val="auto"/>
                <w:lang w:val="en-US" w:eastAsia="zh-CN"/>
              </w:rPr>
              <w:t>2</w:t>
            </w:r>
            <w:r>
              <w:rPr>
                <w:b/>
                <w:bCs/>
                <w:color w:val="auto"/>
              </w:rPr>
              <w:t xml:space="preserve">  </w:t>
            </w:r>
            <w:r>
              <w:rPr>
                <w:rFonts w:ascii="Times New Roman" w:eastAsia="宋体" w:hAnsi="Times New Roman" w:hint="eastAsia"/>
                <w:b/>
                <w:bCs/>
                <w:color w:val="auto"/>
                <w:lang w:val="en-US" w:eastAsia="zh-CN"/>
              </w:rPr>
              <w:t>现有工程</w:t>
            </w:r>
            <w:r>
              <w:rPr>
                <w:b/>
                <w:bCs/>
                <w:color w:val="auto"/>
              </w:rPr>
              <w:t>用水平衡图（</w:t>
            </w:r>
            <w:r>
              <w:rPr>
                <w:rFonts w:hint="eastAsia"/>
                <w:b/>
                <w:bCs/>
                <w:color w:val="auto"/>
              </w:rPr>
              <w:t>m³</w:t>
            </w:r>
            <w:r>
              <w:rPr>
                <w:b/>
                <w:bCs/>
                <w:color w:val="auto"/>
              </w:rPr>
              <w:t>/d）</w:t>
            </w:r>
          </w:p>
          <w:p>
            <w:pPr>
              <w:rPr>
                <w:rFonts w:hint="eastAsia"/>
                <w:color w:val="auto"/>
                <w:lang w:val="en-US" w:eastAsia="zh-CN"/>
                <w:highlight w:val="none"/>
              </w:rPr>
            </w:pPr>
            <w:r>
              <w:rPr>
                <w:rFonts w:hint="eastAsia"/>
                <w:color w:val="auto"/>
                <w:lang w:val="en-US" w:eastAsia="zh-CN"/>
                <w:highlight w:val="none"/>
              </w:rPr>
              <w:t>本项目完成后全厂给排水情况：</w:t>
            </w:r>
          </w:p>
          <w:p>
            <w:pPr>
              <w:rPr>
                <w:rFonts w:hint="eastAsia"/>
                <w:color w:val="auto"/>
                <w:lang w:val="en-US" w:eastAsia="zh-CN"/>
                <w:highlight w:val="none"/>
              </w:rPr>
            </w:pPr>
            <w:r>
              <w:rPr>
                <w:rFonts w:hint="eastAsia"/>
                <w:color w:val="auto"/>
                <w:lang w:val="en-US" w:eastAsia="zh-CN"/>
                <w:highlight w:val="none"/>
              </w:rPr>
              <w:t>（1）给水</w:t>
            </w:r>
          </w:p>
          <w:p>
            <w:pPr>
              <w:rPr>
                <w:rFonts w:hint="eastAsia"/>
                <w:color w:val="auto"/>
                <w:lang w:val="en-US" w:eastAsia="zh-CN"/>
                <w:highlight w:val="none"/>
              </w:rPr>
            </w:pPr>
            <w:r>
              <w:rPr>
                <w:rFonts w:hint="eastAsia"/>
                <w:color w:val="auto"/>
                <w:lang w:val="en-US" w:eastAsia="zh-CN"/>
                <w:highlight w:val="none"/>
              </w:rPr>
              <w:t>用水由园区统一供给，用水情况如下：生活、生产用水由园区供水厂提供。总用水量为44.205m³/d，其中新鲜水用量为7m³/d，循环水用量为36m³/d，化验室用纯水0.005m³/d，回用水量1.2m³/d。</w:t>
            </w:r>
          </w:p>
          <w:p>
            <w:pPr>
              <w:rPr>
                <w:rFonts w:hint="eastAsia"/>
                <w:color w:val="auto"/>
                <w:lang w:val="en-US" w:eastAsia="zh-CN"/>
                <w:highlight w:val="none"/>
              </w:rPr>
            </w:pPr>
            <w:r>
              <w:rPr>
                <w:rFonts w:hint="eastAsia"/>
                <w:color w:val="auto"/>
                <w:lang w:val="en-US" w:eastAsia="zh-CN"/>
                <w:highlight w:val="none"/>
              </w:rPr>
              <w:t>①喷淋塔用水：总用水量为16.4m³/d，其中新鲜水量为0.4m³/d，循环水量为16m³/d，损耗量为0.2m³/d，回用于搅拌工序水量为0.2m³/d。</w:t>
            </w:r>
          </w:p>
          <w:p>
            <w:pPr>
              <w:rPr>
                <w:rFonts w:hint="eastAsia"/>
                <w:color w:val="auto"/>
                <w:lang w:val="en-US" w:eastAsia="zh-CN"/>
                <w:highlight w:val="none"/>
              </w:rPr>
            </w:pPr>
            <w:r>
              <w:rPr>
                <w:rFonts w:hint="eastAsia"/>
                <w:color w:val="auto"/>
                <w:lang w:val="en-US" w:eastAsia="zh-CN"/>
                <w:highlight w:val="none"/>
              </w:rPr>
              <w:t>②旋转吸附机用水：总用水量为16.6m³/d，其中新鲜水量为0.6m³/d，循环水量为16m³/d，损耗量为0.2m³/d，回用于搅拌工序水量为0.4m³/d。</w:t>
            </w:r>
          </w:p>
          <w:p>
            <w:pPr>
              <w:rPr>
                <w:rFonts w:hint="eastAsia"/>
                <w:color w:val="auto"/>
                <w:lang w:val="en-US" w:eastAsia="zh-CN"/>
                <w:highlight w:val="none"/>
              </w:rPr>
            </w:pPr>
            <w:r>
              <w:rPr>
                <w:rFonts w:hint="eastAsia"/>
                <w:color w:val="auto"/>
                <w:lang w:val="en-US" w:eastAsia="zh-CN"/>
                <w:highlight w:val="none"/>
              </w:rPr>
              <w:t xml:space="preserve">③热风炉用水：总用水量为5m³/d，其中新鲜水量为1m³/d，循环水量为4m³/d，损耗量为0.4m³/d，回用于搅拌工序水量为0.6m³/d。 </w:t>
            </w:r>
          </w:p>
          <w:p>
            <w:pPr>
              <w:rPr>
                <w:rFonts w:hint="eastAsia"/>
                <w:color w:val="auto"/>
                <w:lang w:val="en-US" w:eastAsia="zh-CN"/>
                <w:highlight w:val="none"/>
              </w:rPr>
            </w:pPr>
            <w:r>
              <w:rPr>
                <w:rFonts w:hint="eastAsia"/>
                <w:color w:val="auto"/>
                <w:lang w:val="en-US" w:eastAsia="zh-CN"/>
                <w:highlight w:val="none"/>
              </w:rPr>
              <w:t>④生产用水：新鲜水量为1.4m³/d，其中搅拌工序新鲜水用量为0.4m³/d，电蒸汽发生器新鲜水用量为1m</w:t>
            </w:r>
            <w:r>
              <w:rPr>
                <w:rFonts w:hint="eastAsia"/>
                <w:color w:val="auto"/>
                <w:vertAlign w:val="superscript"/>
                <w:lang w:val="en-US" w:eastAsia="zh-CN"/>
                <w:highlight w:val="none"/>
              </w:rPr>
              <w:t>3</w:t>
            </w:r>
            <w:r>
              <w:rPr>
                <w:rFonts w:hint="eastAsia"/>
                <w:color w:val="auto"/>
                <w:lang w:val="en-US" w:eastAsia="zh-CN"/>
                <w:highlight w:val="none"/>
              </w:rPr>
              <w:t>/d。</w:t>
            </w:r>
          </w:p>
          <w:p>
            <w:pPr>
              <w:rPr>
                <w:rFonts w:hint="eastAsia"/>
                <w:color w:val="auto"/>
                <w:lang w:val="en-US" w:eastAsia="zh-CN"/>
                <w:highlight w:val="none"/>
              </w:rPr>
            </w:pPr>
            <w:r>
              <w:rPr>
                <w:rFonts w:hint="eastAsia"/>
                <w:color w:val="auto"/>
                <w:lang w:val="en-US" w:eastAsia="zh-CN"/>
                <w:highlight w:val="none"/>
              </w:rPr>
              <w:t>⑤其他用水：本项目纯水用量不新增。化验室用水为外购纯水，用水量为0.005m³/d。损耗量为0.001m³/d，废水产生量0.004m³/d（暂存危废间，定期交由有资质单位合理处置）。</w:t>
            </w:r>
          </w:p>
          <w:p>
            <w:pPr>
              <w:rPr>
                <w:rFonts w:hint="eastAsia"/>
                <w:color w:val="auto"/>
                <w:lang w:val="en-US" w:eastAsia="zh-CN"/>
                <w:highlight w:val="none"/>
              </w:rPr>
            </w:pPr>
            <w:r>
              <w:rPr>
                <w:rFonts w:hint="eastAsia"/>
                <w:color w:val="auto"/>
                <w:lang w:val="en-US" w:eastAsia="zh-CN"/>
                <w:highlight w:val="none"/>
              </w:rPr>
              <w:t>⑥生活用水：新鲜水用量为3.6m³/d，损耗量0.72m³/d，废水产生量为2.88m³/d。</w:t>
            </w:r>
          </w:p>
          <w:p>
            <w:pPr>
              <w:rPr>
                <w:rFonts w:hint="eastAsia"/>
                <w:color w:val="auto"/>
                <w:lang w:val="en-US" w:eastAsia="zh-CN"/>
                <w:highlight w:val="none"/>
              </w:rPr>
            </w:pPr>
            <w:r>
              <w:rPr>
                <w:rFonts w:hint="eastAsia"/>
                <w:color w:val="auto"/>
                <w:lang w:val="en-US" w:eastAsia="zh-CN"/>
                <w:highlight w:val="none"/>
              </w:rPr>
              <w:t>（2）排水</w:t>
            </w:r>
          </w:p>
          <w:p>
            <w:pPr>
              <w:rPr>
                <w:rFonts w:hint="eastAsia"/>
                <w:color w:val="auto"/>
                <w:lang w:val="en-US" w:eastAsia="zh-CN"/>
                <w:highlight w:val="none"/>
              </w:rPr>
            </w:pPr>
            <w:r>
              <w:rPr>
                <w:rFonts w:hint="eastAsia"/>
                <w:color w:val="auto"/>
                <w:lang w:val="en-US" w:eastAsia="zh-CN"/>
                <w:highlight w:val="none"/>
              </w:rPr>
              <w:t>生活污水排水量2.88m³/d。生活污水进入厂区多格生物化粪池处理，处理后经园区污水管网进入石家庄装备制造基地绿源污水处理有限公司进一步处理。</w:t>
            </w:r>
          </w:p>
          <w:p>
            <w:pPr>
              <w:pStyle w:val="40"/>
              <w:rPr>
                <w:color w:val="auto"/>
                <w:highlight w:val="none"/>
              </w:rPr>
            </w:pPr>
            <w:r>
              <w:rPr>
                <w:color w:val="auto"/>
                <w:highlight w:val="none"/>
              </w:rPr>
              <w:t>表2-</w:t>
            </w:r>
            <w:r>
              <w:rPr>
                <w:rFonts w:hint="eastAsia"/>
                <w:color w:val="auto"/>
                <w:lang w:val="en-US" w:eastAsia="zh-CN"/>
                <w:highlight w:val="none"/>
              </w:rPr>
              <w:t>8</w:t>
            </w:r>
            <w:r>
              <w:rPr>
                <w:rFonts w:hint="eastAsia"/>
                <w:color w:val="auto"/>
                <w:highlight w:val="none"/>
              </w:rPr>
              <w:t xml:space="preserve">  本项目</w:t>
            </w:r>
            <w:r>
              <w:rPr>
                <w:rFonts w:hint="eastAsia"/>
                <w:color w:val="auto"/>
                <w:lang w:val="en-US" w:eastAsia="zh-CN"/>
                <w:highlight w:val="none"/>
              </w:rPr>
              <w:t>完成后</w:t>
            </w:r>
            <w:r>
              <w:rPr>
                <w:color w:val="auto"/>
                <w:highlight w:val="none"/>
              </w:rPr>
              <w:t>给排水平衡表</w:t>
            </w:r>
            <w:r>
              <w:rPr>
                <w:rFonts w:hint="eastAsia"/>
                <w:color w:val="auto"/>
                <w:highlight w:val="none"/>
              </w:rPr>
              <w:t xml:space="preserve">        </w:t>
            </w:r>
            <w:r>
              <w:rPr>
                <w:color w:val="auto"/>
                <w:highlight w:val="none"/>
              </w:rPr>
              <w:t>单位：</w:t>
            </w:r>
            <w:r>
              <w:rPr>
                <w:rFonts w:hint="eastAsia"/>
                <w:color w:val="auto"/>
                <w:highlight w:val="none"/>
              </w:rPr>
              <w:t>m³</w:t>
            </w:r>
            <w:r>
              <w:rPr>
                <w:color w:val="auto"/>
                <w:highlight w:val="none"/>
              </w:rPr>
              <w:t>/d</w:t>
            </w:r>
          </w:p>
          <w:tbl>
            <w:tblPr>
              <w:tblpPr w:leftFromText="180" w:rightFromText="180" w:vertAnchor="text" w:tblpXSpec="left" w:tblpY="1"/>
              <w:tblOverlap w:val="never"/>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0"/>
              <w:gridCol w:w="1002"/>
              <w:gridCol w:w="1070"/>
              <w:gridCol w:w="946"/>
              <w:gridCol w:w="900"/>
              <w:gridCol w:w="1107"/>
              <w:gridCol w:w="1210"/>
              <w:gridCol w:w="949"/>
            </w:tblGrid>
            <w:tr>
              <w:trPr>
                <w:trHeight w:val="23"/>
              </w:trPr>
              <w:tc>
                <w:tcPr>
                  <w:tcW w:w="637" w:type="pct"/>
                  <w:tcBorders>
                    <w:tl2br w:val="nil"/>
                    <w:tr2bl w:val="nil"/>
                  </w:tcBorders>
                  <w:vAlign w:val="center"/>
                </w:tcPr>
                <w:p>
                  <w:pPr>
                    <w:pStyle w:val="39"/>
                    <w:rPr>
                      <w:color w:val="auto"/>
                      <w:highlight w:val="none"/>
                    </w:rPr>
                  </w:pPr>
                  <w:r>
                    <w:rPr>
                      <w:color w:val="auto"/>
                      <w:highlight w:val="none"/>
                    </w:rPr>
                    <w:t>用水项目</w:t>
                  </w:r>
                </w:p>
              </w:tc>
              <w:tc>
                <w:tcPr>
                  <w:tcW w:w="608" w:type="pct"/>
                  <w:tcBorders>
                    <w:tl2br w:val="nil"/>
                    <w:tr2bl w:val="nil"/>
                  </w:tcBorders>
                  <w:vAlign w:val="center"/>
                </w:tcPr>
                <w:p>
                  <w:pPr>
                    <w:pStyle w:val="39"/>
                    <w:rPr>
                      <w:color w:val="auto"/>
                      <w:highlight w:val="none"/>
                    </w:rPr>
                  </w:pPr>
                  <w:r>
                    <w:rPr>
                      <w:color w:val="auto"/>
                      <w:highlight w:val="none"/>
                    </w:rPr>
                    <w:t>总用水量</w:t>
                  </w:r>
                </w:p>
              </w:tc>
              <w:tc>
                <w:tcPr>
                  <w:tcW w:w="649" w:type="pct"/>
                  <w:tcBorders>
                    <w:tl2br w:val="nil"/>
                    <w:tr2bl w:val="nil"/>
                  </w:tcBorders>
                  <w:vAlign w:val="center"/>
                </w:tcPr>
                <w:p>
                  <w:pPr>
                    <w:pStyle w:val="39"/>
                    <w:rPr>
                      <w:color w:val="auto"/>
                      <w:highlight w:val="none"/>
                    </w:rPr>
                  </w:pPr>
                  <w:r>
                    <w:rPr>
                      <w:color w:val="auto"/>
                      <w:highlight w:val="none"/>
                    </w:rPr>
                    <w:t>新鲜水用量</w:t>
                  </w:r>
                </w:p>
              </w:tc>
              <w:tc>
                <w:tcPr>
                  <w:tcW w:w="574" w:type="pct"/>
                  <w:tcBorders>
                    <w:tl2br w:val="nil"/>
                    <w:tr2bl w:val="nil"/>
                  </w:tcBorders>
                  <w:vAlign w:val="center"/>
                </w:tcPr>
                <w:p>
                  <w:pPr>
                    <w:pStyle w:val="39"/>
                    <w:rPr>
                      <w:color w:val="auto"/>
                      <w:highlight w:val="none"/>
                    </w:rPr>
                  </w:pPr>
                  <w:r>
                    <w:rPr>
                      <w:color w:val="auto"/>
                      <w:highlight w:val="none"/>
                    </w:rPr>
                    <w:t>循环水量</w:t>
                  </w:r>
                </w:p>
              </w:tc>
              <w:tc>
                <w:tcPr>
                  <w:tcW w:w="546" w:type="pct"/>
                  <w:tcBorders>
                    <w:tl2br w:val="nil"/>
                    <w:tr2bl w:val="nil"/>
                  </w:tcBorders>
                  <w:vAlign w:val="center"/>
                </w:tcPr>
                <w:p>
                  <w:pPr>
                    <w:pStyle w:val="39"/>
                    <w:rPr>
                      <w:color w:val="auto"/>
                      <w:highlight w:val="none"/>
                    </w:rPr>
                  </w:pPr>
                  <w:r>
                    <w:rPr>
                      <w:rFonts w:hint="eastAsia"/>
                      <w:color w:val="auto"/>
                      <w:highlight w:val="none"/>
                    </w:rPr>
                    <w:t>损耗水量</w:t>
                  </w:r>
                </w:p>
              </w:tc>
              <w:tc>
                <w:tcPr>
                  <w:tcW w:w="672" w:type="pct"/>
                  <w:tcBorders>
                    <w:tl2br w:val="nil"/>
                    <w:tr2bl w:val="nil"/>
                  </w:tcBorders>
                  <w:vAlign w:val="center"/>
                </w:tcPr>
                <w:p>
                  <w:pPr>
                    <w:pStyle w:val="39"/>
                    <w:rPr>
                      <w:rFonts w:eastAsia="宋体" w:hint="eastAsia"/>
                      <w:color w:val="auto"/>
                      <w:lang w:eastAsia="zh-CN"/>
                      <w:highlight w:val="none"/>
                    </w:rPr>
                  </w:pPr>
                  <w:r>
                    <w:rPr>
                      <w:rFonts w:hint="eastAsia"/>
                      <w:color w:val="auto"/>
                      <w:lang w:val="en-US" w:eastAsia="zh-CN"/>
                      <w:highlight w:val="none"/>
                    </w:rPr>
                    <w:t>回用水量</w:t>
                  </w:r>
                </w:p>
              </w:tc>
              <w:tc>
                <w:tcPr>
                  <w:tcW w:w="734" w:type="pct"/>
                  <w:tcBorders>
                    <w:tl2br w:val="nil"/>
                    <w:tr2bl w:val="nil"/>
                  </w:tcBorders>
                  <w:vAlign w:val="center"/>
                </w:tcPr>
                <w:p>
                  <w:pPr>
                    <w:pStyle w:val="39"/>
                    <w:rPr>
                      <w:color w:val="auto"/>
                      <w:highlight w:val="none"/>
                    </w:rPr>
                  </w:pPr>
                  <w:r>
                    <w:rPr>
                      <w:rFonts w:hint="eastAsia"/>
                      <w:color w:val="auto"/>
                      <w:highlight w:val="none"/>
                    </w:rPr>
                    <w:t>废水排放量</w:t>
                  </w:r>
                </w:p>
              </w:tc>
              <w:tc>
                <w:tcPr>
                  <w:tcW w:w="57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备注</w:t>
                  </w:r>
                </w:p>
              </w:tc>
            </w:tr>
            <w:tr>
              <w:trPr>
                <w:trHeight w:val="23"/>
              </w:trPr>
              <w:tc>
                <w:tcPr>
                  <w:tcW w:w="637" w:type="pct"/>
                  <w:tcBorders>
                    <w:tl2br w:val="nil"/>
                    <w:tr2bl w:val="nil"/>
                  </w:tcBorders>
                  <w:vAlign w:val="center"/>
                </w:tcPr>
                <w:p>
                  <w:pPr>
                    <w:pStyle w:val="39"/>
                    <w:rPr>
                      <w:rFonts w:eastAsia="宋体" w:hint="eastAsia"/>
                      <w:color w:val="auto"/>
                      <w:lang w:eastAsia="zh-CN"/>
                      <w:highlight w:val="none"/>
                    </w:rPr>
                  </w:pPr>
                  <w:r>
                    <w:rPr>
                      <w:rFonts w:hint="eastAsia"/>
                      <w:color w:val="auto"/>
                      <w:lang w:val="en-US" w:eastAsia="zh-CN"/>
                      <w:highlight w:val="none"/>
                    </w:rPr>
                    <w:t>喷淋塔</w:t>
                  </w:r>
                </w:p>
              </w:tc>
              <w:tc>
                <w:tcPr>
                  <w:tcW w:w="608"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16.4</w:t>
                  </w:r>
                </w:p>
              </w:tc>
              <w:tc>
                <w:tcPr>
                  <w:tcW w:w="649" w:type="pct"/>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0.4</w:t>
                  </w:r>
                </w:p>
              </w:tc>
              <w:tc>
                <w:tcPr>
                  <w:tcW w:w="574"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16</w:t>
                  </w:r>
                </w:p>
              </w:tc>
              <w:tc>
                <w:tcPr>
                  <w:tcW w:w="54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0.2</w:t>
                  </w:r>
                </w:p>
              </w:tc>
              <w:tc>
                <w:tcPr>
                  <w:tcW w:w="672"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0.2</w:t>
                  </w:r>
                </w:p>
              </w:tc>
              <w:tc>
                <w:tcPr>
                  <w:tcW w:w="734" w:type="pct"/>
                  <w:tcBorders>
                    <w:tl2br w:val="nil"/>
                    <w:tr2bl w:val="nil"/>
                  </w:tcBorders>
                  <w:vAlign w:val="center"/>
                </w:tcPr>
                <w:p>
                  <w:pPr>
                    <w:pStyle w:val="39"/>
                    <w:ind w:firstLine="0"/>
                    <w:rPr>
                      <w:rFonts w:eastAsia="宋体" w:hint="eastAsia"/>
                      <w:color w:val="auto"/>
                      <w:lang w:val="en-US" w:eastAsia="zh-CN"/>
                      <w:highlight w:val="none"/>
                    </w:rPr>
                  </w:pPr>
                  <w:r>
                    <w:rPr>
                      <w:rFonts w:hint="eastAsia"/>
                      <w:color w:val="auto"/>
                      <w:lang w:val="en-US" w:eastAsia="zh-CN"/>
                      <w:highlight w:val="none"/>
                    </w:rPr>
                    <w:t>0</w:t>
                  </w:r>
                </w:p>
              </w:tc>
              <w:tc>
                <w:tcPr>
                  <w:tcW w:w="576" w:type="pct"/>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回用于搅拌工序</w:t>
                  </w:r>
                </w:p>
              </w:tc>
            </w:tr>
            <w:tr>
              <w:trPr>
                <w:trHeight w:val="23"/>
              </w:trPr>
              <w:tc>
                <w:tcPr>
                  <w:tcW w:w="637"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旋转吸附机</w:t>
                  </w:r>
                </w:p>
              </w:tc>
              <w:tc>
                <w:tcPr>
                  <w:tcW w:w="608"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16.6</w:t>
                  </w:r>
                </w:p>
              </w:tc>
              <w:tc>
                <w:tcPr>
                  <w:tcW w:w="649" w:type="pct"/>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0.6</w:t>
                  </w:r>
                </w:p>
              </w:tc>
              <w:tc>
                <w:tcPr>
                  <w:tcW w:w="574"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16</w:t>
                  </w:r>
                </w:p>
              </w:tc>
              <w:tc>
                <w:tcPr>
                  <w:tcW w:w="54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0.2</w:t>
                  </w:r>
                </w:p>
              </w:tc>
              <w:tc>
                <w:tcPr>
                  <w:tcW w:w="672"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0.4</w:t>
                  </w:r>
                </w:p>
              </w:tc>
              <w:tc>
                <w:tcPr>
                  <w:tcW w:w="734" w:type="pct"/>
                  <w:tcBorders>
                    <w:tl2br w:val="nil"/>
                    <w:tr2bl w:val="nil"/>
                  </w:tcBorders>
                  <w:vAlign w:val="center"/>
                </w:tcPr>
                <w:p>
                  <w:pPr>
                    <w:pStyle w:val="39"/>
                    <w:ind w:firstLine="0"/>
                    <w:rPr>
                      <w:rFonts w:eastAsia="宋体" w:hint="eastAsia"/>
                      <w:color w:val="auto"/>
                      <w:lang w:val="en-US" w:eastAsia="zh-CN"/>
                      <w:highlight w:val="none"/>
                    </w:rPr>
                  </w:pPr>
                  <w:r>
                    <w:rPr>
                      <w:rFonts w:hint="eastAsia"/>
                      <w:color w:val="auto"/>
                      <w:lang w:val="en-US" w:eastAsia="zh-CN"/>
                      <w:highlight w:val="none"/>
                    </w:rPr>
                    <w:t>0</w:t>
                  </w:r>
                </w:p>
              </w:tc>
              <w:tc>
                <w:tcPr>
                  <w:tcW w:w="576" w:type="pct"/>
                  <w:tcBorders>
                    <w:tl2br w:val="nil"/>
                    <w:tr2bl w:val="nil"/>
                  </w:tcBorders>
                  <w:vAlign w:val="center"/>
                </w:tcPr>
                <w:p>
                  <w:pPr>
                    <w:pStyle w:val="39"/>
                    <w:ind w:firstLine="0"/>
                    <w:rPr>
                      <w:color w:val="auto"/>
                      <w:highlight w:val="none"/>
                    </w:rPr>
                  </w:pPr>
                  <w:r>
                    <w:rPr>
                      <w:rFonts w:hint="eastAsia"/>
                      <w:color w:val="auto"/>
                      <w:lang w:val="en-US" w:eastAsia="zh-CN"/>
                      <w:highlight w:val="none"/>
                    </w:rPr>
                    <w:t>回用于搅拌工序</w:t>
                  </w:r>
                </w:p>
              </w:tc>
            </w:tr>
            <w:tr>
              <w:trPr>
                <w:trHeight w:val="23"/>
              </w:trPr>
              <w:tc>
                <w:tcPr>
                  <w:tcW w:w="637"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热风炉</w:t>
                  </w:r>
                </w:p>
              </w:tc>
              <w:tc>
                <w:tcPr>
                  <w:tcW w:w="608"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5</w:t>
                  </w:r>
                </w:p>
              </w:tc>
              <w:tc>
                <w:tcPr>
                  <w:tcW w:w="649" w:type="pct"/>
                  <w:tcBorders>
                    <w:tl2br w:val="nil"/>
                    <w:tr2bl w:val="nil"/>
                  </w:tcBorders>
                  <w:vAlign w:val="center"/>
                </w:tcPr>
                <w:p>
                  <w:pPr>
                    <w:pStyle w:val="39"/>
                    <w:ind w:firstLine="0"/>
                    <w:rPr>
                      <w:rFonts w:eastAsia="宋体" w:hint="eastAsia"/>
                      <w:color w:val="auto"/>
                      <w:lang w:val="en-US" w:eastAsia="zh-CN"/>
                      <w:highlight w:val="none"/>
                    </w:rPr>
                  </w:pPr>
                  <w:r>
                    <w:rPr>
                      <w:rFonts w:hint="eastAsia"/>
                      <w:color w:val="auto"/>
                      <w:lang w:val="en-US" w:eastAsia="zh-CN"/>
                      <w:highlight w:val="none"/>
                    </w:rPr>
                    <w:t>1</w:t>
                  </w:r>
                </w:p>
              </w:tc>
              <w:tc>
                <w:tcPr>
                  <w:tcW w:w="574"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4</w:t>
                  </w:r>
                </w:p>
              </w:tc>
              <w:tc>
                <w:tcPr>
                  <w:tcW w:w="54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0.4</w:t>
                  </w:r>
                </w:p>
              </w:tc>
              <w:tc>
                <w:tcPr>
                  <w:tcW w:w="672"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0.6</w:t>
                  </w:r>
                </w:p>
              </w:tc>
              <w:tc>
                <w:tcPr>
                  <w:tcW w:w="734" w:type="pct"/>
                  <w:tcBorders>
                    <w:tl2br w:val="nil"/>
                    <w:tr2bl w:val="nil"/>
                  </w:tcBorders>
                  <w:vAlign w:val="center"/>
                </w:tcPr>
                <w:p>
                  <w:pPr>
                    <w:pStyle w:val="39"/>
                    <w:ind w:firstLine="0"/>
                    <w:rPr>
                      <w:rFonts w:eastAsia="宋体" w:hint="eastAsia"/>
                      <w:color w:val="auto"/>
                      <w:lang w:val="en-US" w:eastAsia="zh-CN"/>
                      <w:highlight w:val="none"/>
                    </w:rPr>
                  </w:pPr>
                  <w:r>
                    <w:rPr>
                      <w:rFonts w:hint="eastAsia"/>
                      <w:color w:val="auto"/>
                      <w:lang w:val="en-US" w:eastAsia="zh-CN"/>
                      <w:highlight w:val="none"/>
                    </w:rPr>
                    <w:t>0</w:t>
                  </w:r>
                </w:p>
              </w:tc>
              <w:tc>
                <w:tcPr>
                  <w:tcW w:w="576" w:type="pct"/>
                  <w:tcBorders>
                    <w:tl2br w:val="nil"/>
                    <w:tr2bl w:val="nil"/>
                  </w:tcBorders>
                  <w:vAlign w:val="center"/>
                </w:tcPr>
                <w:p>
                  <w:pPr>
                    <w:pStyle w:val="39"/>
                    <w:ind w:firstLine="0"/>
                    <w:rPr>
                      <w:rFonts w:hint="eastAsia"/>
                      <w:color w:val="auto"/>
                      <w:highlight w:val="none"/>
                    </w:rPr>
                  </w:pPr>
                  <w:r>
                    <w:rPr>
                      <w:rFonts w:hint="eastAsia"/>
                      <w:color w:val="auto"/>
                      <w:lang w:val="en-US" w:eastAsia="zh-CN"/>
                      <w:highlight w:val="none"/>
                    </w:rPr>
                    <w:t>回用于搅拌工序</w:t>
                  </w:r>
                </w:p>
              </w:tc>
            </w:tr>
            <w:tr>
              <w:trPr>
                <w:trHeight w:val="23"/>
              </w:trPr>
              <w:tc>
                <w:tcPr>
                  <w:tcW w:w="637"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职工生活</w:t>
                  </w:r>
                </w:p>
              </w:tc>
              <w:tc>
                <w:tcPr>
                  <w:tcW w:w="608"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3.6</w:t>
                  </w:r>
                </w:p>
              </w:tc>
              <w:tc>
                <w:tcPr>
                  <w:tcW w:w="649" w:type="pct"/>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3.6</w:t>
                  </w:r>
                </w:p>
              </w:tc>
              <w:tc>
                <w:tcPr>
                  <w:tcW w:w="574"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w:t>
                  </w:r>
                </w:p>
              </w:tc>
              <w:tc>
                <w:tcPr>
                  <w:tcW w:w="54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0.72</w:t>
                  </w:r>
                </w:p>
              </w:tc>
              <w:tc>
                <w:tcPr>
                  <w:tcW w:w="672"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w:t>
                  </w:r>
                </w:p>
              </w:tc>
              <w:tc>
                <w:tcPr>
                  <w:tcW w:w="734" w:type="pct"/>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2.88</w:t>
                  </w:r>
                </w:p>
              </w:tc>
              <w:tc>
                <w:tcPr>
                  <w:tcW w:w="576" w:type="pct"/>
                  <w:tcBorders>
                    <w:tl2br w:val="nil"/>
                    <w:tr2bl w:val="nil"/>
                  </w:tcBorders>
                  <w:vAlign w:val="center"/>
                </w:tcPr>
                <w:p>
                  <w:pPr>
                    <w:pStyle w:val="39"/>
                    <w:ind w:firstLine="0"/>
                    <w:rPr>
                      <w:rFonts w:eastAsia="宋体" w:hint="eastAsia"/>
                      <w:color w:val="auto"/>
                      <w:lang w:val="en-US" w:eastAsia="zh-CN"/>
                      <w:highlight w:val="none"/>
                    </w:rPr>
                  </w:pPr>
                  <w:r>
                    <w:rPr>
                      <w:rFonts w:eastAsia="宋体" w:hint="eastAsia"/>
                      <w:color w:val="auto"/>
                      <w:lang w:val="en-US" w:eastAsia="zh-CN"/>
                      <w:highlight w:val="none"/>
                    </w:rPr>
                    <w:t>经多格生物化粪池处理后进入园区污水处理厂</w:t>
                  </w:r>
                </w:p>
              </w:tc>
            </w:tr>
            <w:tr>
              <w:trPr>
                <w:trHeight w:val="23"/>
              </w:trPr>
              <w:tc>
                <w:tcPr>
                  <w:tcW w:w="637"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化验室</w:t>
                  </w:r>
                </w:p>
              </w:tc>
              <w:tc>
                <w:tcPr>
                  <w:tcW w:w="60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0.005</w:t>
                  </w:r>
                </w:p>
              </w:tc>
              <w:tc>
                <w:tcPr>
                  <w:tcW w:w="649"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0</w:t>
                  </w:r>
                </w:p>
              </w:tc>
              <w:tc>
                <w:tcPr>
                  <w:tcW w:w="57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c>
                <w:tcPr>
                  <w:tcW w:w="546"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0.001</w:t>
                  </w:r>
                </w:p>
              </w:tc>
              <w:tc>
                <w:tcPr>
                  <w:tcW w:w="67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c>
                <w:tcPr>
                  <w:tcW w:w="734"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0.004</w:t>
                  </w:r>
                </w:p>
              </w:tc>
              <w:tc>
                <w:tcPr>
                  <w:tcW w:w="576"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作为危废处理</w:t>
                  </w:r>
                </w:p>
              </w:tc>
            </w:tr>
            <w:tr>
              <w:trPr>
                <w:trHeight w:val="23"/>
              </w:trPr>
              <w:tc>
                <w:tcPr>
                  <w:tcW w:w="637"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搅拌</w:t>
                  </w:r>
                </w:p>
              </w:tc>
              <w:tc>
                <w:tcPr>
                  <w:tcW w:w="60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1.6</w:t>
                  </w:r>
                </w:p>
              </w:tc>
              <w:tc>
                <w:tcPr>
                  <w:tcW w:w="649"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0.4</w:t>
                  </w:r>
                </w:p>
              </w:tc>
              <w:tc>
                <w:tcPr>
                  <w:tcW w:w="57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c>
                <w:tcPr>
                  <w:tcW w:w="546"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c>
                <w:tcPr>
                  <w:tcW w:w="67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1.2</w:t>
                  </w:r>
                </w:p>
              </w:tc>
              <w:tc>
                <w:tcPr>
                  <w:tcW w:w="734"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0</w:t>
                  </w:r>
                </w:p>
              </w:tc>
              <w:tc>
                <w:tcPr>
                  <w:tcW w:w="576"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w:t>
                  </w:r>
                </w:p>
              </w:tc>
            </w:tr>
            <w:tr>
              <w:trPr>
                <w:trHeight w:val="23"/>
              </w:trPr>
              <w:tc>
                <w:tcPr>
                  <w:tcW w:w="637" w:type="pct"/>
                  <w:tcBorders>
                    <w:tl2br w:val="nil"/>
                    <w:tr2bl w:val="nil"/>
                  </w:tcBorders>
                  <w:vAlign w:val="center"/>
                </w:tcPr>
                <w:p>
                  <w:pPr>
                    <w:pStyle w:val="39"/>
                    <w:rPr>
                      <w:color w:val="auto"/>
                      <w:lang w:val="en-US" w:eastAsia="zh-CN"/>
                      <w:highlight w:val="none"/>
                    </w:rPr>
                  </w:pPr>
                  <w:r>
                    <w:rPr>
                      <w:color w:val="auto"/>
                      <w:lang w:val="en-US" w:eastAsia="zh-CN"/>
                      <w:highlight w:val="none"/>
                    </w:rPr>
                    <w:t>蒸汽发生器</w:t>
                  </w:r>
                </w:p>
              </w:tc>
              <w:tc>
                <w:tcPr>
                  <w:tcW w:w="60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w:t>
                  </w:r>
                </w:p>
              </w:tc>
              <w:tc>
                <w:tcPr>
                  <w:tcW w:w="649"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1</w:t>
                  </w:r>
                </w:p>
              </w:tc>
              <w:tc>
                <w:tcPr>
                  <w:tcW w:w="57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c>
                <w:tcPr>
                  <w:tcW w:w="546"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c>
                <w:tcPr>
                  <w:tcW w:w="67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c>
                <w:tcPr>
                  <w:tcW w:w="734"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0</w:t>
                  </w:r>
                </w:p>
              </w:tc>
              <w:tc>
                <w:tcPr>
                  <w:tcW w:w="576"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w:t>
                  </w:r>
                </w:p>
              </w:tc>
            </w:tr>
            <w:tr>
              <w:trPr>
                <w:trHeight w:val="23"/>
              </w:trPr>
              <w:tc>
                <w:tcPr>
                  <w:tcW w:w="637"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合计</w:t>
                  </w:r>
                </w:p>
              </w:tc>
              <w:tc>
                <w:tcPr>
                  <w:tcW w:w="60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44.205</w:t>
                  </w:r>
                </w:p>
              </w:tc>
              <w:tc>
                <w:tcPr>
                  <w:tcW w:w="649"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7</w:t>
                  </w:r>
                </w:p>
              </w:tc>
              <w:tc>
                <w:tcPr>
                  <w:tcW w:w="57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36</w:t>
                  </w:r>
                </w:p>
              </w:tc>
              <w:tc>
                <w:tcPr>
                  <w:tcW w:w="546"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1.521</w:t>
                  </w:r>
                </w:p>
              </w:tc>
              <w:tc>
                <w:tcPr>
                  <w:tcW w:w="67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1.2</w:t>
                  </w:r>
                </w:p>
              </w:tc>
              <w:tc>
                <w:tcPr>
                  <w:tcW w:w="734"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2.88</w:t>
                  </w:r>
                </w:p>
              </w:tc>
              <w:tc>
                <w:tcPr>
                  <w:tcW w:w="576"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w:t>
                  </w:r>
                </w:p>
              </w:tc>
            </w:tr>
          </w:tbl>
          <w:p>
            <w:pPr>
              <w:spacing w:line="240" w:lineRule="auto"/>
              <w:ind w:firstLineChars="0" w:firstLine="0"/>
              <w:jc w:val="center"/>
              <w:rPr>
                <w:color w:val="auto"/>
              </w:rPr>
            </w:pPr>
          </w:p>
          <w:p>
            <w:pPr>
              <w:ind w:left="0" w:firstLineChars="0" w:firstLine="0"/>
            </w:pPr>
            <w:r>
              <w:rPr>
                <w:color w:val="auto"/>
                <w:sz w:val="24"/>
              </w:rPr>
              <mc:AlternateContent>
                <mc:Choice Requires="wps">
                  <w:drawing>
                    <wp:anchor distT="0" distB="0" distL="114300" distR="114300" simplePos="0" relativeHeight="368" behindDoc="0" locked="0" layoutInCell="1" hidden="0" allowOverlap="1">
                      <wp:simplePos x="0" y="0"/>
                      <wp:positionH relativeFrom="column">
                        <wp:posOffset>-20320</wp:posOffset>
                      </wp:positionH>
                      <wp:positionV relativeFrom="paragraph">
                        <wp:posOffset>93345</wp:posOffset>
                      </wp:positionV>
                      <wp:extent cx="5397500" cy="2828243"/>
                      <wp:effectExtent l="5080" t="0" r="7620" b="10160"/>
                      <wp:wrapNone/>
                      <wp:docPr id="1041" name="组合 1041"/>
                      <wp:cNvGraphicFramePr>
                        <a:graphicFrameLocks noChangeAspect="0"/>
                      </wp:cNvGraphicFramePr>
                      <a:graphic>
                        <a:graphicData uri="http://schemas.microsoft.com/office/word/2010/wordprocessingGroup">
                          <wpg:wgp>
                            <wpg:cNvPr id="57" name="组合 57"/>
                            <wpg:cNvGrpSpPr/>
                            <wpg:grpSpPr>
                              <a:xfrm rot="0">
                                <a:off x="0" y="0"/>
                                <a:ext cx="5397500" cy="2828243"/>
                                <a:chOff x="0" y="0"/>
                                <a:chExt cx="5397500" cy="2828243"/>
                              </a:xfrm>
                              <a:prstGeom prst="rect"/>
                              <a:solidFill>
                                <a:srgbClr val="FFFFFF"/>
                              </a:solidFill>
                              <a:ln w="9525" cmpd="sng" cap="flat">
                                <a:solidFill>
                                  <a:srgbClr val="000000"/>
                                </a:solidFill>
                                <a:prstDash val="solid"/>
                                <a:miter/>
                              </a:ln>
                            </wpg:grpSpPr>
                            <wps:wsp>
                              <wps:cNvPr id="58" name="文本框 295 58"/>
                              <wps:cNvSpPr/>
                              <wps:spPr>
                                <a:xfrm rot="0">
                                  <a:off x="3367404" y="495323"/>
                                  <a:ext cx="431164" cy="268611"/>
                                </a:xfrm>
                                <a:prstGeom prst="rect"/>
                                <a:noFill/>
                                <a:ln w="6350" cmpd="sng" cap="flat">
                                  <a:noFill/>
                                  <a:prstDash val="solid"/>
                                  <a:round/>
                                </a:ln>
                              </wps:spPr>
                              <wps:txbx id="59">
                                <w:txbxContent>
                                  <w:p>
                                    <w:pPr>
                                      <w:ind w:left="0" w:firstLineChars="0" w:firstLine="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60" name="文本框 220 60"/>
                              <wps:cNvSpPr/>
                              <wps:spPr>
                                <a:xfrm rot="0">
                                  <a:off x="0" y="1462389"/>
                                  <a:ext cx="614045" cy="268611"/>
                                </a:xfrm>
                                <a:prstGeom prst="rect"/>
                                <a:solidFill>
                                  <a:srgbClr val="FFFFFF"/>
                                </a:solidFill>
                                <a:ln w="6350" cmpd="sng" cap="flat">
                                  <a:solidFill>
                                    <a:srgbClr val="000000"/>
                                  </a:solidFill>
                                  <a:prstDash val="solid"/>
                                  <a:round/>
                                </a:ln>
                              </wps:spPr>
                              <wps:txbx id="61">
                                <w:txbxContent>
                                  <w:p>
                                    <w:pPr>
                                      <w:ind w:left="0" w:firstLineChars="0" w:firstLine="0"/>
                                      <w:rPr>
                                        <w:rFonts w:eastAsia="宋体"/>
                                        <w:sz w:val="21"/>
                                        <w:szCs w:val="21"/>
                                        <w:lang w:val="en-US" w:eastAsia="zh-CN"/>
                                      </w:rPr>
                                    </w:pPr>
                                    <w:r>
                                      <w:rPr>
                                        <w:rFonts w:hint="eastAsia"/>
                                        <w:sz w:val="21"/>
                                        <w:szCs w:val="21"/>
                                        <w:lang w:val="en-US" w:eastAsia="zh-CN"/>
                                      </w:rPr>
                                      <w:t>新鲜水</w:t>
                                    </w:r>
                                  </w:p>
                                </w:txbxContent>
                              </wps:txbx>
                              <wps:bodyPr vert="horz" wrap="square" lIns="91440" tIns="45720" rIns="91440" bIns="45720" anchor="t" anchorCtr="0" upright="0">
                                <a:noAutofit/>
                              </wps:bodyPr>
                            </wps:wsp>
                            <wps:wsp>
                              <wps:cNvPr id="62" name="文本框 221 62"/>
                              <wps:cNvSpPr/>
                              <wps:spPr>
                                <a:xfrm rot="0">
                                  <a:off x="1555114" y="351165"/>
                                  <a:ext cx="752474" cy="268611"/>
                                </a:xfrm>
                                <a:prstGeom prst="rect"/>
                                <a:solidFill>
                                  <a:srgbClr val="FFFFFF"/>
                                </a:solidFill>
                                <a:ln w="6350" cmpd="sng" cap="flat">
                                  <a:solidFill>
                                    <a:srgbClr val="000000"/>
                                  </a:solidFill>
                                  <a:prstDash val="solid"/>
                                  <a:round/>
                                </a:ln>
                              </wps:spPr>
                              <wps:txbx id="63">
                                <w:txbxContent>
                                  <w:p>
                                    <w:pPr>
                                      <w:ind w:left="0" w:firstLineChars="0" w:firstLine="0"/>
                                      <w:rPr>
                                        <w:rFonts w:eastAsia="宋体"/>
                                        <w:sz w:val="21"/>
                                        <w:szCs w:val="21"/>
                                        <w:lang w:val="en-US" w:eastAsia="zh-CN"/>
                                      </w:rPr>
                                    </w:pPr>
                                    <w:r>
                                      <w:rPr>
                                        <w:rFonts w:hint="eastAsia"/>
                                        <w:sz w:val="21"/>
                                        <w:szCs w:val="21"/>
                                        <w:lang w:val="en-US" w:eastAsia="zh-CN"/>
                                      </w:rPr>
                                      <w:t>生产用水</w:t>
                                    </w:r>
                                  </w:p>
                                </w:txbxContent>
                              </wps:txbx>
                              <wps:bodyPr vert="horz" wrap="square" lIns="91440" tIns="45720" rIns="91440" bIns="45720" anchor="t" anchorCtr="0" upright="0">
                                <a:noAutofit/>
                              </wps:bodyPr>
                            </wps:wsp>
                            <wps:wsp>
                              <wps:cNvPr id="64" name="文本框 222 64"/>
                              <wps:cNvSpPr/>
                              <wps:spPr>
                                <a:xfrm rot="0">
                                  <a:off x="1577339" y="892172"/>
                                  <a:ext cx="881380" cy="268611"/>
                                </a:xfrm>
                                <a:prstGeom prst="rect"/>
                                <a:solidFill>
                                  <a:srgbClr val="FFFFFF"/>
                                </a:solidFill>
                                <a:ln w="6350" cmpd="sng" cap="flat">
                                  <a:solidFill>
                                    <a:srgbClr val="000000"/>
                                  </a:solidFill>
                                  <a:prstDash val="solid"/>
                                  <a:round/>
                                </a:ln>
                              </wps:spPr>
                              <wps:txbx id="65">
                                <w:txbxContent>
                                  <w:p>
                                    <w:pPr>
                                      <w:ind w:left="0" w:firstLineChars="0" w:firstLine="0"/>
                                      <w:rPr>
                                        <w:rFonts w:eastAsia="宋体"/>
                                        <w:sz w:val="21"/>
                                        <w:szCs w:val="21"/>
                                        <w:lang w:val="en-US" w:eastAsia="zh-CN"/>
                                      </w:rPr>
                                    </w:pPr>
                                    <w:r>
                                      <w:rPr>
                                        <w:rFonts w:hint="eastAsia"/>
                                        <w:sz w:val="21"/>
                                        <w:szCs w:val="21"/>
                                        <w:lang w:val="en-US" w:eastAsia="zh-CN"/>
                                      </w:rPr>
                                      <w:t>喷淋塔用水</w:t>
                                    </w:r>
                                  </w:p>
                                </w:txbxContent>
                              </wps:txbx>
                              <wps:bodyPr vert="horz" wrap="square" lIns="91440" tIns="45720" rIns="91440" bIns="45720" anchor="t" anchorCtr="0" upright="0">
                                <a:noAutofit/>
                              </wps:bodyPr>
                            </wps:wsp>
                            <wps:wsp>
                              <wps:cNvPr id="66" name="文本框 223 66"/>
                              <wps:cNvSpPr/>
                              <wps:spPr>
                                <a:xfrm rot="0">
                                  <a:off x="1581784" y="1400186"/>
                                  <a:ext cx="881379" cy="268611"/>
                                </a:xfrm>
                                <a:prstGeom prst="rect"/>
                                <a:solidFill>
                                  <a:srgbClr val="FFFFFF"/>
                                </a:solidFill>
                                <a:ln w="6350" cmpd="sng" cap="flat">
                                  <a:solidFill>
                                    <a:srgbClr val="000000"/>
                                  </a:solidFill>
                                  <a:prstDash val="solid"/>
                                  <a:round/>
                                </a:ln>
                              </wps:spPr>
                              <wps:txbx id="67">
                                <w:txbxContent>
                                  <w:p>
                                    <w:pPr>
                                      <w:ind w:left="0" w:firstLineChars="0" w:firstLine="0"/>
                                      <w:rPr>
                                        <w:rFonts w:eastAsia="宋体"/>
                                        <w:sz w:val="21"/>
                                        <w:szCs w:val="21"/>
                                        <w:lang w:val="en-US" w:eastAsia="zh-CN"/>
                                      </w:rPr>
                                    </w:pPr>
                                    <w:r>
                                      <w:rPr>
                                        <w:rFonts w:hint="eastAsia"/>
                                        <w:sz w:val="21"/>
                                        <w:szCs w:val="21"/>
                                        <w:lang w:val="en-US" w:eastAsia="zh-CN"/>
                                      </w:rPr>
                                      <w:t>旋转吸附机</w:t>
                                    </w:r>
                                  </w:p>
                                </w:txbxContent>
                              </wps:txbx>
                              <wps:bodyPr vert="horz" wrap="square" lIns="91440" tIns="45720" rIns="91440" bIns="45720" anchor="t" anchorCtr="0" upright="0">
                                <a:noAutofit/>
                              </wps:bodyPr>
                            </wps:wsp>
                            <wps:wsp>
                              <wps:cNvPr id="68" name="文本框 224 68"/>
                              <wps:cNvSpPr/>
                              <wps:spPr>
                                <a:xfrm rot="0">
                                  <a:off x="1586864" y="1898601"/>
                                  <a:ext cx="881379" cy="268611"/>
                                </a:xfrm>
                                <a:prstGeom prst="rect"/>
                                <a:solidFill>
                                  <a:srgbClr val="FFFFFF"/>
                                </a:solidFill>
                                <a:ln w="6350" cmpd="sng" cap="flat">
                                  <a:solidFill>
                                    <a:srgbClr val="000000"/>
                                  </a:solidFill>
                                  <a:prstDash val="solid"/>
                                  <a:round/>
                                </a:ln>
                              </wps:spPr>
                              <wps:txbx id="69">
                                <w:txbxContent>
                                  <w:p>
                                    <w:pPr>
                                      <w:ind w:left="0" w:firstLineChars="0" w:firstLine="0"/>
                                      <w:rPr>
                                        <w:rFonts w:eastAsia="宋体"/>
                                        <w:sz w:val="21"/>
                                        <w:szCs w:val="21"/>
                                        <w:lang w:val="en-US" w:eastAsia="zh-CN"/>
                                      </w:rPr>
                                    </w:pPr>
                                    <w:r>
                                      <w:rPr>
                                        <w:rFonts w:hint="eastAsia"/>
                                        <w:sz w:val="21"/>
                                        <w:szCs w:val="21"/>
                                        <w:lang w:val="en-US" w:eastAsia="zh-CN"/>
                                      </w:rPr>
                                      <w:t>热风炉用水</w:t>
                                    </w:r>
                                  </w:p>
                                </w:txbxContent>
                              </wps:txbx>
                              <wps:bodyPr vert="horz" wrap="square" lIns="91440" tIns="45720" rIns="91440" bIns="45720" anchor="t" anchorCtr="0" upright="0">
                                <a:noAutofit/>
                              </wps:bodyPr>
                            </wps:wsp>
                            <wps:wsp>
                              <wps:cNvPr id="70" name="文本框 225 70"/>
                              <wps:cNvSpPr/>
                              <wps:spPr>
                                <a:xfrm rot="0">
                                  <a:off x="1582420" y="2449852"/>
                                  <a:ext cx="803909" cy="268611"/>
                                </a:xfrm>
                                <a:prstGeom prst="rect"/>
                                <a:solidFill>
                                  <a:srgbClr val="FFFFFF"/>
                                </a:solidFill>
                                <a:ln w="6350" cmpd="sng" cap="flat">
                                  <a:solidFill>
                                    <a:srgbClr val="000000"/>
                                  </a:solidFill>
                                  <a:prstDash val="solid"/>
                                  <a:round/>
                                </a:ln>
                              </wps:spPr>
                              <wps:txbx id="71">
                                <w:txbxContent>
                                  <w:p>
                                    <w:pPr>
                                      <w:ind w:left="0" w:firstLineChars="0" w:firstLine="0"/>
                                      <w:rPr>
                                        <w:rFonts w:eastAsia="宋体"/>
                                        <w:sz w:val="21"/>
                                        <w:szCs w:val="21"/>
                                        <w:lang w:val="en-US" w:eastAsia="zh-CN"/>
                                      </w:rPr>
                                    </w:pPr>
                                    <w:r>
                                      <w:rPr>
                                        <w:rFonts w:hint="eastAsia"/>
                                        <w:sz w:val="21"/>
                                        <w:szCs w:val="21"/>
                                        <w:lang w:val="en-US" w:eastAsia="zh-CN"/>
                                      </w:rPr>
                                      <w:t>生活用水</w:t>
                                    </w:r>
                                  </w:p>
                                </w:txbxContent>
                              </wps:txbx>
                              <wps:bodyPr vert="horz" wrap="square" lIns="91440" tIns="45720" rIns="91440" bIns="45720" anchor="t" anchorCtr="0" upright="0">
                                <a:noAutofit/>
                              </wps:bodyPr>
                            </wps:wsp>
                            <wps:wsp>
                              <wps:cNvPr id="72" name="直接连接符 242 72"/>
                              <wps:cNvSpPr/>
                              <wps:spPr>
                                <a:xfrm rot="0">
                                  <a:off x="1120775" y="458453"/>
                                  <a:ext cx="0" cy="2155815"/>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73" name="直接箭头连接符 246 73"/>
                              <wps:cNvSpPr/>
                              <wps:spPr>
                                <a:xfrm rot="0">
                                  <a:off x="617855" y="1620529"/>
                                  <a:ext cx="494030" cy="6967"/>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74" name="直接箭头连接符 258 74"/>
                              <wps:cNvSpPr/>
                              <wps:spPr>
                                <a:xfrm rot="0">
                                  <a:off x="1120775" y="464775"/>
                                  <a:ext cx="421004"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75" name="直接箭头连接符 260 75"/>
                              <wps:cNvSpPr/>
                              <wps:spPr>
                                <a:xfrm rot="0">
                                  <a:off x="1151890" y="1024240"/>
                                  <a:ext cx="421004"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76" name="直接箭头连接符 261 76"/>
                              <wps:cNvSpPr/>
                              <wps:spPr>
                                <a:xfrm rot="0">
                                  <a:off x="1139190" y="1522701"/>
                                  <a:ext cx="421005"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77" name="直接箭头连接符 263 77"/>
                              <wps:cNvSpPr/>
                              <wps:spPr>
                                <a:xfrm rot="0">
                                  <a:off x="1136014" y="2012949"/>
                                  <a:ext cx="421005"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78" name="直接箭头连接符 264 78"/>
                              <wps:cNvSpPr/>
                              <wps:spPr>
                                <a:xfrm rot="0">
                                  <a:off x="1132839" y="2598440"/>
                                  <a:ext cx="421005"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79" name="直接箭头连接符 265 79"/>
                              <wps:cNvSpPr/>
                              <wps:spPr>
                                <a:xfrm flipV="1" rot="21600000">
                                  <a:off x="2329814" y="469897"/>
                                  <a:ext cx="998854" cy="646"/>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80" name="文本框 266 80"/>
                              <wps:cNvSpPr/>
                              <wps:spPr>
                                <a:xfrm rot="0">
                                  <a:off x="3785870" y="556235"/>
                                  <a:ext cx="723264" cy="268611"/>
                                </a:xfrm>
                                <a:prstGeom prst="rect"/>
                                <a:solidFill>
                                  <a:srgbClr val="FFFFFF"/>
                                </a:solidFill>
                                <a:ln w="6350" cmpd="sng" cap="flat">
                                  <a:solidFill>
                                    <a:srgbClr val="000000"/>
                                  </a:solidFill>
                                  <a:prstDash val="solid"/>
                                  <a:round/>
                                </a:ln>
                              </wps:spPr>
                              <wps:txbx id="81">
                                <w:txbxContent>
                                  <w:p>
                                    <w:pPr>
                                      <w:ind w:left="0" w:firstLineChars="0" w:firstLine="0"/>
                                      <w:rPr>
                                        <w:rFonts w:eastAsia="宋体"/>
                                        <w:sz w:val="21"/>
                                        <w:szCs w:val="21"/>
                                        <w:lang w:val="en-US" w:eastAsia="zh-CN"/>
                                      </w:rPr>
                                    </w:pPr>
                                    <w:r>
                                      <w:rPr>
                                        <w:rFonts w:eastAsia="宋体" w:hint="eastAsia"/>
                                        <w:sz w:val="21"/>
                                        <w:szCs w:val="21"/>
                                        <w:lang w:val="en-US" w:eastAsia="zh-CN"/>
                                      </w:rPr>
                                      <w:t>搅拌工序</w:t>
                                    </w:r>
                                  </w:p>
                                </w:txbxContent>
                              </wps:txbx>
                              <wps:bodyPr vert="horz" wrap="square" lIns="91440" tIns="45720" rIns="91440" bIns="45720" anchor="t" anchorCtr="0" upright="0">
                                <a:noAutofit/>
                              </wps:bodyPr>
                            </wps:wsp>
                            <wps:wsp>
                              <wps:cNvPr id="82" name="直接箭头连接符 267 82"/>
                              <wps:cNvSpPr/>
                              <wps:spPr>
                                <a:xfrm rot="0">
                                  <a:off x="3378835" y="238109"/>
                                  <a:ext cx="421004"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83" name="直接连接符 268 83"/>
                              <wps:cNvSpPr/>
                              <wps:spPr>
                                <a:xfrm rot="0">
                                  <a:off x="3360420" y="230495"/>
                                  <a:ext cx="1269" cy="490201"/>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84" name="直接箭头连接符 269 84"/>
                              <wps:cNvSpPr/>
                              <wps:spPr>
                                <a:xfrm rot="0">
                                  <a:off x="3349624" y="715620"/>
                                  <a:ext cx="421005"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85" name="文本框 271 85"/>
                              <wps:cNvSpPr/>
                              <wps:spPr>
                                <a:xfrm rot="0">
                                  <a:off x="3793490" y="125099"/>
                                  <a:ext cx="861695" cy="268611"/>
                                </a:xfrm>
                                <a:prstGeom prst="rect"/>
                                <a:solidFill>
                                  <a:srgbClr val="FFFFFF"/>
                                </a:solidFill>
                                <a:ln w="6350" cmpd="sng" cap="flat">
                                  <a:solidFill>
                                    <a:srgbClr val="000000"/>
                                  </a:solidFill>
                                  <a:prstDash val="solid"/>
                                  <a:round/>
                                </a:ln>
                              </wps:spPr>
                              <wps:txbx id="86">
                                <w:txbxContent>
                                  <w:p>
                                    <w:pPr>
                                      <w:ind w:left="0" w:firstLineChars="0" w:firstLine="0"/>
                                      <w:rPr>
                                        <w:rFonts w:eastAsia="宋体" w:hint="eastAsia"/>
                                        <w:sz w:val="21"/>
                                        <w:szCs w:val="21"/>
                                        <w:lang w:val="en-US" w:eastAsia="zh-CN"/>
                                      </w:rPr>
                                    </w:pPr>
                                    <w:r>
                                      <w:rPr>
                                        <w:rFonts w:eastAsia="宋体" w:hint="eastAsia"/>
                                        <w:sz w:val="21"/>
                                        <w:szCs w:val="21"/>
                                        <w:lang w:val="en-US" w:eastAsia="zh-CN"/>
                                      </w:rPr>
                                      <w:t>蒸汽发生器</w:t>
                                    </w:r>
                                  </w:p>
                                </w:txbxContent>
                              </wps:txbx>
                              <wps:bodyPr vert="horz" wrap="square" lIns="91440" tIns="45720" rIns="91440" bIns="45720" anchor="t" anchorCtr="0" upright="0">
                                <a:noAutofit/>
                              </wps:bodyPr>
                            </wps:wsp>
                            <wps:wsp>
                              <wps:cNvPr id="87" name="直接箭头连接符 272 87"/>
                              <wps:cNvSpPr/>
                              <wps:spPr>
                                <a:xfrm flipV="1" rot="21600000">
                                  <a:off x="4660264" y="271795"/>
                                  <a:ext cx="273049" cy="1292"/>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88" name="文本框 273 88"/>
                              <wps:cNvSpPr/>
                              <wps:spPr>
                                <a:xfrm rot="0">
                                  <a:off x="4939665" y="77477"/>
                                  <a:ext cx="457834" cy="433073"/>
                                </a:xfrm>
                                <a:prstGeom prst="rect"/>
                                <a:solidFill>
                                  <a:srgbClr val="FFFFFF"/>
                                </a:solidFill>
                                <a:ln w="6350" cmpd="sng" cap="flat">
                                  <a:solidFill>
                                    <a:srgbClr val="000000"/>
                                  </a:solidFill>
                                  <a:prstDash val="solid"/>
                                  <a:round/>
                                </a:ln>
                              </wps:spPr>
                              <wps:txbx id="89">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整形工序</w:t>
                                    </w:r>
                                  </w:p>
                                </w:txbxContent>
                              </wps:txbx>
                              <wps:bodyPr vert="horz" wrap="square" lIns="91440" tIns="45720" rIns="91440" bIns="45720" anchor="t" anchorCtr="0" upright="0">
                                <a:noAutofit/>
                              </wps:bodyPr>
                            </wps:wsp>
                            <wps:wsp>
                              <wps:cNvPr id="90" name="直接箭头连接符 274 90"/>
                              <wps:cNvSpPr/>
                              <wps:spPr>
                                <a:xfrm rot="0">
                                  <a:off x="2452370" y="1040114"/>
                                  <a:ext cx="501649"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91" name="直接箭头连接符 276 91"/>
                              <wps:cNvSpPr/>
                              <wps:spPr>
                                <a:xfrm rot="0">
                                  <a:off x="2471419" y="2023101"/>
                                  <a:ext cx="501649"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92" name="直接箭头连接符 275 92"/>
                              <wps:cNvSpPr/>
                              <wps:spPr>
                                <a:xfrm rot="0">
                                  <a:off x="2468245" y="1507473"/>
                                  <a:ext cx="501650" cy="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93" name="直接连接符 281 93"/>
                              <wps:cNvSpPr/>
                              <wps:spPr>
                                <a:xfrm flipV="1" rot="21600000">
                                  <a:off x="2571750" y="1094104"/>
                                  <a:ext cx="8254" cy="225419"/>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94" name="直接箭头连接符 278 94"/>
                              <wps:cNvSpPr/>
                              <wps:spPr>
                                <a:xfrm flipV="1" rot="21600000">
                                  <a:off x="2122169" y="1146802"/>
                                  <a:ext cx="5080" cy="170183"/>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95" name="直接连接符 279 95"/>
                              <wps:cNvSpPr/>
                              <wps:spPr>
                                <a:xfrm flipH="1" rot="21600000">
                                  <a:off x="2122169" y="1312510"/>
                                  <a:ext cx="438784" cy="646"/>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96" name="直接连接符 280 96"/>
                              <wps:cNvSpPr/>
                              <wps:spPr>
                                <a:xfrm flipH="1" flipV="1" rot="0">
                                  <a:off x="2454274" y="1095396"/>
                                  <a:ext cx="125729" cy="3830"/>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97" name="直接箭头连接符 282 97"/>
                              <wps:cNvSpPr/>
                              <wps:spPr>
                                <a:xfrm flipH="1" flipV="1" rot="0">
                                  <a:off x="2152649" y="2165966"/>
                                  <a:ext cx="3174" cy="180981"/>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98" name="直接连接符 285 98"/>
                              <wps:cNvSpPr/>
                              <wps:spPr>
                                <a:xfrm flipH="1" flipV="1" rot="0">
                                  <a:off x="2471419" y="2107546"/>
                                  <a:ext cx="109854" cy="2538"/>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99" name="直接连接符 283 99"/>
                              <wps:cNvSpPr/>
                              <wps:spPr>
                                <a:xfrm flipH="1" rot="21600000">
                                  <a:off x="2148839" y="2348886"/>
                                  <a:ext cx="438784" cy="645"/>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100" name="直接连接符 284 100"/>
                              <wps:cNvSpPr/>
                              <wps:spPr>
                                <a:xfrm flipV="1" rot="21600000">
                                  <a:off x="2583180" y="2108792"/>
                                  <a:ext cx="5714" cy="238755"/>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101" name="文本框 298 101"/>
                              <wps:cNvSpPr/>
                              <wps:spPr>
                                <a:xfrm rot="0">
                                  <a:off x="1108075" y="1297928"/>
                                  <a:ext cx="431164" cy="268611"/>
                                </a:xfrm>
                                <a:prstGeom prst="rect"/>
                                <a:noFill/>
                                <a:ln w="6350" cmpd="sng" cap="flat">
                                  <a:noFill/>
                                  <a:prstDash val="solid"/>
                                  <a:round/>
                                </a:ln>
                              </wps:spPr>
                              <wps:txbx id="102">
                                <w:txbxContent>
                                  <w:p>
                                    <w:pPr>
                                      <w:ind w:left="0" w:firstLineChars="0" w:firstLine="0"/>
                                      <w:rPr>
                                        <w:rFonts w:eastAsia="宋体"/>
                                        <w:sz w:val="21"/>
                                        <w:szCs w:val="21"/>
                                        <w:lang w:val="en-US" w:eastAsia="zh-CN"/>
                                      </w:rPr>
                                    </w:pPr>
                                    <w:r>
                                      <w:rPr>
                                        <w:rFonts w:hint="eastAsia"/>
                                        <w:sz w:val="21"/>
                                        <w:szCs w:val="21"/>
                                        <w:lang w:val="en-US" w:eastAsia="zh-CN"/>
                                      </w:rPr>
                                      <w:t>0.6</w:t>
                                    </w:r>
                                  </w:p>
                                </w:txbxContent>
                              </wps:txbx>
                              <wps:bodyPr vert="horz" wrap="square" lIns="91440" tIns="45720" rIns="91440" bIns="45720" anchor="t" anchorCtr="0" upright="0">
                                <a:noAutofit/>
                              </wps:bodyPr>
                            </wps:wsp>
                            <wps:wsp>
                              <wps:cNvPr id="103" name="直接连接符 286 103"/>
                              <wps:cNvSpPr/>
                              <wps:spPr>
                                <a:xfrm rot="0">
                                  <a:off x="2950210" y="1033100"/>
                                  <a:ext cx="9524" cy="990600"/>
                                </a:xfrm>
                                <a:prstGeom prst="line"/>
                                <a:noFill/>
                                <a:ln w="9525" cmpd="sng" cap="flat">
                                  <a:solidFill>
                                    <a:srgbClr val="000000"/>
                                  </a:solidFill>
                                  <a:prstDash val="solid"/>
                                  <a:round/>
                                </a:ln>
                              </wps:spPr>
                              <wps:bodyPr vert="horz" wrap="square" lIns="91440" tIns="45720" rIns="91440" bIns="45720" anchor="t" anchorCtr="0" upright="0">
                                <a:noAutofit/>
                              </wps:bodyPr>
                            </wps:wsp>
                            <wps:wsp>
                              <wps:cNvPr id="104" name="文本框 297 104"/>
                              <wps:cNvSpPr/>
                              <wps:spPr>
                                <a:xfrm rot="0">
                                  <a:off x="1120139" y="764534"/>
                                  <a:ext cx="431164" cy="268611"/>
                                </a:xfrm>
                                <a:prstGeom prst="rect"/>
                                <a:noFill/>
                                <a:ln w="6350" cmpd="sng" cap="flat">
                                  <a:noFill/>
                                  <a:prstDash val="solid"/>
                                  <a:round/>
                                </a:ln>
                              </wps:spPr>
                              <wps:txbx id="105">
                                <w:txbxContent>
                                  <w:p>
                                    <w:pPr>
                                      <w:ind w:left="0" w:firstLineChars="0" w:firstLine="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106" name="文本框 294 106"/>
                              <wps:cNvSpPr/>
                              <wps:spPr>
                                <a:xfrm rot="0">
                                  <a:off x="3434715" y="0"/>
                                  <a:ext cx="327024" cy="252091"/>
                                </a:xfrm>
                                <a:prstGeom prst="rect"/>
                                <a:noFill/>
                                <a:ln w="6350" cmpd="sng" cap="flat">
                                  <a:noFill/>
                                  <a:prstDash val="solid"/>
                                  <a:round/>
                                </a:ln>
                              </wps:spPr>
                              <wps:txbx id="107">
                                <w:txbxContent>
                                  <w:p>
                                    <w:pPr>
                                      <w:ind w:left="0" w:firstLineChars="0" w:firstLine="0"/>
                                      <w:rPr>
                                        <w:rFonts w:eastAsia="宋体"/>
                                        <w:sz w:val="21"/>
                                        <w:szCs w:val="21"/>
                                        <w:lang w:val="en-US" w:eastAsia="zh-CN"/>
                                      </w:rPr>
                                    </w:pPr>
                                    <w:r>
                                      <w:rPr>
                                        <w:rFonts w:hint="eastAsia"/>
                                        <w:sz w:val="21"/>
                                        <w:szCs w:val="21"/>
                                        <w:lang w:val="en-US" w:eastAsia="zh-CN"/>
                                      </w:rPr>
                                      <w:t>1</w:t>
                                    </w:r>
                                  </w:p>
                                </w:txbxContent>
                              </wps:txbx>
                              <wps:bodyPr vert="horz" wrap="square" lIns="91440" tIns="45720" rIns="91440" bIns="45720" anchor="t" anchorCtr="0" upright="0">
                                <a:noAutofit/>
                              </wps:bodyPr>
                            </wps:wsp>
                            <wps:wsp>
                              <wps:cNvPr id="108" name="文本框 296 108"/>
                              <wps:cNvSpPr/>
                              <wps:spPr>
                                <a:xfrm rot="0">
                                  <a:off x="4658995" y="46975"/>
                                  <a:ext cx="283844" cy="243185"/>
                                </a:xfrm>
                                <a:prstGeom prst="rect"/>
                                <a:noFill/>
                                <a:ln w="6350" cmpd="sng" cap="flat">
                                  <a:noFill/>
                                  <a:prstDash val="solid"/>
                                  <a:round/>
                                </a:ln>
                              </wps:spPr>
                              <wps:txbx id="109">
                                <w:txbxContent>
                                  <w:p>
                                    <w:pPr>
                                      <w:ind w:left="0" w:firstLineChars="0" w:firstLine="0"/>
                                      <w:rPr>
                                        <w:rFonts w:eastAsia="宋体"/>
                                        <w:sz w:val="21"/>
                                        <w:szCs w:val="21"/>
                                        <w:lang w:val="en-US" w:eastAsia="zh-CN"/>
                                      </w:rPr>
                                    </w:pPr>
                                    <w:r>
                                      <w:rPr>
                                        <w:rFonts w:hint="eastAsia"/>
                                        <w:sz w:val="21"/>
                                        <w:szCs w:val="21"/>
                                        <w:lang w:val="en-US" w:eastAsia="zh-CN"/>
                                      </w:rPr>
                                      <w:t>1</w:t>
                                    </w:r>
                                  </w:p>
                                </w:txbxContent>
                              </wps:txbx>
                              <wps:bodyPr vert="horz" wrap="square" lIns="91440" tIns="45720" rIns="91440" bIns="45720" anchor="t" anchorCtr="0" upright="0">
                                <a:noAutofit/>
                              </wps:bodyPr>
                            </wps:wsp>
                            <wps:wsp>
                              <wps:cNvPr id="110" name="文本框 291 110"/>
                              <wps:cNvSpPr/>
                              <wps:spPr>
                                <a:xfrm rot="0">
                                  <a:off x="3672204" y="1353163"/>
                                  <a:ext cx="973455" cy="691532"/>
                                </a:xfrm>
                                <a:prstGeom prst="rect"/>
                                <a:solidFill>
                                  <a:srgbClr val="FFFFFF"/>
                                </a:solidFill>
                                <a:ln w="6350" cmpd="sng" cap="flat">
                                  <a:solidFill>
                                    <a:srgbClr val="000000"/>
                                  </a:solidFill>
                                  <a:prstDash val="solid"/>
                                  <a:round/>
                                </a:ln>
                              </wps:spPr>
                              <wps:txbx id="111">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石家庄装备制造基地绿源污水处理有限公司</w:t>
                                    </w:r>
                                  </w:p>
                                </w:txbxContent>
                              </wps:txbx>
                              <wps:bodyPr vert="horz" wrap="square" lIns="91440" tIns="45720" rIns="91440" bIns="45720" anchor="t" anchorCtr="0" upright="0">
                                <a:noAutofit/>
                              </wps:bodyPr>
                            </wps:wsp>
                            <wps:wsp>
                              <wps:cNvPr id="112" name="直接箭头连接符 287 112"/>
                              <wps:cNvSpPr/>
                              <wps:spPr>
                                <a:xfrm flipV="1" rot="21600000">
                                  <a:off x="2969259" y="744184"/>
                                  <a:ext cx="777875" cy="84012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113" name="直接箭头连接符 288 113"/>
                              <wps:cNvSpPr/>
                              <wps:spPr>
                                <a:xfrm rot="0">
                                  <a:off x="2406015" y="2618098"/>
                                  <a:ext cx="1338579" cy="15874"/>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114" name="文本框 289 114"/>
                              <wps:cNvSpPr/>
                              <wps:spPr>
                                <a:xfrm rot="0">
                                  <a:off x="3744595" y="2439608"/>
                                  <a:ext cx="791209" cy="388635"/>
                                </a:xfrm>
                                <a:prstGeom prst="rect"/>
                                <a:solidFill>
                                  <a:srgbClr val="FFFFFF"/>
                                </a:solidFill>
                                <a:ln w="6350" cmpd="sng" cap="flat">
                                  <a:solidFill>
                                    <a:srgbClr val="000000"/>
                                  </a:solidFill>
                                  <a:prstDash val="solid"/>
                                  <a:round/>
                                </a:ln>
                              </wps:spPr>
                              <wps:txbx id="115">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多格生物化粪池</w:t>
                                    </w:r>
                                  </w:p>
                                </w:txbxContent>
                              </wps:txbx>
                              <wps:bodyPr vert="horz" wrap="square" lIns="91440" tIns="45720" rIns="91440" bIns="45720" anchor="t" anchorCtr="0" upright="0">
                                <a:noAutofit/>
                              </wps:bodyPr>
                            </wps:wsp>
                            <wps:wsp>
                              <wps:cNvPr id="116" name="直接箭头连接符 290 116"/>
                              <wps:cNvSpPr/>
                              <wps:spPr>
                                <a:xfrm flipV="1" rot="21600000">
                                  <a:off x="4140199" y="2042159"/>
                                  <a:ext cx="0" cy="39749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117" name="文本框 292 117"/>
                              <wps:cNvSpPr/>
                              <wps:spPr>
                                <a:xfrm rot="0">
                                  <a:off x="662939" y="1372867"/>
                                  <a:ext cx="293370" cy="268611"/>
                                </a:xfrm>
                                <a:prstGeom prst="rect"/>
                                <a:noFill/>
                                <a:ln w="6350" cmpd="sng" cap="flat">
                                  <a:noFill/>
                                  <a:prstDash val="solid"/>
                                  <a:round/>
                                </a:ln>
                              </wps:spPr>
                              <wps:txbx id="118">
                                <w:txbxContent>
                                  <w:p>
                                    <w:pPr>
                                      <w:ind w:left="0" w:firstLineChars="0" w:firstLine="0"/>
                                      <w:rPr>
                                        <w:rFonts w:eastAsia="宋体"/>
                                        <w:sz w:val="21"/>
                                        <w:szCs w:val="21"/>
                                        <w:lang w:val="en-US" w:eastAsia="zh-CN"/>
                                      </w:rPr>
                                    </w:pPr>
                                    <w:r>
                                      <w:rPr>
                                        <w:rFonts w:hint="eastAsia"/>
                                        <w:sz w:val="21"/>
                                        <w:szCs w:val="21"/>
                                        <w:lang w:val="en-US" w:eastAsia="zh-CN"/>
                                      </w:rPr>
                                      <w:t>7</w:t>
                                    </w:r>
                                  </w:p>
                                </w:txbxContent>
                              </wps:txbx>
                              <wps:bodyPr vert="horz" wrap="square" lIns="91440" tIns="45720" rIns="91440" bIns="45720" anchor="t" anchorCtr="0" upright="0">
                                <a:noAutofit/>
                              </wps:bodyPr>
                            </wps:wsp>
                            <wps:wsp>
                              <wps:cNvPr id="119" name="文本框 302 119"/>
                              <wps:cNvSpPr/>
                              <wps:spPr>
                                <a:xfrm rot="0">
                                  <a:off x="2172969" y="1116300"/>
                                  <a:ext cx="431164" cy="268611"/>
                                </a:xfrm>
                                <a:prstGeom prst="rect"/>
                                <a:noFill/>
                                <a:ln w="6350" cmpd="sng" cap="flat">
                                  <a:noFill/>
                                  <a:prstDash val="solid"/>
                                  <a:round/>
                                </a:ln>
                              </wps:spPr>
                              <wps:txbx id="120">
                                <w:txbxContent>
                                  <w:p>
                                    <w:pPr>
                                      <w:ind w:left="0" w:firstLineChars="0" w:firstLine="0"/>
                                      <w:rPr>
                                        <w:rFonts w:eastAsia="宋体"/>
                                        <w:sz w:val="21"/>
                                        <w:szCs w:val="21"/>
                                        <w:lang w:val="en-US" w:eastAsia="zh-CN"/>
                                      </w:rPr>
                                    </w:pPr>
                                    <w:r>
                                      <w:rPr>
                                        <w:rFonts w:hint="eastAsia"/>
                                        <w:sz w:val="21"/>
                                        <w:szCs w:val="21"/>
                                        <w:lang w:val="en-US" w:eastAsia="zh-CN"/>
                                      </w:rPr>
                                      <w:t>16</w:t>
                                    </w:r>
                                  </w:p>
                                </w:txbxContent>
                              </wps:txbx>
                              <wps:bodyPr vert="horz" wrap="square" lIns="91440" tIns="45720" rIns="91440" bIns="45720" anchor="t" anchorCtr="0" upright="0">
                                <a:noAutofit/>
                              </wps:bodyPr>
                            </wps:wsp>
                            <wps:wsp>
                              <wps:cNvPr id="121" name="文本框 299 121"/>
                              <wps:cNvSpPr/>
                              <wps:spPr>
                                <a:xfrm rot="0">
                                  <a:off x="1139824" y="1805295"/>
                                  <a:ext cx="431164" cy="268611"/>
                                </a:xfrm>
                                <a:prstGeom prst="rect"/>
                                <a:noFill/>
                                <a:ln w="6350" cmpd="sng" cap="flat">
                                  <a:noFill/>
                                  <a:prstDash val="solid"/>
                                  <a:round/>
                                </a:ln>
                              </wps:spPr>
                              <wps:txbx id="122">
                                <w:txbxContent>
                                  <w:p>
                                    <w:pPr>
                                      <w:ind w:left="0" w:firstLineChars="0" w:firstLine="0"/>
                                      <w:rPr>
                                        <w:rFonts w:eastAsia="宋体"/>
                                        <w:sz w:val="21"/>
                                        <w:szCs w:val="21"/>
                                        <w:lang w:val="en-US" w:eastAsia="zh-CN"/>
                                      </w:rPr>
                                    </w:pPr>
                                    <w:r>
                                      <w:rPr>
                                        <w:rFonts w:hint="eastAsia"/>
                                        <w:sz w:val="21"/>
                                        <w:szCs w:val="21"/>
                                        <w:lang w:val="en-US" w:eastAsia="zh-CN"/>
                                      </w:rPr>
                                      <w:t>1</w:t>
                                    </w:r>
                                  </w:p>
                                </w:txbxContent>
                              </wps:txbx>
                              <wps:bodyPr vert="horz" wrap="square" lIns="91440" tIns="45720" rIns="91440" bIns="45720" anchor="t" anchorCtr="0" upright="0">
                                <a:noAutofit/>
                              </wps:bodyPr>
                            </wps:wsp>
                            <wps:wsp>
                              <wps:cNvPr id="123" name="文本框 308 123"/>
                              <wps:cNvSpPr/>
                              <wps:spPr>
                                <a:xfrm rot="0">
                                  <a:off x="1691640" y="637543"/>
                                  <a:ext cx="431164" cy="268611"/>
                                </a:xfrm>
                                <a:prstGeom prst="rect"/>
                                <a:noFill/>
                                <a:ln w="6350" cmpd="sng" cap="flat">
                                  <a:noFill/>
                                  <a:prstDash val="solid"/>
                                  <a:round/>
                                </a:ln>
                              </wps:spPr>
                              <wps:txbx id="124">
                                <w:txbxContent>
                                  <w:p>
                                    <w:pPr>
                                      <w:ind w:left="0" w:firstLineChars="0" w:firstLine="0"/>
                                      <w:rPr>
                                        <w:rFonts w:eastAsia="宋体"/>
                                        <w:sz w:val="21"/>
                                        <w:szCs w:val="21"/>
                                        <w:lang w:val="en-US" w:eastAsia="zh-CN"/>
                                      </w:rPr>
                                    </w:pPr>
                                    <w:r>
                                      <w:rPr>
                                        <w:rFonts w:hint="eastAsia"/>
                                        <w:sz w:val="21"/>
                                        <w:szCs w:val="21"/>
                                        <w:lang w:val="en-US" w:eastAsia="zh-CN"/>
                                      </w:rPr>
                                      <w:t>0.2</w:t>
                                    </w:r>
                                  </w:p>
                                </w:txbxContent>
                              </wps:txbx>
                              <wps:bodyPr vert="horz" wrap="square" lIns="91440" tIns="45720" rIns="91440" bIns="45720" anchor="t" anchorCtr="0" upright="0">
                                <a:noAutofit/>
                              </wps:bodyPr>
                            </wps:wsp>
                            <wps:wsp>
                              <wps:cNvPr id="125" name="直接箭头连接符 305 125"/>
                              <wps:cNvSpPr/>
                              <wps:spPr>
                                <a:xfrm flipV="1" rot="21600000">
                                  <a:off x="1619250" y="1755135"/>
                                  <a:ext cx="207644" cy="138436"/>
                                </a:xfrm>
                                <a:prstGeom prst="straightConnector1"/>
                                <a:noFill/>
                                <a:ln w="9525" cmpd="sng" cap="flat">
                                  <a:solidFill>
                                    <a:srgbClr val="000000"/>
                                  </a:solidFill>
                                  <a:prstDash val="dash"/>
                                  <a:round/>
                                  <a:tailEnd type="arrow" w="med" len="med"/>
                                </a:ln>
                              </wps:spPr>
                              <wps:bodyPr vert="horz" wrap="square" lIns="91440" tIns="45720" rIns="91440" bIns="45720" anchor="t" anchorCtr="0" upright="0">
                                <a:noAutofit/>
                              </wps:bodyPr>
                            </wps:wsp>
                            <wps:wsp>
                              <wps:cNvPr id="126" name="直接箭头连接符 307 126"/>
                              <wps:cNvSpPr/>
                              <wps:spPr>
                                <a:xfrm flipV="1" rot="21600000">
                                  <a:off x="1593849" y="758166"/>
                                  <a:ext cx="207644" cy="138435"/>
                                </a:xfrm>
                                <a:prstGeom prst="straightConnector1"/>
                                <a:noFill/>
                                <a:ln w="9525" cmpd="sng" cap="flat">
                                  <a:solidFill>
                                    <a:srgbClr val="000000"/>
                                  </a:solidFill>
                                  <a:prstDash val="dash"/>
                                  <a:round/>
                                  <a:tailEnd type="arrow" w="med" len="med"/>
                                </a:ln>
                              </wps:spPr>
                              <wps:bodyPr vert="horz" wrap="square" lIns="91440" tIns="45720" rIns="91440" bIns="45720" anchor="t" anchorCtr="0" upright="0">
                                <a:noAutofit/>
                              </wps:bodyPr>
                            </wps:wsp>
                            <wps:wsp>
                              <wps:cNvPr id="127" name="直接箭头连接符 306 127"/>
                              <wps:cNvSpPr/>
                              <wps:spPr>
                                <a:xfrm flipV="1" rot="21600000">
                                  <a:off x="1606549" y="1266180"/>
                                  <a:ext cx="207645" cy="138436"/>
                                </a:xfrm>
                                <a:prstGeom prst="straightConnector1"/>
                                <a:noFill/>
                                <a:ln w="9525" cmpd="sng" cap="flat">
                                  <a:solidFill>
                                    <a:srgbClr val="000000"/>
                                  </a:solidFill>
                                  <a:prstDash val="dash"/>
                                  <a:round/>
                                  <a:tailEnd type="arrow" w="med" len="med"/>
                                </a:ln>
                              </wps:spPr>
                              <wps:bodyPr vert="horz" wrap="square" lIns="91440" tIns="45720" rIns="91440" bIns="45720" anchor="t" anchorCtr="0" upright="0">
                                <a:noAutofit/>
                              </wps:bodyPr>
                            </wps:wsp>
                            <wps:wsp>
                              <wps:cNvPr id="128" name="文本框 300 128"/>
                              <wps:cNvSpPr/>
                              <wps:spPr>
                                <a:xfrm rot="0">
                                  <a:off x="1130934" y="2350778"/>
                                  <a:ext cx="431165" cy="268611"/>
                                </a:xfrm>
                                <a:prstGeom prst="rect"/>
                                <a:noFill/>
                                <a:ln w="6350" cmpd="sng" cap="flat">
                                  <a:noFill/>
                                  <a:prstDash val="solid"/>
                                  <a:round/>
                                </a:ln>
                              </wps:spPr>
                              <wps:txbx id="129">
                                <w:txbxContent>
                                  <w:p>
                                    <w:pPr>
                                      <w:ind w:left="0" w:firstLineChars="0" w:firstLine="0"/>
                                      <w:rPr>
                                        <w:rFonts w:eastAsia="宋体"/>
                                        <w:sz w:val="21"/>
                                        <w:szCs w:val="21"/>
                                        <w:lang w:val="en-US" w:eastAsia="zh-CN"/>
                                      </w:rPr>
                                    </w:pPr>
                                    <w:r>
                                      <w:rPr>
                                        <w:rFonts w:hint="eastAsia"/>
                                        <w:sz w:val="21"/>
                                        <w:szCs w:val="21"/>
                                        <w:lang w:val="en-US" w:eastAsia="zh-CN"/>
                                      </w:rPr>
                                      <w:t>3.6</w:t>
                                    </w:r>
                                  </w:p>
                                </w:txbxContent>
                              </wps:txbx>
                              <wps:bodyPr vert="horz" wrap="square" lIns="91440" tIns="45720" rIns="91440" bIns="45720" anchor="t" anchorCtr="0" upright="0">
                                <a:noAutofit/>
                              </wps:bodyPr>
                            </wps:wsp>
                            <wps:wsp>
                              <wps:cNvPr id="130" name="直接箭头连接符 304 130"/>
                              <wps:cNvSpPr/>
                              <wps:spPr>
                                <a:xfrm flipV="1" rot="21600000">
                                  <a:off x="1612899" y="2307586"/>
                                  <a:ext cx="207645" cy="138435"/>
                                </a:xfrm>
                                <a:prstGeom prst="straightConnector1"/>
                                <a:noFill/>
                                <a:ln w="9525" cmpd="sng" cap="flat">
                                  <a:solidFill>
                                    <a:srgbClr val="000000"/>
                                  </a:solidFill>
                                  <a:prstDash val="dash"/>
                                  <a:round/>
                                  <a:tailEnd type="arrow" w="med" len="med"/>
                                </a:ln>
                              </wps:spPr>
                              <wps:bodyPr vert="horz" wrap="square" lIns="91440" tIns="45720" rIns="91440" bIns="45720" anchor="t" anchorCtr="0" upright="0">
                                <a:noAutofit/>
                              </wps:bodyPr>
                            </wps:wsp>
                            <wps:wsp>
                              <wps:cNvPr id="131" name="文本框 303 131"/>
                              <wps:cNvSpPr/>
                              <wps:spPr>
                                <a:xfrm rot="0">
                                  <a:off x="2169160" y="2143124"/>
                                  <a:ext cx="431164" cy="268611"/>
                                </a:xfrm>
                                <a:prstGeom prst="rect"/>
                                <a:noFill/>
                                <a:ln w="6350" cmpd="sng" cap="flat">
                                  <a:noFill/>
                                  <a:prstDash val="solid"/>
                                  <a:round/>
                                </a:ln>
                              </wps:spPr>
                              <wps:txbx id="132">
                                <w:txbxContent>
                                  <w:p>
                                    <w:pPr>
                                      <w:ind w:left="0" w:firstLineChars="0" w:firstLine="0"/>
                                      <w:rPr>
                                        <w:rFonts w:eastAsia="宋体"/>
                                        <w:sz w:val="21"/>
                                        <w:szCs w:val="21"/>
                                        <w:lang w:val="en-US" w:eastAsia="zh-CN"/>
                                      </w:rPr>
                                    </w:pPr>
                                    <w:r>
                                      <w:rPr>
                                        <w:rFonts w:hint="eastAsia"/>
                                        <w:sz w:val="21"/>
                                        <w:szCs w:val="21"/>
                                        <w:lang w:val="en-US" w:eastAsia="zh-CN"/>
                                      </w:rPr>
                                      <w:t>4</w:t>
                                    </w:r>
                                  </w:p>
                                </w:txbxContent>
                              </wps:txbx>
                              <wps:bodyPr vert="horz" wrap="square" lIns="91440" tIns="45720" rIns="91440" bIns="45720" anchor="t" anchorCtr="0" upright="0">
                                <a:noAutofit/>
                              </wps:bodyPr>
                            </wps:wsp>
                            <wps:wsp>
                              <wps:cNvPr id="133" name="文本框 309 133"/>
                              <wps:cNvSpPr/>
                              <wps:spPr>
                                <a:xfrm rot="0">
                                  <a:off x="1723390" y="1151878"/>
                                  <a:ext cx="431164" cy="268611"/>
                                </a:xfrm>
                                <a:prstGeom prst="rect"/>
                                <a:noFill/>
                                <a:ln w="6350" cmpd="sng" cap="flat">
                                  <a:noFill/>
                                  <a:prstDash val="solid"/>
                                  <a:round/>
                                </a:ln>
                              </wps:spPr>
                              <wps:txbx id="134">
                                <w:txbxContent>
                                  <w:p>
                                    <w:pPr>
                                      <w:ind w:left="0" w:firstLineChars="0" w:firstLine="0"/>
                                      <w:rPr>
                                        <w:rFonts w:eastAsia="宋体"/>
                                        <w:sz w:val="21"/>
                                        <w:szCs w:val="21"/>
                                        <w:lang w:val="en-US" w:eastAsia="zh-CN"/>
                                      </w:rPr>
                                    </w:pPr>
                                    <w:r>
                                      <w:rPr>
                                        <w:rFonts w:hint="eastAsia"/>
                                        <w:sz w:val="21"/>
                                        <w:szCs w:val="21"/>
                                        <w:lang w:val="en-US" w:eastAsia="zh-CN"/>
                                      </w:rPr>
                                      <w:t>0.2</w:t>
                                    </w:r>
                                  </w:p>
                                </w:txbxContent>
                              </wps:txbx>
                              <wps:bodyPr vert="horz" wrap="square" lIns="91440" tIns="45720" rIns="91440" bIns="45720" anchor="t" anchorCtr="0" upright="0">
                                <a:noAutofit/>
                              </wps:bodyPr>
                            </wps:wsp>
                            <wps:wsp>
                              <wps:cNvPr id="135" name="文本框 310 135"/>
                              <wps:cNvSpPr/>
                              <wps:spPr>
                                <a:xfrm rot="0">
                                  <a:off x="1761490" y="1647155"/>
                                  <a:ext cx="431164" cy="268611"/>
                                </a:xfrm>
                                <a:prstGeom prst="rect"/>
                                <a:noFill/>
                                <a:ln w="6350" cmpd="sng" cap="flat">
                                  <a:noFill/>
                                  <a:prstDash val="solid"/>
                                  <a:round/>
                                </a:ln>
                              </wps:spPr>
                              <wps:txbx id="136">
                                <w:txbxContent>
                                  <w:p>
                                    <w:pPr>
                                      <w:ind w:left="0" w:firstLineChars="0" w:firstLine="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137" name="文本框 311 137"/>
                              <wps:cNvSpPr/>
                              <wps:spPr>
                                <a:xfrm rot="0">
                                  <a:off x="1755140" y="2193284"/>
                                  <a:ext cx="431164" cy="268611"/>
                                </a:xfrm>
                                <a:prstGeom prst="rect"/>
                                <a:noFill/>
                                <a:ln w="6350" cmpd="sng" cap="flat">
                                  <a:noFill/>
                                  <a:prstDash val="solid"/>
                                  <a:round/>
                                </a:ln>
                              </wps:spPr>
                              <wps:txbx id="138">
                                <w:txbxContent>
                                  <w:p>
                                    <w:pPr>
                                      <w:ind w:left="0" w:firstLineChars="0" w:firstLine="0"/>
                                      <w:rPr>
                                        <w:rFonts w:eastAsia="宋体"/>
                                        <w:sz w:val="21"/>
                                        <w:szCs w:val="21"/>
                                        <w:lang w:val="en-US" w:eastAsia="zh-CN"/>
                                      </w:rPr>
                                    </w:pPr>
                                    <w:r>
                                      <w:rPr>
                                        <w:rFonts w:eastAsia="宋体" w:hint="eastAsia"/>
                                        <w:sz w:val="21"/>
                                        <w:szCs w:val="21"/>
                                        <w:lang w:val="en-US" w:eastAsia="zh-CN"/>
                                      </w:rPr>
                                      <w:t>0.72</w:t>
                                    </w:r>
                                  </w:p>
                                </w:txbxContent>
                              </wps:txbx>
                              <wps:bodyPr vert="horz" wrap="square" lIns="91440" tIns="45720" rIns="91440" bIns="45720" anchor="t" anchorCtr="0" upright="0">
                                <a:noAutofit/>
                              </wps:bodyPr>
                            </wps:wsp>
                            <wps:wsp>
                              <wps:cNvPr id="139" name="文本框 314 139"/>
                              <wps:cNvSpPr/>
                              <wps:spPr>
                                <a:xfrm rot="0">
                                  <a:off x="2542540" y="1831321"/>
                                  <a:ext cx="431164" cy="268611"/>
                                </a:xfrm>
                                <a:prstGeom prst="rect"/>
                                <a:noFill/>
                                <a:ln w="6350" cmpd="sng" cap="flat">
                                  <a:noFill/>
                                  <a:prstDash val="solid"/>
                                  <a:round/>
                                </a:ln>
                              </wps:spPr>
                              <wps:txbx id="140">
                                <w:txbxContent>
                                  <w:p>
                                    <w:pPr>
                                      <w:ind w:left="0" w:firstLineChars="0" w:firstLine="0"/>
                                      <w:rPr>
                                        <w:rFonts w:eastAsia="宋体"/>
                                        <w:sz w:val="21"/>
                                        <w:szCs w:val="21"/>
                                        <w:lang w:val="en-US" w:eastAsia="zh-CN"/>
                                      </w:rPr>
                                    </w:pPr>
                                    <w:r>
                                      <w:rPr>
                                        <w:rFonts w:hint="eastAsia"/>
                                        <w:sz w:val="21"/>
                                        <w:szCs w:val="21"/>
                                        <w:lang w:val="en-US" w:eastAsia="zh-CN"/>
                                      </w:rPr>
                                      <w:t>0.6</w:t>
                                    </w:r>
                                  </w:p>
                                </w:txbxContent>
                              </wps:txbx>
                              <wps:bodyPr vert="horz" wrap="square" lIns="91440" tIns="45720" rIns="91440" bIns="45720" anchor="t" anchorCtr="0" upright="0">
                                <a:noAutofit/>
                              </wps:bodyPr>
                            </wps:wsp>
                            <wps:wsp>
                              <wps:cNvPr id="141" name="文本框 313 141"/>
                              <wps:cNvSpPr/>
                              <wps:spPr>
                                <a:xfrm rot="0">
                                  <a:off x="2472690" y="1304250"/>
                                  <a:ext cx="431164" cy="268611"/>
                                </a:xfrm>
                                <a:prstGeom prst="rect"/>
                                <a:noFill/>
                                <a:ln w="6350" cmpd="sng" cap="flat">
                                  <a:noFill/>
                                  <a:prstDash val="solid"/>
                                  <a:round/>
                                </a:ln>
                              </wps:spPr>
                              <wps:txbx id="142">
                                <w:txbxContent>
                                  <w:p>
                                    <w:pPr>
                                      <w:ind w:left="0" w:firstLineChars="0" w:firstLine="0"/>
                                      <w:rPr>
                                        <w:rFonts w:eastAsia="宋体"/>
                                        <w:sz w:val="21"/>
                                        <w:szCs w:val="21"/>
                                        <w:lang w:val="en-US" w:eastAsia="zh-CN"/>
                                      </w:rPr>
                                    </w:pPr>
                                    <w:r>
                                      <w:rPr>
                                        <w:rFonts w:hint="eastAsia"/>
                                        <w:sz w:val="21"/>
                                        <w:szCs w:val="21"/>
                                        <w:lang w:val="en-US" w:eastAsia="zh-CN"/>
                                      </w:rPr>
                                      <w:t>0.4</w:t>
                                    </w:r>
                                  </w:p>
                                </w:txbxContent>
                              </wps:txbx>
                              <wps:bodyPr vert="horz" wrap="square" lIns="91440" tIns="45720" rIns="91440" bIns="45720" anchor="t" anchorCtr="0" upright="0">
                                <a:noAutofit/>
                              </wps:bodyPr>
                            </wps:wsp>
                            <wps:wsp>
                              <wps:cNvPr id="143" name="文本框 312 143"/>
                              <wps:cNvSpPr/>
                              <wps:spPr>
                                <a:xfrm rot="0">
                                  <a:off x="2453640" y="834398"/>
                                  <a:ext cx="431164" cy="268611"/>
                                </a:xfrm>
                                <a:prstGeom prst="rect"/>
                                <a:noFill/>
                                <a:ln w="6350" cmpd="sng" cap="flat">
                                  <a:noFill/>
                                  <a:prstDash val="solid"/>
                                  <a:round/>
                                </a:ln>
                              </wps:spPr>
                              <wps:txbx id="144">
                                <w:txbxContent>
                                  <w:p>
                                    <w:pPr>
                                      <w:ind w:left="0" w:firstLineChars="0" w:firstLine="0"/>
                                      <w:rPr>
                                        <w:rFonts w:eastAsia="宋体"/>
                                        <w:sz w:val="21"/>
                                        <w:szCs w:val="21"/>
                                        <w:lang w:val="en-US" w:eastAsia="zh-CN"/>
                                      </w:rPr>
                                    </w:pPr>
                                    <w:r>
                                      <w:rPr>
                                        <w:rFonts w:hint="eastAsia"/>
                                        <w:sz w:val="21"/>
                                        <w:szCs w:val="21"/>
                                        <w:lang w:val="en-US" w:eastAsia="zh-CN"/>
                                      </w:rPr>
                                      <w:t>0.2</w:t>
                                    </w:r>
                                  </w:p>
                                </w:txbxContent>
                              </wps:txbx>
                              <wps:bodyPr vert="horz" wrap="square" lIns="91440" tIns="45720" rIns="91440" bIns="45720" anchor="t" anchorCtr="0" upright="0">
                                <a:noAutofit/>
                              </wps:bodyPr>
                            </wps:wsp>
                            <wps:wsp>
                              <wps:cNvPr id="145" name="文本框 316 145"/>
                              <wps:cNvSpPr/>
                              <wps:spPr>
                                <a:xfrm rot="0">
                                  <a:off x="3031489" y="923274"/>
                                  <a:ext cx="431164" cy="268611"/>
                                </a:xfrm>
                                <a:prstGeom prst="rect"/>
                                <a:noFill/>
                                <a:ln w="6350" cmpd="sng" cap="flat">
                                  <a:noFill/>
                                  <a:prstDash val="solid"/>
                                  <a:round/>
                                </a:ln>
                              </wps:spPr>
                              <wps:txbx id="146">
                                <w:txbxContent>
                                  <w:p>
                                    <w:pPr>
                                      <w:ind w:left="0" w:firstLineChars="0" w:firstLine="0"/>
                                      <w:rPr>
                                        <w:rFonts w:eastAsia="宋体"/>
                                        <w:sz w:val="21"/>
                                        <w:szCs w:val="21"/>
                                        <w:lang w:val="en-US" w:eastAsia="zh-CN"/>
                                      </w:rPr>
                                    </w:pPr>
                                    <w:r>
                                      <w:rPr>
                                        <w:rFonts w:hint="eastAsia"/>
                                        <w:sz w:val="21"/>
                                        <w:szCs w:val="21"/>
                                        <w:lang w:val="en-US" w:eastAsia="zh-CN"/>
                                      </w:rPr>
                                      <w:t>1.2</w:t>
                                    </w:r>
                                  </w:p>
                                </w:txbxContent>
                              </wps:txbx>
                              <wps:bodyPr vert="horz" wrap="square" lIns="91440" tIns="45720" rIns="91440" bIns="45720" anchor="t" anchorCtr="0" upright="0">
                                <a:noAutofit/>
                              </wps:bodyPr>
                            </wps:wsp>
                            <wps:wsp>
                              <wps:cNvPr id="147" name="文本框 318 147"/>
                              <wps:cNvSpPr/>
                              <wps:spPr>
                                <a:xfrm rot="0">
                                  <a:off x="4102100" y="2138002"/>
                                  <a:ext cx="431164" cy="268611"/>
                                </a:xfrm>
                                <a:prstGeom prst="rect"/>
                                <a:noFill/>
                                <a:ln w="6350" cmpd="sng" cap="flat">
                                  <a:noFill/>
                                  <a:prstDash val="solid"/>
                                  <a:round/>
                                </a:ln>
                              </wps:spPr>
                              <wps:txbx id="148">
                                <w:txbxContent>
                                  <w:p>
                                    <w:pPr>
                                      <w:ind w:left="0" w:firstLineChars="0" w:firstLine="0"/>
                                      <w:rPr>
                                        <w:rFonts w:eastAsia="宋体"/>
                                        <w:sz w:val="21"/>
                                        <w:szCs w:val="21"/>
                                        <w:lang w:val="en-US" w:eastAsia="zh-CN"/>
                                      </w:rPr>
                                    </w:pPr>
                                    <w:r>
                                      <w:rPr>
                                        <w:rFonts w:hint="eastAsia"/>
                                        <w:sz w:val="21"/>
                                        <w:szCs w:val="21"/>
                                        <w:lang w:val="en-US" w:eastAsia="zh-CN"/>
                                      </w:rPr>
                                      <w:t>2.88</w:t>
                                    </w:r>
                                  </w:p>
                                </w:txbxContent>
                              </wps:txbx>
                              <wps:bodyPr vert="horz" wrap="square" lIns="91440" tIns="45720" rIns="91440" bIns="45720" anchor="t" anchorCtr="0" upright="0">
                                <a:noAutofit/>
                              </wps:bodyPr>
                            </wps:wsp>
                            <wps:wsp>
                              <wps:cNvPr id="149" name="文本框 317 149"/>
                              <wps:cNvSpPr/>
                              <wps:spPr>
                                <a:xfrm rot="0">
                                  <a:off x="2787650" y="2366652"/>
                                  <a:ext cx="431164" cy="268611"/>
                                </a:xfrm>
                                <a:prstGeom prst="rect"/>
                                <a:noFill/>
                                <a:ln w="6350" cmpd="sng" cap="flat">
                                  <a:noFill/>
                                  <a:prstDash val="solid"/>
                                  <a:round/>
                                </a:ln>
                              </wps:spPr>
                              <wps:txbx id="150">
                                <w:txbxContent>
                                  <w:p>
                                    <w:pPr>
                                      <w:ind w:left="0" w:firstLineChars="0" w:firstLine="0"/>
                                      <w:rPr>
                                        <w:rFonts w:eastAsia="宋体"/>
                                        <w:sz w:val="21"/>
                                        <w:szCs w:val="21"/>
                                        <w:lang w:val="en-US" w:eastAsia="zh-CN"/>
                                      </w:rPr>
                                    </w:pPr>
                                    <w:r>
                                      <w:rPr>
                                        <w:rFonts w:hint="eastAsia"/>
                                        <w:sz w:val="21"/>
                                        <w:szCs w:val="21"/>
                                        <w:lang w:val="en-US" w:eastAsia="zh-CN"/>
                                      </w:rPr>
                                      <w:t>2.88</w:t>
                                    </w:r>
                                  </w:p>
                                </w:txbxContent>
                              </wps:txbx>
                              <wps:bodyPr vert="horz" wrap="square" lIns="91440" tIns="45720" rIns="91440" bIns="45720" anchor="t" anchorCtr="0" upright="0">
                                <a:noAutofit/>
                              </wps:bodyPr>
                            </wps:wsp>
                            <wps:wsp>
                              <wps:cNvPr id="151" name="文本框 128 151"/>
                              <wps:cNvSpPr/>
                              <wps:spPr>
                                <a:xfrm rot="0">
                                  <a:off x="1117599" y="202577"/>
                                  <a:ext cx="431164" cy="268611"/>
                                </a:xfrm>
                                <a:prstGeom prst="rect"/>
                                <a:noFill/>
                                <a:ln w="6350" cmpd="sng" cap="flat">
                                  <a:noFill/>
                                  <a:prstDash val="solid"/>
                                  <a:round/>
                                </a:ln>
                              </wps:spPr>
                              <wps:txbx id="152">
                                <w:txbxContent>
                                  <w:p>
                                    <w:pPr>
                                      <w:ind w:left="0" w:firstLineChars="0" w:firstLine="0"/>
                                      <w:rPr>
                                        <w:rFonts w:eastAsia="宋体"/>
                                        <w:sz w:val="21"/>
                                        <w:szCs w:val="21"/>
                                        <w:lang w:val="en-US" w:eastAsia="zh-CN"/>
                                      </w:rPr>
                                    </w:pPr>
                                    <w:r>
                                      <w:rPr>
                                        <w:rFonts w:hint="eastAsia"/>
                                        <w:sz w:val="21"/>
                                        <w:szCs w:val="21"/>
                                        <w:lang w:val="en-US" w:eastAsia="zh-CN"/>
                                      </w:rPr>
                                      <w:t>1.4</w:t>
                                    </w:r>
                                  </w:p>
                                </w:txbxContent>
                              </wps:txbx>
                              <wps:bodyPr vert="horz" wrap="square" lIns="91440" tIns="45720" rIns="91440" bIns="45720" anchor="t" anchorCtr="0" upright="0">
                                <a:noAutofit/>
                              </wps:bodyPr>
                            </wps:wsp>
                            <wps:wsp>
                              <wps:cNvPr id="153" name="文本框 146 153"/>
                              <wps:cNvSpPr/>
                              <wps:spPr>
                                <a:xfrm rot="0">
                                  <a:off x="2603500" y="221635"/>
                                  <a:ext cx="431164" cy="268611"/>
                                </a:xfrm>
                                <a:prstGeom prst="rect"/>
                                <a:noFill/>
                                <a:ln w="6350" cmpd="sng" cap="flat">
                                  <a:noFill/>
                                  <a:prstDash val="solid"/>
                                  <a:round/>
                                </a:ln>
                              </wps:spPr>
                              <wps:txbx id="154">
                                <w:txbxContent>
                                  <w:p>
                                    <w:pPr>
                                      <w:ind w:left="0" w:firstLineChars="0" w:firstLine="0"/>
                                      <w:rPr>
                                        <w:rFonts w:eastAsia="宋体"/>
                                        <w:sz w:val="21"/>
                                        <w:szCs w:val="21"/>
                                        <w:lang w:val="en-US" w:eastAsia="zh-CN"/>
                                      </w:rPr>
                                    </w:pPr>
                                    <w:r>
                                      <w:rPr>
                                        <w:rFonts w:hint="eastAsia"/>
                                        <w:sz w:val="21"/>
                                        <w:szCs w:val="21"/>
                                        <w:lang w:val="en-US" w:eastAsia="zh-CN"/>
                                      </w:rPr>
                                      <w:t>1.4</w:t>
                                    </w:r>
                                  </w:p>
                                </w:txbxContent>
                              </wps:txbx>
                              <wps:bodyPr vert="horz" wrap="square" lIns="91440" tIns="45720" rIns="91440" bIns="45720" anchor="t" anchorCtr="0" upright="0">
                                <a:noAutofit/>
                              </wps:bodyPr>
                            </wps:wsp>
                            <wps:wsp>
                              <wps:cNvPr id="155" name="文本框 147 155"/>
                              <wps:cNvSpPr/>
                              <wps:spPr>
                                <a:xfrm rot="0">
                                  <a:off x="3931285" y="363809"/>
                                  <a:ext cx="431164" cy="268611"/>
                                </a:xfrm>
                                <a:prstGeom prst="rect"/>
                                <a:noFill/>
                                <a:ln w="6350" cmpd="sng" cap="flat">
                                  <a:noFill/>
                                  <a:prstDash val="solid"/>
                                  <a:round/>
                                </a:ln>
                              </wps:spPr>
                              <wps:txbx id="156">
                                <w:txbxContent>
                                  <w:p>
                                    <w:pPr>
                                      <w:ind w:left="0" w:firstLineChars="0" w:firstLine="0"/>
                                      <w:rPr>
                                        <w:rFonts w:eastAsia="宋体"/>
                                        <w:sz w:val="21"/>
                                        <w:szCs w:val="21"/>
                                        <w:lang w:val="en-US" w:eastAsia="zh-CN"/>
                                      </w:rPr>
                                    </w:pPr>
                                    <w:r>
                                      <w:rPr>
                                        <w:rFonts w:hint="eastAsia"/>
                                        <w:sz w:val="21"/>
                                        <w:szCs w:val="21"/>
                                        <w:lang w:val="en-US" w:eastAsia="zh-CN"/>
                                      </w:rPr>
                                      <w:t>1.6</w:t>
                                    </w:r>
                                  </w:p>
                                </w:txbxContent>
                              </wps:txbx>
                              <wps:bodyPr vert="horz" wrap="square" lIns="91440" tIns="45720" rIns="91440" bIns="45720" anchor="t" anchorCtr="0" upright="0">
                                <a:noAutofit/>
                              </wps:bodyPr>
                            </wps:wsp>
                            <wps:bodyPr vert="horz" wrap="square" lIns="91440" tIns="45720" rIns="91440" bIns="45720" anchor="t" anchorCtr="0" upright="1">
                              <a:noAutofit/>
                            </wps:bodyPr>
                          </wpg:wgp>
                        </a:graphicData>
                      </a:graphic>
                    </wp:anchor>
                  </w:drawing>
                </mc:Choice>
                <mc:Fallback>
                  <w:pict>
                    <v:group type="#_x0000_t1" id="组合 1041" o:spid="_x0000_s157" coordorigin="2016,2447" coordsize="8500,4453" style="position:absolute;margin-left:-1.6000003pt;margin-top:7.3500023pt;width:425.0pt;height:222.69635pt;z-index:368;mso-position-horizontal:absolute;mso-position-vertical:absolute;">
                      <v:rect type="#_x0000_t1" id="_s158" o:spid="_x0000_s158" style="position:absolute;left:7319;top:3227;width:678;height:423;mso-wrap-style:square;" filled="f" stroked="f" strokeweight="0.5pt">
                        <v:textbox id="866"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0.4</w:t>
                              </w:r>
                            </w:p>
                          </w:txbxContent>
                        </v:textbox>
                        <v:stroke/>
                      </v:rect>
                      <v:rect type="#_x0000_t1" id="_s159" o:spid="_x0000_s159" style="position:absolute;left:2016;top:4750;width:967;height:423;mso-wrap-style:square;" fillcolor="#FFFFFF" stroked="t" strokeweight="0.5pt">
                        <v:textbox id="867"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新鲜水</w:t>
                              </w:r>
                            </w:p>
                          </w:txbxContent>
                        </v:textbox>
                        <v:stroke color="#000000"/>
                      </v:rect>
                      <v:rect type="#_x0000_t1" id="_s160" o:spid="_x0000_s160" style="position:absolute;left:4465;top:3000;width:1185;height:423;mso-wrap-style:square;" fillcolor="#FFFFFF" stroked="t" strokeweight="0.5pt">
                        <v:textbox id="868"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生产用水</w:t>
                              </w:r>
                            </w:p>
                          </w:txbxContent>
                        </v:textbox>
                        <v:stroke color="#000000"/>
                      </v:rect>
                      <v:rect type="#_x0000_t1" id="_s161" o:spid="_x0000_s161" style="position:absolute;left:4500;top:3852;width:1387;height:423;mso-wrap-style:square;" fillcolor="#FFFFFF" stroked="t" strokeweight="0.5pt">
                        <v:textbox id="869"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喷淋塔用水</w:t>
                              </w:r>
                            </w:p>
                          </w:txbxContent>
                        </v:textbox>
                        <v:stroke color="#000000"/>
                      </v:rect>
                      <v:rect type="#_x0000_t1" id="_s162" o:spid="_x0000_s162" style="position:absolute;left:4507;top:4652;width:1387;height:423;mso-wrap-style:square;" fillcolor="#FFFFFF" stroked="t" strokeweight="0.5pt">
                        <v:textbox id="870"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旋转吸附机</w:t>
                              </w:r>
                            </w:p>
                          </w:txbxContent>
                        </v:textbox>
                        <v:stroke color="#000000"/>
                      </v:rect>
                      <v:rect type="#_x0000_t1" id="_s163" o:spid="_x0000_s163" style="position:absolute;left:4515;top:5437;width:1387;height:423;mso-wrap-style:square;" fillcolor="#FFFFFF" stroked="t" strokeweight="0.5pt">
                        <v:textbox id="871"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热风炉用水</w:t>
                              </w:r>
                            </w:p>
                          </w:txbxContent>
                        </v:textbox>
                        <v:stroke color="#000000"/>
                      </v:rect>
                      <v:rect type="#_x0000_t1" id="_s164" o:spid="_x0000_s164" style="position:absolute;left:4508;top:6305;width:1265;height:423;mso-wrap-style:square;" fillcolor="#FFFFFF" stroked="t" strokeweight="0.5pt">
                        <v:textbox id="872"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生活用水</w:t>
                              </w:r>
                            </w:p>
                          </w:txbxContent>
                        </v:textbox>
                        <v:stroke color="#000000"/>
                      </v:rect>
                      <v:line type="#_x0000_t20" id="直接连接符 242 72" o:spid="_x0000_s165" style="position:absolute;visibility:visible;" from="3781.3604,3169.6382" to="3781.3604,6564.622" filled="f" stroked="t">
                        <v:stroke color="#000000"/>
                      </v:line>
                      <v:shape type="#_x0000_t32" id="直接箭头连接符 246 73" o:spid="_x0000_s166" style="position:absolute;left:2989;top:4999;width:778;height:11;" filled="f" stroked="t">
                        <v:stroke color="#000000" endarrow="open"/>
                      </v:shape>
                      <v:shape type="#_x0000_t32" id="直接箭头连接符 258 74" o:spid="_x0000_s167" style="position:absolute;left:3781;top:3179;width:663;height:0;" filled="f" stroked="t">
                        <v:stroke color="#000000" endarrow="open"/>
                      </v:shape>
                      <v:shape type="#_x0000_t32" id="直接箭头连接符 260 75" o:spid="_x0000_s168" style="position:absolute;left:3830;top:4060;width:663;height:0;" filled="f" stroked="t">
                        <v:stroke color="#000000" endarrow="open"/>
                      </v:shape>
                      <v:shape type="#_x0000_t32" id="直接箭头连接符 261 76" o:spid="_x0000_s169" style="position:absolute;left:3810;top:4845;width:663;height:0;" filled="f" stroked="t">
                        <v:stroke color="#000000" endarrow="open"/>
                      </v:shape>
                      <v:shape type="#_x0000_t32" id="直接箭头连接符 263 77" o:spid="_x0000_s170" style="position:absolute;left:3805;top:5617;width:663;height:0;" filled="f" stroked="t">
                        <v:stroke color="#000000" endarrow="open"/>
                      </v:shape>
                      <v:shape type="#_x0000_t32" id="直接箭头连接符 264 78" o:spid="_x0000_s171" style="position:absolute;left:3800;top:6539;width:663;height:0;" filled="f" stroked="t">
                        <v:stroke color="#000000" endarrow="open"/>
                      </v:shape>
                      <v:shape type="#_x0000_t32" id="直接箭头连接符 265 79" o:spid="_x0000_s172" style="position:absolute;left:5685;top:3187;width:1573;height:1;flip:y;" filled="f" stroked="t">
                        <v:stroke color="#000000" endarrow="open"/>
                      </v:shape>
                      <v:rect type="#_x0000_t1" id="_s173" o:spid="_x0000_s173" style="position:absolute;left:7978;top:3323;width:1139;height:423;mso-wrap-style:square;" fillcolor="#FFFFFF" stroked="t" strokeweight="0.5pt">
                        <v:textbox id="873"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搅拌工序</w:t>
                              </w:r>
                            </w:p>
                          </w:txbxContent>
                        </v:textbox>
                        <v:stroke color="#000000"/>
                      </v:rect>
                      <v:shape type="#_x0000_t32" id="直接箭头连接符 267 82" o:spid="_x0000_s174" style="position:absolute;left:7337;top:2822;width:663;height:0;" filled="f" stroked="t">
                        <v:stroke color="#000000" endarrow="open"/>
                      </v:shape>
                      <v:line type="#_x0000_t20" id="直接连接符 268 83" o:spid="_x0000_s175" style="position:absolute;visibility:visible;" from="7308.36,2810.6492" to="7310.3594,3582.6196" filled="f" stroked="t">
                        <v:stroke color="#000000"/>
                      </v:line>
                      <v:shape type="#_x0000_t32" id="直接箭头连接符 269 84" o:spid="_x0000_s176" style="position:absolute;left:7291;top:3574;width:663;height:0;" filled="f" stroked="t">
                        <v:stroke color="#000000" endarrow="open"/>
                      </v:shape>
                      <v:rect type="#_x0000_t1" id="_s177" o:spid="_x0000_s177" style="position:absolute;left:7990;top:2644;width:1357;height:423;mso-wrap-style:square;" fillcolor="#FFFFFF" stroked="t" strokeweight="0.5pt">
                        <v:textbox id="874" inset="2.54mm,1.27mm,2.54mm,1.27mm" o:insetmode="custom" style="layout-flow:horizontal;v-text-anchor:top;">
                          <w:txbxContent>
                            <w:p>
                              <w:pPr>
                                <w:ind w:left="0" w:firstLineChars="0" w:firstLine="0"/>
                                <w:rPr>
                                  <w:rFonts w:eastAsia="宋体" w:hint="eastAsia"/>
                                  <w:sz w:val="21"/>
                                  <w:szCs w:val="21"/>
                                  <w:lang w:val="en-US" w:eastAsia="zh-CN"/>
                                </w:rPr>
                              </w:pPr>
                              <w:r>
                                <w:rPr>
                                  <w:rFonts w:eastAsia="宋体" w:hint="eastAsia"/>
                                  <w:sz w:val="21"/>
                                  <w:szCs w:val="21"/>
                                  <w:lang w:val="en-US" w:eastAsia="zh-CN"/>
                                </w:rPr>
                                <w:t>蒸汽发生器</w:t>
                              </w:r>
                            </w:p>
                          </w:txbxContent>
                        </v:textbox>
                        <v:stroke color="#000000"/>
                      </v:rect>
                      <v:shape type="#_x0000_t32" id="直接箭头连接符 272 87" o:spid="_x0000_s178" style="position:absolute;left:9355;top:2875;width:430;height:2;flip:y;" filled="f" stroked="t">
                        <v:stroke color="#000000" endarrow="open"/>
                      </v:shape>
                      <v:rect type="#_x0000_t1" id="_s179" o:spid="_x0000_s179" style="position:absolute;left:9795;top:2569;width:720;height:682;mso-wrap-style:square;" fillcolor="#FFFFFF" stroked="t" strokeweight="0.5pt">
                        <v:textbox id="875"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整形工序</w:t>
                              </w:r>
                            </w:p>
                          </w:txbxContent>
                        </v:textbox>
                        <v:stroke color="#000000"/>
                      </v:rect>
                      <v:shape type="#_x0000_t32" id="直接箭头连接符 274 90" o:spid="_x0000_s180" style="position:absolute;left:5878;top:4085;width:790;height:0;" filled="f" stroked="t">
                        <v:stroke color="#000000" endarrow="open"/>
                      </v:shape>
                      <v:shape type="#_x0000_t32" id="直接箭头连接符 276 91" o:spid="_x0000_s181" style="position:absolute;left:5908;top:5633;width:790;height:0;" filled="f" stroked="t">
                        <v:stroke color="#000000" endarrow="open"/>
                      </v:shape>
                      <v:shape type="#_x0000_t32" id="直接箭头连接符 275 92" o:spid="_x0000_s182" style="position:absolute;left:5903;top:4821;width:790;height:0;" filled="f" stroked="t">
                        <v:stroke color="#000000" endarrow="open"/>
                      </v:shape>
                      <v:line type="#_x0000_t20" id="直接连接符 281 93" o:spid="_x0000_s183" style="position:absolute;flip:y;visibility:visible;" from="6066.3613,4170.663" to="6079.3604,4525.655" filled="f" stroked="t">
                        <v:stroke color="#000000"/>
                      </v:line>
                      <v:shape type="#_x0000_t32" id="直接箭头连接符 278 94" o:spid="_x0000_s184" style="position:absolute;left:5358;top:4253;width:8;height:268;flip:y;" filled="f" stroked="t">
                        <v:stroke color="#000000" endarrow="open"/>
                      </v:shape>
                      <v:line type="#_x0000_t20" id="直接连接符 279 95" o:spid="_x0000_s185" style="position:absolute;flip:x;visibility:visible;" from="5358.3594,4514.609" to="6049.3594,4515.6265" filled="f" stroked="t">
                        <v:stroke color="#000000"/>
                      </v:line>
                      <v:line type="#_x0000_t20" id="直接连接符 280 96" o:spid="_x0000_s186" style="position:absolute;flip:x y;visibility:visible;" from="5881.3594,4172.698" to="6079.3584,4178.7295" filled="f" stroked="t">
                        <v:stroke color="#000000"/>
                      </v:line>
                      <v:shape type="#_x0000_t32" id="直接箭头连接符 282 97" o:spid="_x0000_s187" style="position:absolute;left:5406;top:5858;width:5;height:285;flip:x y;" filled="f" stroked="t">
                        <v:stroke color="#000000" endarrow="open"/>
                      </v:shape>
                      <v:line type="#_x0000_t20" id="直接连接符 285 98" o:spid="_x0000_s188" style="position:absolute;flip:x y;visibility:visible;" from="5908.3594,5766.6357" to="6081.3594,5770.633" filled="f" stroked="t">
                        <v:stroke color="#000000"/>
                      </v:line>
                      <v:line type="#_x0000_t20" id="直接连接符 283 99" o:spid="_x0000_s189" style="position:absolute;flip:x;visibility:visible;" from="5400.359,6146.698" to="6091.3584,6147.715" filled="f" stroked="t">
                        <v:stroke color="#000000"/>
                      </v:line>
                      <v:line type="#_x0000_t20" id="直接连接符 284 100" o:spid="_x0000_s190" style="position:absolute;flip:y;visibility:visible;" from="6084.3604,5768.5977" to="6093.36,6144.5903" filled="f" stroked="t">
                        <v:stroke color="#000000"/>
                      </v:line>
                      <v:rect type="#_x0000_t1" id="_s191" o:spid="_x0000_s191" style="position:absolute;left:3761;top:4491;width:679;height:423;mso-wrap-style:square;" filled="f" stroked="f" strokeweight="0.5pt">
                        <v:textbox id="876"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0.6</w:t>
                              </w:r>
                            </w:p>
                          </w:txbxContent>
                        </v:textbox>
                        <v:stroke/>
                      </v:rect>
                      <v:line type="#_x0000_t20" id="直接连接符 286 103" o:spid="_x0000_s192" style="position:absolute;visibility:visible;" from="6662.3604,4074.5938" to="6677.3594,5634.5947" filled="f" stroked="t">
                        <v:stroke color="#000000"/>
                      </v:line>
                      <v:rect type="#_x0000_t1" id="_s193" o:spid="_x0000_s193" style="position:absolute;left:3780;top:3651;width:678;height:423;mso-wrap-style:square;" filled="f" stroked="f" strokeweight="0.5pt">
                        <v:textbox id="877"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0.4</w:t>
                              </w:r>
                            </w:p>
                          </w:txbxContent>
                        </v:textbox>
                        <v:stroke/>
                      </v:rect>
                      <v:rect type="#_x0000_t1" id="_s194" o:spid="_x0000_s194" style="position:absolute;left:7425;top:2447;width:514;height:396;mso-wrap-style:square;" filled="f" stroked="f" strokeweight="0.5pt">
                        <v:textbox id="878"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w:t>
                              </w:r>
                            </w:p>
                          </w:txbxContent>
                        </v:textbox>
                        <v:stroke/>
                      </v:rect>
                      <v:rect type="#_x0000_t1" id="_s195" o:spid="_x0000_s195" style="position:absolute;left:9353;top:2521;width:446;height:382;mso-wrap-style:square;" filled="f" stroked="f" strokeweight="0.5pt">
                        <v:textbox id="879"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w:t>
                              </w:r>
                            </w:p>
                          </w:txbxContent>
                        </v:textbox>
                        <v:stroke/>
                      </v:rect>
                      <v:rect type="#_x0000_t1" id="_s196" o:spid="_x0000_s196" style="position:absolute;left:7799;top:4578;width:1533;height:1089;mso-wrap-style:square;" fillcolor="#FFFFFF" stroked="t" strokeweight="0.5pt">
                        <v:textbox id="880"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石家庄装备制造基地绿源污水处理有限公司</w:t>
                              </w:r>
                            </w:p>
                          </w:txbxContent>
                        </v:textbox>
                        <v:stroke color="#000000"/>
                      </v:rect>
                      <v:shape type="#_x0000_t32" id="直接箭头连接符 287 112" o:spid="_x0000_s197" style="position:absolute;left:6692;top:3619;width:1225;height:1323;flip:y;" filled="f" stroked="t">
                        <v:stroke color="#000000" endarrow="open"/>
                      </v:shape>
                      <v:shape type="#_x0000_t32" id="直接箭头连接符 288 113" o:spid="_x0000_s198" style="position:absolute;left:5805;top:6570;width:2108;height:25;" filled="f" stroked="t">
                        <v:stroke color="#000000" endarrow="open"/>
                      </v:shape>
                      <v:rect type="#_x0000_t1" id="_s199" o:spid="_x0000_s199" style="position:absolute;left:7913;top:6289;width:1245;height:612;mso-wrap-style:square;" fillcolor="#FFFFFF" stroked="t" strokeweight="0.5pt">
                        <v:textbox id="881"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多格生物化粪池</w:t>
                              </w:r>
                            </w:p>
                          </w:txbxContent>
                        </v:textbox>
                        <v:stroke color="#000000"/>
                      </v:rect>
                      <v:shape type="#_x0000_t32" id="直接箭头连接符 290 116" o:spid="_x0000_s200" style="position:absolute;left:8536;top:5663;width:0;height:626;flip:y;" filled="f" stroked="t">
                        <v:stroke color="#000000" endarrow="open"/>
                      </v:shape>
                      <v:rect type="#_x0000_t1" id="_s201" o:spid="_x0000_s201" style="position:absolute;left:3060;top:4609;width:462;height:423;mso-wrap-style:square;" filled="f" stroked="f" strokeweight="0.5pt">
                        <v:textbox id="882"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7</w:t>
                              </w:r>
                            </w:p>
                          </w:txbxContent>
                        </v:textbox>
                        <v:stroke/>
                      </v:rect>
                      <v:rect type="#_x0000_t1" id="_s202" o:spid="_x0000_s202" style="position:absolute;left:5438;top:4205;width:678;height:423;mso-wrap-style:square;" filled="f" stroked="f" strokeweight="0.5pt">
                        <v:textbox id="883"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16</w:t>
                              </w:r>
                            </w:p>
                          </w:txbxContent>
                        </v:textbox>
                        <v:stroke/>
                      </v:rect>
                      <v:rect type="#_x0000_t1" id="_s203" o:spid="_x0000_s203" style="position:absolute;left:3811;top:5290;width:678;height:423;mso-wrap-style:square;" filled="f" stroked="f" strokeweight="0.5pt">
                        <v:textbox id="884"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w:t>
                              </w:r>
                            </w:p>
                          </w:txbxContent>
                        </v:textbox>
                        <v:stroke/>
                      </v:rect>
                      <v:rect type="#_x0000_t1" id="_s204" o:spid="_x0000_s204" style="position:absolute;left:4680;top:3451;width:678;height:423;mso-wrap-style:square;" filled="f" stroked="f" strokeweight="0.5pt">
                        <v:textbox id="885"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0.2</w:t>
                              </w:r>
                            </w:p>
                          </w:txbxContent>
                        </v:textbox>
                        <v:stroke/>
                      </v:rect>
                      <v:shape type="#_x0000_t32" id="直接箭头连接符 305 125" o:spid="_x0000_s205" style="position:absolute;left:4566;top:5211;width:327;height:218;flip:y;" filled="f" stroked="t">
                        <v:stroke dashstyle="dash" color="#000000" endarrow="open"/>
                      </v:shape>
                      <v:shape type="#_x0000_t32" id="直接箭头连接符 307 126" o:spid="_x0000_s206" style="position:absolute;left:4526;top:3641;width:327;height:218;flip:y;" filled="f" stroked="t">
                        <v:stroke dashstyle="dash" color="#000000" endarrow="open"/>
                      </v:shape>
                      <v:shape type="#_x0000_t32" id="直接箭头连接符 306 127" o:spid="_x0000_s207" style="position:absolute;left:4546;top:4441;width:327;height:218;flip:y;" filled="f" stroked="t">
                        <v:stroke dashstyle="dash" color="#000000" endarrow="open"/>
                      </v:shape>
                      <v:rect type="#_x0000_t1" id="_s208" o:spid="_x0000_s208" style="position:absolute;left:3797;top:6149;width:678;height:423;mso-wrap-style:square;" filled="f" stroked="f" strokeweight="0.5pt">
                        <v:textbox id="886"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3.6</w:t>
                              </w:r>
                            </w:p>
                          </w:txbxContent>
                        </v:textbox>
                        <v:stroke/>
                      </v:rect>
                      <v:shape type="#_x0000_t32" id="直接箭头连接符 304 130" o:spid="_x0000_s209" style="position:absolute;left:4556;top:6081;width:327;height:218;flip:y;" filled="f" stroked="t">
                        <v:stroke dashstyle="dash" color="#000000" endarrow="open"/>
                      </v:shape>
                      <v:rect type="#_x0000_t1" id="_s210" o:spid="_x0000_s210" style="position:absolute;left:5432;top:5822;width:678;height:423;mso-wrap-style:square;" filled="f" stroked="f" strokeweight="0.5pt">
                        <v:textbox id="887"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4</w:t>
                              </w:r>
                            </w:p>
                          </w:txbxContent>
                        </v:textbox>
                        <v:stroke/>
                      </v:rect>
                      <v:rect type="#_x0000_t1" id="_s211" o:spid="_x0000_s211" style="position:absolute;left:4730;top:4261;width:678;height:423;mso-wrap-style:square;" filled="f" stroked="f" strokeweight="0.5pt">
                        <v:textbox id="888"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0.2</w:t>
                              </w:r>
                            </w:p>
                          </w:txbxContent>
                        </v:textbox>
                        <v:stroke/>
                      </v:rect>
                      <v:rect type="#_x0000_t1" id="_s212" o:spid="_x0000_s212" style="position:absolute;left:4790;top:5041;width:678;height:423;mso-wrap-style:square;" filled="f" stroked="f" strokeweight="0.5pt">
                        <v:textbox id="889"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0.4</w:t>
                              </w:r>
                            </w:p>
                          </w:txbxContent>
                        </v:textbox>
                        <v:stroke/>
                      </v:rect>
                      <v:rect type="#_x0000_t1" id="_s213" o:spid="_x0000_s213" style="position:absolute;left:4780;top:5901;width:678;height:423;mso-wrap-style:square;" filled="f" stroked="f" strokeweight="0.5pt">
                        <v:textbox id="890"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0.72</w:t>
                              </w:r>
                            </w:p>
                          </w:txbxContent>
                        </v:textbox>
                        <v:stroke/>
                      </v:rect>
                      <v:rect type="#_x0000_t1" id="_s214" o:spid="_x0000_s214" style="position:absolute;left:6020;top:5331;width:678;height:423;mso-wrap-style:square;" filled="f" stroked="f" strokeweight="0.5pt">
                        <v:textbox id="891"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0.6</w:t>
                              </w:r>
                            </w:p>
                          </w:txbxContent>
                        </v:textbox>
                        <v:stroke/>
                      </v:rect>
                      <v:rect type="#_x0000_t1" id="_s215" o:spid="_x0000_s215" style="position:absolute;left:5910;top:4501;width:678;height:423;mso-wrap-style:square;" filled="f" stroked="f" strokeweight="0.5pt">
                        <v:textbox id="892"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0.4</w:t>
                              </w:r>
                            </w:p>
                          </w:txbxContent>
                        </v:textbox>
                        <v:stroke/>
                      </v:rect>
                      <v:rect type="#_x0000_t1" id="_s216" o:spid="_x0000_s216" style="position:absolute;left:5880;top:3761;width:678;height:423;mso-wrap-style:square;" filled="f" stroked="f" strokeweight="0.5pt">
                        <v:textbox id="893"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0.2</w:t>
                              </w:r>
                            </w:p>
                          </w:txbxContent>
                        </v:textbox>
                        <v:stroke/>
                      </v:rect>
                      <v:rect type="#_x0000_t1" id="_s217" o:spid="_x0000_s217" style="position:absolute;left:6790;top:3901;width:678;height:423;mso-wrap-style:square;" filled="f" stroked="f" strokeweight="0.5pt">
                        <v:textbox id="894"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1.2</w:t>
                              </w:r>
                            </w:p>
                          </w:txbxContent>
                        </v:textbox>
                        <v:stroke/>
                      </v:rect>
                      <v:rect type="#_x0000_t1" id="_s218" o:spid="_x0000_s218" style="position:absolute;left:8476;top:5814;width:678;height:423;mso-wrap-style:square;" filled="f" stroked="f" strokeweight="0.5pt">
                        <v:textbox id="895"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2.88</w:t>
                              </w:r>
                            </w:p>
                          </w:txbxContent>
                        </v:textbox>
                        <v:stroke/>
                      </v:rect>
                      <v:rect type="#_x0000_t1" id="_s219" o:spid="_x0000_s219" style="position:absolute;left:6406;top:6174;width:678;height:423;mso-wrap-style:square;" filled="f" stroked="f" strokeweight="0.5pt">
                        <v:textbox id="896"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2.88</w:t>
                              </w:r>
                            </w:p>
                          </w:txbxContent>
                        </v:textbox>
                        <v:stroke/>
                      </v:rect>
                      <v:rect type="#_x0000_t1" id="_s220" o:spid="_x0000_s220" style="position:absolute;left:3776;top:2766;width:678;height:423;mso-wrap-style:square;" filled="f" stroked="f" strokeweight="0.5pt">
                        <v:textbox id="897"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1.4</w:t>
                              </w:r>
                            </w:p>
                          </w:txbxContent>
                        </v:textbox>
                        <v:stroke/>
                      </v:rect>
                      <v:rect type="#_x0000_t1" id="_s221" o:spid="_x0000_s221" style="position:absolute;left:6116;top:2796;width:678;height:423;mso-wrap-style:square;" filled="f" stroked="f" strokeweight="0.5pt">
                        <v:textbox id="898"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1.4</w:t>
                              </w:r>
                            </w:p>
                          </w:txbxContent>
                        </v:textbox>
                        <v:stroke/>
                      </v:rect>
                      <v:rect type="#_x0000_t1" id="_s222" o:spid="_x0000_s222" style="position:absolute;left:8207;top:3020;width:678;height:423;mso-wrap-style:square;" filled="f" stroked="f" strokeweight="0.5pt">
                        <v:textbox id="899"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1.6</w:t>
                              </w:r>
                            </w:p>
                          </w:txbxContent>
                        </v:textbox>
                        <v:stroke/>
                      </v:rect>
                    </v:group>
                  </w:pict>
                </mc:Fallback>
              </mc:AlternateContent>
            </w: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jc w:val="center"/>
              <w:rPr>
                <w:b/>
                <w:bCs/>
                <w:color w:val="auto"/>
              </w:rPr>
            </w:pPr>
            <w:r>
              <w:rPr>
                <w:color w:val="auto"/>
                <w:sz w:val="24"/>
              </w:rPr>
              <mc:AlternateContent>
                <mc:Choice Requires="wps">
                  <w:drawing>
                    <wp:anchor distT="0" distB="0" distL="114300" distR="114300" simplePos="0" relativeHeight="370" behindDoc="0" locked="0" layoutInCell="1" hidden="0" allowOverlap="1">
                      <wp:simplePos x="0" y="0"/>
                      <wp:positionH relativeFrom="column">
                        <wp:posOffset>824230</wp:posOffset>
                      </wp:positionH>
                      <wp:positionV relativeFrom="paragraph">
                        <wp:posOffset>24129</wp:posOffset>
                      </wp:positionV>
                      <wp:extent cx="3672838" cy="820431"/>
                      <wp:effectExtent l="5080" t="0" r="19050" b="19684"/>
                      <wp:wrapNone/>
                      <wp:docPr id="1043" name="组合 1043"/>
                      <wp:cNvGraphicFramePr>
                        <a:graphicFrameLocks noChangeAspect="0"/>
                      </wp:cNvGraphicFramePr>
                      <a:graphic>
                        <a:graphicData uri="http://schemas.microsoft.com/office/word/2010/wordprocessingGroup">
                          <wpg:wgp>
                            <wpg:cNvPr id="223" name="组合 223"/>
                            <wpg:cNvGrpSpPr/>
                            <wpg:grpSpPr>
                              <a:xfrm rot="0">
                                <a:off x="0" y="0"/>
                                <a:ext cx="3672838" cy="820431"/>
                                <a:chOff x="0" y="0"/>
                                <a:chExt cx="3672838" cy="820431"/>
                              </a:xfrm>
                              <a:prstGeom prst="rect"/>
                              <a:solidFill>
                                <a:srgbClr val="FFFFFF"/>
                              </a:solidFill>
                              <a:ln w="9525" cmpd="sng" cap="flat">
                                <a:solidFill>
                                  <a:srgbClr val="000000"/>
                                </a:solidFill>
                                <a:prstDash val="solid"/>
                                <a:miter/>
                              </a:ln>
                            </wpg:grpSpPr>
                            <wps:wsp>
                              <wps:cNvPr id="224" name="文本框 326 224"/>
                              <wps:cNvSpPr/>
                              <wps:spPr>
                                <a:xfrm rot="0">
                                  <a:off x="1362074" y="0"/>
                                  <a:ext cx="657859" cy="268616"/>
                                </a:xfrm>
                                <a:prstGeom prst="rect"/>
                                <a:noFill/>
                                <a:ln w="6350" cmpd="sng" cap="flat">
                                  <a:noFill/>
                                  <a:prstDash val="solid"/>
                                  <a:round/>
                                </a:ln>
                              </wps:spPr>
                              <wps:txbx id="225">
                                <w:txbxContent>
                                  <w:p>
                                    <w:pPr>
                                      <w:ind w:left="0" w:firstLineChars="0" w:firstLine="0"/>
                                      <w:rPr>
                                        <w:rFonts w:eastAsia="宋体"/>
                                        <w:sz w:val="21"/>
                                        <w:szCs w:val="21"/>
                                        <w:lang w:val="en-US" w:eastAsia="zh-CN"/>
                                      </w:rPr>
                                    </w:pPr>
                                    <w:r>
                                      <w:rPr>
                                        <w:rFonts w:hint="eastAsia"/>
                                        <w:sz w:val="21"/>
                                        <w:szCs w:val="21"/>
                                        <w:lang w:val="en-US" w:eastAsia="zh-CN"/>
                                      </w:rPr>
                                      <w:t>0.001</w:t>
                                    </w:r>
                                  </w:p>
                                </w:txbxContent>
                              </wps:txbx>
                              <wps:bodyPr vert="horz" wrap="square" lIns="91440" tIns="45720" rIns="91440" bIns="45720" anchor="t" anchorCtr="0" upright="0">
                                <a:noAutofit/>
                              </wps:bodyPr>
                            </wps:wsp>
                            <wpg:grpSp>
                              <wpg:cNvPr id="226" name="组合 139 226"/>
                              <wpg:cNvGrpSpPr/>
                              <wpg:grpSpPr>
                                <a:xfrm rot="0">
                                  <a:off x="0" y="177154"/>
                                  <a:ext cx="3672838" cy="643276"/>
                                  <a:chOff x="0" y="0"/>
                                  <a:chExt cx="3672838" cy="643276"/>
                                </a:xfrm>
                                <a:prstGeom prst="rect"/>
                                <a:noFill/>
                                <a:ln cmpd="sng" cap="flat">
                                  <a:noFill/>
                                  <a:prstDash val="solid"/>
                                  <a:miter/>
                                </a:ln>
                              </wpg:grpSpPr>
                              <wps:wsp>
                                <wps:cNvPr id="227" name="文本框 321 227"/>
                                <wps:cNvSpPr/>
                                <wps:spPr>
                                  <a:xfrm rot="0">
                                    <a:off x="1168399" y="167694"/>
                                    <a:ext cx="923289" cy="268570"/>
                                  </a:xfrm>
                                  <a:prstGeom prst="rect"/>
                                  <a:solidFill>
                                    <a:srgbClr val="FFFFFF"/>
                                  </a:solidFill>
                                  <a:ln w="6350" cmpd="sng" cap="flat">
                                    <a:solidFill>
                                      <a:srgbClr val="000000"/>
                                    </a:solidFill>
                                    <a:prstDash val="solid"/>
                                    <a:round/>
                                  </a:ln>
                                </wps:spPr>
                                <wps:txbx id="228">
                                  <w:txbxContent>
                                    <w:p>
                                      <w:pPr>
                                        <w:ind w:left="0" w:firstLineChars="0" w:firstLine="0"/>
                                        <w:rPr>
                                          <w:rFonts w:eastAsia="宋体"/>
                                          <w:sz w:val="21"/>
                                          <w:szCs w:val="21"/>
                                          <w:lang w:val="en-US" w:eastAsia="zh-CN"/>
                                        </w:rPr>
                                      </w:pPr>
                                      <w:r>
                                        <w:rPr>
                                          <w:rFonts w:hint="eastAsia"/>
                                          <w:sz w:val="21"/>
                                          <w:szCs w:val="21"/>
                                          <w:lang w:val="en-US" w:eastAsia="zh-CN"/>
                                        </w:rPr>
                                        <w:t>化验室用水</w:t>
                                      </w:r>
                                    </w:p>
                                  </w:txbxContent>
                                </wps:txbx>
                                <wps:bodyPr vert="horz" wrap="square" lIns="91440" tIns="45720" rIns="91440" bIns="45720" anchor="t" anchorCtr="0" upright="0">
                                  <a:noAutofit/>
                                </wps:bodyPr>
                              </wps:wsp>
                              <wps:wsp>
                                <wps:cNvPr id="229" name="直接箭头连接符 322 229"/>
                                <wps:cNvSpPr/>
                                <wps:spPr>
                                  <a:xfrm flipV="1" rot="21600000">
                                    <a:off x="2110740" y="313055"/>
                                    <a:ext cx="421004" cy="4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30" name="文本框 319 230"/>
                                <wps:cNvSpPr/>
                                <wps:spPr>
                                  <a:xfrm rot="0">
                                    <a:off x="0" y="158142"/>
                                    <a:ext cx="741045" cy="268570"/>
                                  </a:xfrm>
                                  <a:prstGeom prst="rect"/>
                                  <a:solidFill>
                                    <a:srgbClr val="FFFFFF"/>
                                  </a:solidFill>
                                  <a:ln w="6350" cmpd="sng" cap="flat">
                                    <a:solidFill>
                                      <a:srgbClr val="000000"/>
                                    </a:solidFill>
                                    <a:prstDash val="solid"/>
                                    <a:round/>
                                  </a:ln>
                                </wps:spPr>
                                <wps:txbx id="231">
                                  <w:txbxContent>
                                    <w:p>
                                      <w:pPr>
                                        <w:ind w:left="0" w:firstLineChars="0" w:firstLine="0"/>
                                        <w:rPr>
                                          <w:rFonts w:eastAsia="宋体"/>
                                          <w:sz w:val="21"/>
                                          <w:szCs w:val="21"/>
                                          <w:lang w:val="en-US" w:eastAsia="zh-CN"/>
                                        </w:rPr>
                                      </w:pPr>
                                      <w:r>
                                        <w:rPr>
                                          <w:rFonts w:hint="eastAsia"/>
                                          <w:sz w:val="21"/>
                                          <w:szCs w:val="21"/>
                                          <w:lang w:val="en-US" w:eastAsia="zh-CN"/>
                                        </w:rPr>
                                        <w:t>外购纯水</w:t>
                                      </w:r>
                                    </w:p>
                                  </w:txbxContent>
                                </wps:txbx>
                                <wps:bodyPr vert="horz" wrap="square" lIns="91440" tIns="45720" rIns="91440" bIns="45720" anchor="t" anchorCtr="0" upright="0">
                                  <a:noAutofit/>
                                </wps:bodyPr>
                              </wps:wsp>
                              <wps:wsp>
                                <wps:cNvPr id="232" name="直接箭头连接符 320 232"/>
                                <wps:cNvSpPr/>
                                <wps:spPr>
                                  <a:xfrm flipV="1" rot="21600000">
                                    <a:off x="760094" y="295888"/>
                                    <a:ext cx="421005" cy="4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33" name="文本框 324 233"/>
                                <wps:cNvSpPr/>
                                <wps:spPr>
                                  <a:xfrm rot="0">
                                    <a:off x="668019" y="26072"/>
                                    <a:ext cx="657860" cy="268570"/>
                                  </a:xfrm>
                                  <a:prstGeom prst="rect"/>
                                  <a:noFill/>
                                  <a:ln w="6350" cmpd="sng" cap="flat">
                                    <a:noFill/>
                                    <a:prstDash val="solid"/>
                                    <a:round/>
                                  </a:ln>
                                </wps:spPr>
                                <wps:txbx id="234">
                                  <w:txbxContent>
                                    <w:p>
                                      <w:pPr>
                                        <w:ind w:left="0" w:firstLineChars="0" w:firstLine="0"/>
                                        <w:rPr>
                                          <w:rFonts w:eastAsia="宋体"/>
                                          <w:sz w:val="21"/>
                                          <w:szCs w:val="21"/>
                                          <w:lang w:val="en-US" w:eastAsia="zh-CN"/>
                                        </w:rPr>
                                      </w:pPr>
                                      <w:r>
                                        <w:rPr>
                                          <w:rFonts w:hint="eastAsia"/>
                                          <w:sz w:val="21"/>
                                          <w:szCs w:val="21"/>
                                          <w:lang w:val="en-US" w:eastAsia="zh-CN"/>
                                        </w:rPr>
                                        <w:t>0.005</w:t>
                                      </w:r>
                                    </w:p>
                                  </w:txbxContent>
                                </wps:txbx>
                                <wps:bodyPr vert="horz" wrap="square" lIns="91440" tIns="45720" rIns="91440" bIns="45720" anchor="t" anchorCtr="0" upright="0">
                                  <a:noAutofit/>
                                </wps:bodyPr>
                              </wps:wsp>
                              <wps:wsp>
                                <wps:cNvPr id="235" name="直接箭头连接符 327 235"/>
                                <wps:cNvSpPr/>
                                <wps:spPr>
                                  <a:xfrm flipV="1" rot="21600000">
                                    <a:off x="1213484" y="0"/>
                                    <a:ext cx="207644" cy="138484"/>
                                  </a:xfrm>
                                  <a:prstGeom prst="straightConnector1"/>
                                  <a:noFill/>
                                  <a:ln w="9525" cmpd="sng" cap="flat">
                                    <a:solidFill>
                                      <a:srgbClr val="000000"/>
                                    </a:solidFill>
                                    <a:prstDash val="dash"/>
                                    <a:round/>
                                    <a:tailEnd type="arrow" w="med" len="med"/>
                                  </a:ln>
                                </wps:spPr>
                                <wps:bodyPr vert="horz" wrap="square" lIns="91440" tIns="45720" rIns="91440" bIns="45720" anchor="t" anchorCtr="0" upright="0">
                                  <a:noAutofit/>
                                </wps:bodyPr>
                              </wps:wsp>
                              <wps:wsp>
                                <wps:cNvPr id="236" name="文本框 323 236"/>
                                <wps:cNvSpPr/>
                                <wps:spPr>
                                  <a:xfrm rot="0">
                                    <a:off x="2543174" y="49607"/>
                                    <a:ext cx="1129664" cy="593669"/>
                                  </a:xfrm>
                                  <a:prstGeom prst="rect"/>
                                  <a:solidFill>
                                    <a:srgbClr val="FFFFFF"/>
                                  </a:solidFill>
                                  <a:ln w="6350" cmpd="sng" cap="flat">
                                    <a:solidFill>
                                      <a:srgbClr val="000000"/>
                                    </a:solidFill>
                                    <a:prstDash val="solid"/>
                                    <a:round/>
                                  </a:ln>
                                </wps:spPr>
                                <wps:txbx id="237">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ascii="Times New Roman" w:eastAsia="宋体" w:cs="Times New Roman" w:hAnsi="Times New Roman" w:hint="eastAsia"/>
                                          <w:sz w:val="21"/>
                                          <w:szCs w:val="21"/>
                                          <w:lang w:val="en-US" w:eastAsia="zh-CN"/>
                                        </w:rPr>
                                        <w:t>暂存危废间，定期交由有资质单</w:t>
                                      </w:r>
                                      <w:r>
                                        <w:rPr>
                                          <w:rFonts w:eastAsia="宋体" w:hint="eastAsia"/>
                                          <w:sz w:val="21"/>
                                          <w:szCs w:val="21"/>
                                          <w:lang w:val="en-US" w:eastAsia="zh-CN"/>
                                        </w:rPr>
                                        <w:t>位处理</w:t>
                                      </w:r>
                                    </w:p>
                                  </w:txbxContent>
                                </wps:txbx>
                                <wps:bodyPr vert="horz" wrap="square" lIns="91440" tIns="45720" rIns="91440" bIns="45720" anchor="t" anchorCtr="0" upright="0">
                                  <a:noAutofit/>
                                </wps:bodyPr>
                              </wps:wsp>
                              <wps:wsp>
                                <wps:cNvPr id="238" name="文本框 325 238"/>
                                <wps:cNvSpPr/>
                                <wps:spPr>
                                  <a:xfrm rot="0">
                                    <a:off x="2026919" y="74987"/>
                                    <a:ext cx="657859" cy="268570"/>
                                  </a:xfrm>
                                  <a:prstGeom prst="rect"/>
                                  <a:noFill/>
                                  <a:ln w="6350" cmpd="sng" cap="flat">
                                    <a:noFill/>
                                    <a:prstDash val="solid"/>
                                    <a:round/>
                                  </a:ln>
                                </wps:spPr>
                                <wps:txbx id="239">
                                  <w:txbxContent>
                                    <w:p>
                                      <w:pPr>
                                        <w:ind w:left="0" w:firstLineChars="0" w:firstLine="0"/>
                                        <w:rPr>
                                          <w:rFonts w:eastAsia="宋体"/>
                                          <w:sz w:val="21"/>
                                          <w:szCs w:val="21"/>
                                          <w:lang w:val="en-US" w:eastAsia="zh-CN"/>
                                        </w:rPr>
                                      </w:pPr>
                                      <w:r>
                                        <w:rPr>
                                          <w:rFonts w:hint="eastAsia"/>
                                          <w:sz w:val="21"/>
                                          <w:szCs w:val="21"/>
                                          <w:lang w:val="en-US" w:eastAsia="zh-CN"/>
                                        </w:rPr>
                                        <w:t>0.004</w:t>
                                      </w:r>
                                    </w:p>
                                  </w:txbxContent>
                                </wps:txbx>
                                <wps:bodyPr vert="horz" wrap="square" lIns="91440" tIns="45720" rIns="91440" bIns="45720" anchor="t" anchorCtr="0" upright="0">
                                  <a:noAutofit/>
                                </wps:bodyPr>
                              </wps:wsp>
                            </wpg:grpSp>
                            <wps:bodyPr vert="horz" wrap="square" lIns="91440" tIns="45720" rIns="91440" bIns="45720" anchor="t" anchorCtr="0" upright="1">
                              <a:noAutofit/>
                            </wps:bodyPr>
                          </wpg:wgp>
                        </a:graphicData>
                      </a:graphic>
                    </wp:anchor>
                  </w:drawing>
                </mc:Choice>
                <mc:Fallback>
                  <w:pict>
                    <v:group type="#_x0000_t1" id="组合 1043" o:spid="_x0000_s240" coordorigin="3346,7168" coordsize="5783,1292" style="position:absolute;margin-left:64.9pt;margin-top:1.8999996pt;width:289.1999pt;height:64.60087pt;z-index:370;mso-position-horizontal:absolute;mso-position-vertical:absolute;">
                      <v:rect type="#_x0000_t1" id="_s241" o:spid="_x0000_s241" style="position:absolute;left:5491;top:7168;width:1035;height:423;mso-wrap-style:square;" filled="f" stroked="f" strokeweight="0.5pt">
                        <v:textbox id="900"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0.001</w:t>
                              </w:r>
                            </w:p>
                          </w:txbxContent>
                        </v:textbox>
                        <v:stroke/>
                      </v:rect>
                      <v:group type="#_x0000_t1" id="组合 139" o:spid="_x0000_s242" coordorigin="3346,7447" coordsize="5783,1013" style="position:absolute;left:3346;top:7447;width:5783;height:1013;">
                        <v:rect type="#_x0000_t1" id="_s243" o:spid="_x0000_s243" style="position:absolute;left:5186;top:7711;width:1453;height:422;mso-wrap-style:square;" fillcolor="#FFFFFF" stroked="t" strokeweight="0.5pt">
                          <v:textbox id="901"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化验室用水</w:t>
                                </w:r>
                              </w:p>
                            </w:txbxContent>
                          </v:textbox>
                          <v:stroke color="#000000"/>
                        </v:rect>
                        <v:shape type="#_x0000_t32" id="直接箭头连接符 322 229" o:spid="_x0000_s244" style="position:absolute;left:6670;top:7940;width:663;height:0;flip:y;" filled="f" stroked="t">
                          <v:stroke color="#000000" endarrow="open"/>
                        </v:shape>
                        <v:rect type="#_x0000_t1" id="_s245" o:spid="_x0000_s245" style="position:absolute;left:3346;top:7696;width:1167;height:422;mso-wrap-style:square;" fillcolor="#FFFFFF" stroked="t" strokeweight="0.5pt">
                          <v:textbox id="902"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外购纯水</w:t>
                                </w:r>
                              </w:p>
                            </w:txbxContent>
                          </v:textbox>
                          <v:stroke color="#000000"/>
                        </v:rect>
                        <v:shape type="#_x0000_t32" id="直接箭头连接符 320 232" o:spid="_x0000_s246" style="position:absolute;left:4543;top:7913;width:663;height:0;flip:y;" filled="f" stroked="t">
                          <v:stroke color="#000000" endarrow="open"/>
                        </v:shape>
                        <v:rect type="#_x0000_t1" id="_s247" o:spid="_x0000_s247" style="position:absolute;left:4398;top:7488;width:1036;height:422;mso-wrap-style:square;" filled="f" stroked="f" strokeweight="0.5pt">
                          <v:textbox id="903"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0.005</w:t>
                                </w:r>
                              </w:p>
                            </w:txbxContent>
                          </v:textbox>
                          <v:stroke/>
                        </v:rect>
                        <v:shape type="#_x0000_t32" id="直接箭头连接符 327 235" o:spid="_x0000_s248" style="position:absolute;left:5257;top:7447;width:327;height:218;flip:y;" filled="f" stroked="t">
                          <v:stroke dashstyle="dash" color="#000000" endarrow="open"/>
                        </v:shape>
                        <v:rect type="#_x0000_t1" id="_s249" o:spid="_x0000_s249" style="position:absolute;left:7351;top:7525;width:1778;height:934;mso-wrap-style:square;" fillcolor="#FFFFFF" stroked="t" strokeweight="0.5pt">
                          <v:textbox id="904"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ascii="Times New Roman" w:eastAsia="宋体" w:cs="Times New Roman" w:hAnsi="Times New Roman" w:hint="eastAsia"/>
                                    <w:sz w:val="21"/>
                                    <w:szCs w:val="21"/>
                                    <w:lang w:val="en-US" w:eastAsia="zh-CN"/>
                                  </w:rPr>
                                  <w:t>暂存危废间，定期交由有资质单</w:t>
                                </w:r>
                                <w:r>
                                  <w:rPr>
                                    <w:rFonts w:eastAsia="宋体" w:hint="eastAsia"/>
                                    <w:sz w:val="21"/>
                                    <w:szCs w:val="21"/>
                                    <w:lang w:val="en-US" w:eastAsia="zh-CN"/>
                                  </w:rPr>
                                  <w:t>位处理</w:t>
                                </w:r>
                              </w:p>
                            </w:txbxContent>
                          </v:textbox>
                          <v:stroke color="#000000"/>
                        </v:rect>
                        <v:rect type="#_x0000_t1" id="_s250" o:spid="_x0000_s250" style="position:absolute;left:6538;top:7565;width:1035;height:422;mso-wrap-style:square;" filled="f" stroked="f" strokeweight="0.5pt">
                          <v:textbox id="905"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0.004</w:t>
                                </w:r>
                              </w:p>
                            </w:txbxContent>
                          </v:textbox>
                          <v:stroke/>
                        </v:rect>
                      </v:group>
                    </v:group>
                  </w:pict>
                </mc:Fallback>
              </mc:AlternateContent>
            </w:r>
          </w:p>
          <w:p>
            <w:pPr>
              <w:spacing w:line="240" w:lineRule="auto"/>
              <w:jc w:val="center"/>
              <w:rPr>
                <w:b/>
                <w:bCs/>
                <w:color w:val="auto"/>
              </w:rPr>
            </w:pPr>
          </w:p>
          <w:p>
            <w:pPr>
              <w:pStyle w:val="15"/>
              <w:rPr>
                <w:b/>
                <w:bCs/>
                <w:color w:val="auto"/>
              </w:rPr>
            </w:pPr>
          </w:p>
          <w:p>
            <w:pPr>
              <w:ind w:left="0" w:firstLineChars="0" w:firstLine="0"/>
            </w:pPr>
          </w:p>
          <w:p>
            <w:pPr>
              <w:spacing w:line="240" w:lineRule="auto"/>
              <w:jc w:val="center"/>
              <w:rPr>
                <w:b/>
                <w:bCs/>
                <w:color w:val="auto"/>
              </w:rPr>
            </w:pPr>
            <w:r>
              <w:rPr>
                <w:b/>
                <w:bCs/>
                <w:color w:val="auto"/>
              </w:rPr>
              <w:t>图2-</w:t>
            </w:r>
            <w:r>
              <w:rPr>
                <w:rFonts w:hint="eastAsia"/>
                <w:b/>
                <w:bCs/>
                <w:color w:val="auto"/>
                <w:lang w:val="en-US" w:eastAsia="zh-CN"/>
              </w:rPr>
              <w:t>3</w:t>
            </w:r>
            <w:r>
              <w:rPr>
                <w:b/>
                <w:bCs/>
                <w:color w:val="auto"/>
              </w:rPr>
              <w:t xml:space="preserve">  </w:t>
            </w:r>
            <w:r>
              <w:rPr>
                <w:rFonts w:hint="eastAsia"/>
                <w:b/>
                <w:bCs/>
                <w:color w:val="auto"/>
                <w:lang w:val="en-US" w:eastAsia="zh-CN"/>
              </w:rPr>
              <w:t>本项目完成后全厂</w:t>
            </w:r>
            <w:r>
              <w:rPr>
                <w:b/>
                <w:bCs/>
                <w:color w:val="auto"/>
              </w:rPr>
              <w:t>用水平衡图（</w:t>
            </w:r>
            <w:r>
              <w:rPr>
                <w:rFonts w:hint="eastAsia"/>
                <w:b/>
                <w:bCs/>
                <w:color w:val="auto"/>
              </w:rPr>
              <w:t>m³</w:t>
            </w:r>
            <w:r>
              <w:rPr>
                <w:b/>
                <w:bCs/>
                <w:color w:val="auto"/>
              </w:rPr>
              <w:t>/d）</w:t>
            </w:r>
          </w:p>
          <w:p>
            <w:pPr>
              <w:rPr>
                <w:color w:val="auto"/>
              </w:rPr>
            </w:pPr>
            <w:r>
              <w:rPr>
                <w:color w:val="auto"/>
              </w:rPr>
              <w:t>（</w:t>
            </w:r>
            <w:r>
              <w:rPr>
                <w:rFonts w:hint="eastAsia"/>
                <w:color w:val="auto"/>
              </w:rPr>
              <w:t>2</w:t>
            </w:r>
            <w:r>
              <w:rPr>
                <w:color w:val="auto"/>
              </w:rPr>
              <w:t>）供电：</w:t>
            </w:r>
            <w:r>
              <w:rPr>
                <w:rFonts w:hint="eastAsia"/>
                <w:color w:val="auto"/>
                <w:lang w:val="en-US" w:eastAsia="zh-CN"/>
              </w:rPr>
              <w:t>全厂</w:t>
            </w:r>
            <w:r>
              <w:rPr>
                <w:color w:val="auto"/>
              </w:rPr>
              <w:t>用电</w:t>
            </w:r>
            <w:r>
              <w:rPr>
                <w:rFonts w:hint="eastAsia"/>
                <w:color w:val="auto"/>
                <w:lang w:val="en-US" w:eastAsia="zh-CN"/>
              </w:rPr>
              <w:t>由园区供给</w:t>
            </w:r>
            <w:r>
              <w:rPr>
                <w:color w:val="auto"/>
              </w:rPr>
              <w:t>，</w:t>
            </w:r>
            <w:r>
              <w:rPr>
                <w:rFonts w:hint="eastAsia"/>
                <w:color w:val="auto"/>
                <w:lang w:val="en-US" w:eastAsia="zh-CN"/>
              </w:rPr>
              <w:t>现有工程</w:t>
            </w:r>
            <w:r>
              <w:rPr>
                <w:color w:val="auto"/>
              </w:rPr>
              <w:t>年用电量为</w:t>
            </w:r>
            <w:r>
              <w:rPr>
                <w:rFonts w:hint="eastAsia"/>
                <w:color w:val="auto"/>
                <w:lang w:val="en-US" w:eastAsia="zh-CN"/>
              </w:rPr>
              <w:t>72</w:t>
            </w:r>
            <w:r>
              <w:rPr>
                <w:color w:val="auto"/>
              </w:rPr>
              <w:t>万kW·h/a，</w:t>
            </w:r>
            <w:r>
              <w:rPr>
                <w:rFonts w:hint="eastAsia"/>
                <w:color w:val="auto"/>
                <w:lang w:val="en-US" w:eastAsia="zh-CN"/>
                <w:highlight w:val="none"/>
              </w:rPr>
              <w:t>本</w:t>
            </w:r>
            <w:r>
              <w:rPr>
                <w:color w:val="auto"/>
                <w:lang w:val="en-US" w:eastAsia="zh-CN"/>
                <w:highlight w:val="none"/>
              </w:rPr>
              <w:t>项目年用电量</w:t>
            </w:r>
            <w:r>
              <w:rPr>
                <w:rFonts w:hint="eastAsia"/>
                <w:color w:val="auto"/>
                <w:lang w:val="en-US" w:eastAsia="zh-CN"/>
                <w:highlight w:val="none"/>
              </w:rPr>
              <w:t>3</w:t>
            </w:r>
            <w:r>
              <w:rPr>
                <w:color w:val="auto"/>
                <w:lang w:val="en-US" w:eastAsia="zh-CN"/>
                <w:highlight w:val="none"/>
              </w:rPr>
              <w:t>万kW·h/a</w:t>
            </w:r>
            <w:r>
              <w:rPr>
                <w:rFonts w:hint="eastAsia"/>
                <w:color w:val="auto"/>
                <w:lang w:val="en-US" w:eastAsia="zh-CN"/>
                <w:highlight w:val="none"/>
              </w:rPr>
              <w:t>，本</w:t>
            </w:r>
            <w:r>
              <w:rPr>
                <w:color w:val="auto"/>
                <w:lang w:val="en-US" w:eastAsia="zh-CN"/>
                <w:highlight w:val="none"/>
              </w:rPr>
              <w:t>项目</w:t>
            </w:r>
            <w:r>
              <w:rPr>
                <w:rFonts w:hint="eastAsia"/>
                <w:color w:val="auto"/>
                <w:lang w:val="en-US" w:eastAsia="zh-CN"/>
                <w:highlight w:val="none"/>
              </w:rPr>
              <w:t>完成后全厂</w:t>
            </w:r>
            <w:r>
              <w:rPr>
                <w:color w:val="auto"/>
                <w:lang w:val="en-US" w:eastAsia="zh-CN"/>
                <w:highlight w:val="none"/>
              </w:rPr>
              <w:t>用电量</w:t>
            </w:r>
            <w:r>
              <w:rPr>
                <w:rFonts w:hint="eastAsia"/>
                <w:color w:val="auto"/>
                <w:lang w:val="en-US" w:eastAsia="zh-CN"/>
                <w:highlight w:val="none"/>
              </w:rPr>
              <w:t>75</w:t>
            </w:r>
            <w:r>
              <w:rPr>
                <w:color w:val="auto"/>
                <w:lang w:val="en-US" w:eastAsia="zh-CN"/>
                <w:highlight w:val="none"/>
              </w:rPr>
              <w:t>万kW·h/a</w:t>
            </w:r>
            <w:r>
              <w:rPr>
                <w:rFonts w:hint="eastAsia"/>
                <w:color w:val="auto"/>
                <w:lang w:val="en-US" w:eastAsia="zh-CN"/>
                <w:highlight w:val="none"/>
              </w:rPr>
              <w:t>，</w:t>
            </w:r>
            <w:r>
              <w:rPr>
                <w:color w:val="auto"/>
              </w:rPr>
              <w:t>用电能够满足生产和生活需求。</w:t>
            </w:r>
          </w:p>
          <w:p>
            <w:pPr>
              <w:rPr>
                <w:rFonts w:hint="eastAsia"/>
                <w:color w:val="auto"/>
              </w:rPr>
            </w:pPr>
            <w:r>
              <w:rPr>
                <w:color w:val="auto"/>
              </w:rPr>
              <w:t>（</w:t>
            </w:r>
            <w:r>
              <w:rPr>
                <w:rFonts w:hint="eastAsia"/>
                <w:color w:val="auto"/>
              </w:rPr>
              <w:t>3</w:t>
            </w:r>
            <w:r>
              <w:rPr>
                <w:color w:val="auto"/>
              </w:rPr>
              <w:t>）供热</w:t>
            </w:r>
            <w:r>
              <w:rPr>
                <w:rFonts w:hint="eastAsia"/>
                <w:color w:val="auto"/>
              </w:rPr>
              <w:t>：</w:t>
            </w:r>
          </w:p>
          <w:p>
            <w:pPr>
              <w:rPr>
                <w:rFonts w:eastAsia="宋体"/>
                <w:color w:val="auto"/>
                <w:lang w:val="en-US" w:eastAsia="zh-CN"/>
              </w:rPr>
            </w:pPr>
            <w:r>
              <w:rPr>
                <w:rFonts w:hint="eastAsia"/>
                <w:color w:val="auto"/>
                <w:lang w:val="en-US" w:eastAsia="zh-CN"/>
              </w:rPr>
              <w:t>本项目用热由天然气热风炉供热，冬季办公室采用空调取暖。</w:t>
            </w:r>
          </w:p>
          <w:p>
            <w:pPr>
              <w:rPr>
                <w:rFonts w:eastAsia="宋体"/>
                <w:color w:val="auto"/>
                <w:lang w:val="en-US"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lang w:val="en-US" w:eastAsia="zh-CN"/>
              </w:rPr>
              <w:t>供气：</w:t>
            </w:r>
          </w:p>
          <w:p>
            <w:pPr>
              <w:rPr>
                <w:rFonts w:hint="eastAsia"/>
                <w:color w:val="auto"/>
                <w:lang w:val="en-US" w:eastAsia="zh-CN"/>
              </w:rPr>
            </w:pPr>
            <w:r>
              <w:rPr>
                <w:rFonts w:hint="eastAsia"/>
                <w:color w:val="auto"/>
                <w:lang w:val="en-US" w:eastAsia="zh-CN"/>
              </w:rPr>
              <w:t>本项目不新增天然气用量，全厂天然气由石家庄新奥中泓天然气有限公司提供，天然气用量为30万m</w:t>
            </w:r>
            <w:r>
              <w:rPr>
                <w:rFonts w:hint="eastAsia"/>
                <w:color w:val="auto"/>
                <w:vertAlign w:val="superscript"/>
                <w:lang w:val="en-US" w:eastAsia="zh-CN"/>
              </w:rPr>
              <w:t>3</w:t>
            </w:r>
            <w:r>
              <w:rPr>
                <w:rFonts w:hint="eastAsia"/>
                <w:color w:val="auto"/>
                <w:lang w:val="en-US" w:eastAsia="zh-CN"/>
              </w:rPr>
              <w:t>/a。天然气成分表见表2-9。</w:t>
            </w:r>
          </w:p>
          <w:p>
            <w:pPr>
              <w:jc w:val="center"/>
              <w:rPr>
                <w:rFonts w:hint="eastAsia"/>
                <w:b/>
                <w:bCs/>
                <w:color w:val="auto"/>
                <w:lang w:val="en-US" w:eastAsia="zh-CN"/>
              </w:rPr>
            </w:pPr>
            <w:r>
              <w:rPr>
                <w:b/>
                <w:bCs/>
                <w:color w:val="auto"/>
                <w:highlight w:val="none"/>
              </w:rPr>
              <w:t>表2-</w:t>
            </w:r>
            <w:r>
              <w:rPr>
                <w:rFonts w:hint="eastAsia"/>
                <w:b/>
                <w:bCs/>
                <w:color w:val="auto"/>
                <w:lang w:val="en-US" w:eastAsia="zh-CN"/>
                <w:highlight w:val="none"/>
              </w:rPr>
              <w:t>9</w:t>
            </w:r>
            <w:r>
              <w:rPr>
                <w:rFonts w:hint="eastAsia"/>
                <w:b/>
                <w:bCs/>
                <w:color w:val="auto"/>
                <w:highlight w:val="none"/>
              </w:rPr>
              <w:t xml:space="preserve">  </w:t>
            </w:r>
            <w:r>
              <w:rPr>
                <w:rFonts w:hint="eastAsia"/>
                <w:b/>
                <w:bCs/>
                <w:color w:val="auto"/>
                <w:lang w:val="en-US" w:eastAsia="zh-CN"/>
                <w:highlight w:val="none"/>
              </w:rPr>
              <w:t>天然气成分表</w:t>
            </w:r>
          </w:p>
          <w:tbl>
            <w:tblPr>
              <w:tblpPr w:leftFromText="180" w:rightFromText="180" w:vertAnchor="text" w:tblpXSpec="center" w:tblpY="1"/>
              <w:tblOverlap w:val="never"/>
              <w:tblW w:w="476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156"/>
              <w:gridCol w:w="2712"/>
              <w:gridCol w:w="2166"/>
              <w:gridCol w:w="1828"/>
            </w:tblGrid>
            <w:tr>
              <w:trPr>
                <w:trHeight w:val="23"/>
              </w:trPr>
              <w:tc>
                <w:tcPr>
                  <w:tcW w:w="735"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序号</w:t>
                  </w:r>
                </w:p>
              </w:tc>
              <w:tc>
                <w:tcPr>
                  <w:tcW w:w="1724" w:type="pct"/>
                  <w:tcBorders>
                    <w:tl2br w:val="nil"/>
                    <w:tr2bl w:val="nil"/>
                  </w:tcBorders>
                  <w:vAlign w:val="center"/>
                </w:tcPr>
                <w:p>
                  <w:pPr>
                    <w:pStyle w:val="39"/>
                    <w:rPr>
                      <w:rFonts w:eastAsia="宋体" w:hint="eastAsia"/>
                      <w:color w:val="auto"/>
                      <w:lang w:eastAsia="zh-CN"/>
                      <w:highlight w:val="none"/>
                    </w:rPr>
                  </w:pPr>
                  <w:r>
                    <w:rPr>
                      <w:rFonts w:hint="eastAsia"/>
                      <w:color w:val="auto"/>
                      <w:lang w:val="en-US" w:eastAsia="zh-CN"/>
                      <w:highlight w:val="none"/>
                    </w:rPr>
                    <w:t>名称</w:t>
                  </w:r>
                </w:p>
              </w:tc>
              <w:tc>
                <w:tcPr>
                  <w:tcW w:w="1377" w:type="pct"/>
                  <w:tcBorders>
                    <w:tl2br w:val="nil"/>
                    <w:tr2bl w:val="nil"/>
                  </w:tcBorders>
                  <w:vAlign w:val="center"/>
                </w:tcPr>
                <w:p>
                  <w:pPr>
                    <w:pStyle w:val="39"/>
                    <w:rPr>
                      <w:rFonts w:eastAsia="宋体" w:hint="eastAsia"/>
                      <w:color w:val="auto"/>
                      <w:lang w:eastAsia="zh-CN"/>
                      <w:highlight w:val="none"/>
                    </w:rPr>
                  </w:pPr>
                  <w:r>
                    <w:rPr>
                      <w:rFonts w:hint="eastAsia"/>
                      <w:color w:val="auto"/>
                      <w:lang w:val="en-US" w:eastAsia="zh-CN"/>
                      <w:highlight w:val="none"/>
                    </w:rPr>
                    <w:t>单位</w:t>
                  </w:r>
                </w:p>
              </w:tc>
              <w:tc>
                <w:tcPr>
                  <w:tcW w:w="1162" w:type="pct"/>
                  <w:tcBorders>
                    <w:tl2br w:val="nil"/>
                    <w:tr2bl w:val="nil"/>
                  </w:tcBorders>
                  <w:vAlign w:val="center"/>
                </w:tcPr>
                <w:p>
                  <w:pPr>
                    <w:pStyle w:val="39"/>
                    <w:rPr>
                      <w:rFonts w:eastAsia="宋体" w:hint="eastAsia"/>
                      <w:color w:val="auto"/>
                      <w:lang w:eastAsia="zh-CN"/>
                      <w:highlight w:val="none"/>
                    </w:rPr>
                  </w:pPr>
                  <w:r>
                    <w:rPr>
                      <w:rFonts w:hint="eastAsia"/>
                      <w:color w:val="auto"/>
                      <w:lang w:val="en-US" w:eastAsia="zh-CN"/>
                      <w:highlight w:val="none"/>
                    </w:rPr>
                    <w:t>数值</w:t>
                  </w:r>
                </w:p>
              </w:tc>
            </w:tr>
            <w:tr>
              <w:trPr>
                <w:trHeight w:val="23"/>
              </w:trPr>
              <w:tc>
                <w:tcPr>
                  <w:tcW w:w="735"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1</w:t>
                  </w:r>
                </w:p>
              </w:tc>
              <w:tc>
                <w:tcPr>
                  <w:tcW w:w="1724"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甲烷（C1）</w:t>
                  </w:r>
                </w:p>
              </w:tc>
              <w:tc>
                <w:tcPr>
                  <w:tcW w:w="1377" w:type="pct"/>
                  <w:tcBorders>
                    <w:tl2br w:val="nil"/>
                    <w:tr2bl w:val="nil"/>
                  </w:tcBorders>
                  <w:vAlign w:val="center"/>
                </w:tcPr>
                <w:p>
                  <w:pPr>
                    <w:pStyle w:val="39"/>
                    <w:ind w:firstLine="0"/>
                    <w:rPr>
                      <w:rFonts w:eastAsia="宋体"/>
                      <w:color w:val="auto"/>
                      <w:lang w:val="en-US" w:eastAsia="zh-CN"/>
                      <w:highlight w:val="none"/>
                    </w:rPr>
                  </w:pPr>
                  <w:r>
                    <w:rPr>
                      <w:rFonts w:eastAsia="宋体" w:hint="eastAsia"/>
                      <w:color w:val="auto"/>
                      <w:lang w:val="en-US" w:eastAsia="zh-CN"/>
                      <w:highlight w:val="none"/>
                    </w:rPr>
                    <w:t>%</w:t>
                  </w:r>
                </w:p>
              </w:tc>
              <w:tc>
                <w:tcPr>
                  <w:tcW w:w="1162"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92.6055</w:t>
                  </w:r>
                </w:p>
              </w:tc>
            </w:tr>
            <w:tr>
              <w:trPr>
                <w:trHeight w:val="23"/>
              </w:trPr>
              <w:tc>
                <w:tcPr>
                  <w:tcW w:w="735"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2</w:t>
                  </w:r>
                </w:p>
              </w:tc>
              <w:tc>
                <w:tcPr>
                  <w:tcW w:w="1724"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乙烷（C2）</w:t>
                  </w:r>
                </w:p>
              </w:tc>
              <w:tc>
                <w:tcPr>
                  <w:tcW w:w="1377" w:type="pct"/>
                  <w:tcBorders>
                    <w:tl2br w:val="nil"/>
                    <w:tr2bl w:val="nil"/>
                  </w:tcBorders>
                  <w:vAlign w:val="center"/>
                </w:tcPr>
                <w:p>
                  <w:pPr>
                    <w:pStyle w:val="39"/>
                    <w:ind w:firstLine="0"/>
                    <w:rPr>
                      <w:rFonts w:eastAsia="宋体"/>
                      <w:color w:val="auto"/>
                      <w:lang w:val="en-US" w:eastAsia="zh-CN"/>
                      <w:highlight w:val="none"/>
                    </w:rPr>
                  </w:pPr>
                  <w:r>
                    <w:rPr>
                      <w:rFonts w:eastAsia="宋体" w:hint="eastAsia"/>
                      <w:color w:val="auto"/>
                      <w:lang w:val="en-US" w:eastAsia="zh-CN"/>
                      <w:highlight w:val="none"/>
                    </w:rPr>
                    <w:t>%</w:t>
                  </w:r>
                </w:p>
              </w:tc>
              <w:tc>
                <w:tcPr>
                  <w:tcW w:w="1162"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4.1127</w:t>
                  </w:r>
                </w:p>
              </w:tc>
            </w:tr>
            <w:tr>
              <w:trPr>
                <w:trHeight w:val="23"/>
              </w:trPr>
              <w:tc>
                <w:tcPr>
                  <w:tcW w:w="735"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3</w:t>
                  </w:r>
                </w:p>
              </w:tc>
              <w:tc>
                <w:tcPr>
                  <w:tcW w:w="1724"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丙烷（C3）</w:t>
                  </w:r>
                </w:p>
              </w:tc>
              <w:tc>
                <w:tcPr>
                  <w:tcW w:w="1377" w:type="pct"/>
                  <w:tcBorders>
                    <w:tl2br w:val="nil"/>
                    <w:tr2bl w:val="nil"/>
                  </w:tcBorders>
                  <w:vAlign w:val="center"/>
                </w:tcPr>
                <w:p>
                  <w:pPr>
                    <w:pStyle w:val="39"/>
                    <w:ind w:firstLine="0"/>
                    <w:rPr>
                      <w:rFonts w:eastAsia="宋体"/>
                      <w:color w:val="auto"/>
                      <w:lang w:val="en-US" w:eastAsia="zh-CN"/>
                      <w:highlight w:val="none"/>
                    </w:rPr>
                  </w:pPr>
                  <w:r>
                    <w:rPr>
                      <w:rFonts w:eastAsia="宋体" w:hint="eastAsia"/>
                      <w:color w:val="auto"/>
                      <w:lang w:val="en-US" w:eastAsia="zh-CN"/>
                      <w:highlight w:val="none"/>
                    </w:rPr>
                    <w:t>%</w:t>
                  </w:r>
                </w:p>
              </w:tc>
              <w:tc>
                <w:tcPr>
                  <w:tcW w:w="1162"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0.7504</w:t>
                  </w:r>
                </w:p>
              </w:tc>
            </w:tr>
            <w:tr>
              <w:trPr>
                <w:trHeight w:val="23"/>
              </w:trPr>
              <w:tc>
                <w:tcPr>
                  <w:tcW w:w="735"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4</w:t>
                  </w:r>
                </w:p>
              </w:tc>
              <w:tc>
                <w:tcPr>
                  <w:tcW w:w="1724"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异丁烷（iC4）</w:t>
                  </w:r>
                </w:p>
              </w:tc>
              <w:tc>
                <w:tcPr>
                  <w:tcW w:w="1377" w:type="pct"/>
                  <w:tcBorders>
                    <w:tl2br w:val="nil"/>
                    <w:tr2bl w:val="nil"/>
                  </w:tcBorders>
                  <w:vAlign w:val="center"/>
                </w:tcPr>
                <w:p>
                  <w:pPr>
                    <w:pStyle w:val="39"/>
                    <w:ind w:firstLine="0"/>
                    <w:rPr>
                      <w:rFonts w:eastAsia="宋体"/>
                      <w:color w:val="auto"/>
                      <w:lang w:val="en-US" w:eastAsia="zh-CN"/>
                      <w:highlight w:val="none"/>
                    </w:rPr>
                  </w:pPr>
                  <w:r>
                    <w:rPr>
                      <w:rFonts w:eastAsia="宋体" w:hint="eastAsia"/>
                      <w:color w:val="auto"/>
                      <w:lang w:val="en-US" w:eastAsia="zh-CN"/>
                      <w:highlight w:val="none"/>
                    </w:rPr>
                    <w:t>%</w:t>
                  </w:r>
                </w:p>
              </w:tc>
              <w:tc>
                <w:tcPr>
                  <w:tcW w:w="1162"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0.1303</w:t>
                  </w:r>
                </w:p>
              </w:tc>
            </w:tr>
            <w:tr>
              <w:trPr>
                <w:trHeight w:val="23"/>
              </w:trPr>
              <w:tc>
                <w:tcPr>
                  <w:tcW w:w="735"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5</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正丁烷（nC4）</w:t>
                  </w:r>
                </w:p>
              </w:tc>
              <w:tc>
                <w:tcPr>
                  <w:tcW w:w="1377"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0.1347</w:t>
                  </w:r>
                </w:p>
              </w:tc>
            </w:tr>
            <w:tr>
              <w:trPr>
                <w:trHeight w:val="23"/>
              </w:trPr>
              <w:tc>
                <w:tcPr>
                  <w:tcW w:w="735" w:type="pct"/>
                  <w:tcBorders>
                    <w:tl2br w:val="nil"/>
                    <w:tr2bl w:val="nil"/>
                  </w:tcBorders>
                  <w:vAlign w:val="center"/>
                </w:tcPr>
                <w:p>
                  <w:pPr>
                    <w:pStyle w:val="39"/>
                    <w:rPr>
                      <w:rFonts w:eastAsia="宋体"/>
                      <w:color w:val="auto"/>
                      <w:lang w:val="en-US" w:eastAsia="zh-CN"/>
                      <w:highlight w:val="none"/>
                    </w:rPr>
                  </w:pPr>
                  <w:r>
                    <w:rPr>
                      <w:rFonts w:eastAsia="宋体" w:hint="eastAsia"/>
                      <w:color w:val="auto"/>
                      <w:lang w:val="en-US" w:eastAsia="zh-CN"/>
                      <w:highlight w:val="none"/>
                    </w:rPr>
                    <w:t>6</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新戊烷</w:t>
                  </w:r>
                </w:p>
              </w:tc>
              <w:tc>
                <w:tcPr>
                  <w:tcW w:w="1377" w:type="pct"/>
                  <w:tcBorders>
                    <w:tl2br w:val="nil"/>
                    <w:tr2bl w:val="nil"/>
                  </w:tcBorders>
                  <w:vAlign w:val="center"/>
                </w:tcPr>
                <w:p>
                  <w:pPr>
                    <w:pStyle w:val="39"/>
                    <w:ind w:firstLine="0"/>
                    <w:rPr>
                      <w:color w:val="auto"/>
                      <w:lang w:val="en-US" w:eastAsia="zh-CN"/>
                      <w:highlight w:val="none"/>
                    </w:rPr>
                  </w:pPr>
                  <w:r>
                    <w:rPr>
                      <w:color w:val="auto"/>
                      <w:lang w:val="en-US" w:eastAsia="zh-CN"/>
                      <w:highlight w:val="none"/>
                    </w:rPr>
                    <w: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7</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异戊烷</w:t>
                  </w:r>
                </w:p>
              </w:tc>
              <w:tc>
                <w:tcPr>
                  <w:tcW w:w="1377" w:type="pct"/>
                  <w:tcBorders>
                    <w:tl2br w:val="nil"/>
                    <w:tr2bl w:val="nil"/>
                  </w:tcBorders>
                  <w:vAlign w:val="center"/>
                </w:tcPr>
                <w:p>
                  <w:pPr>
                    <w:pStyle w:val="39"/>
                    <w:ind w:firstLine="0"/>
                    <w:rPr>
                      <w:color w:val="auto"/>
                      <w:lang w:val="en-US" w:eastAsia="zh-CN"/>
                      <w:highlight w:val="none"/>
                    </w:rPr>
                  </w:pPr>
                  <w:r>
                    <w:rPr>
                      <w:color w:val="auto"/>
                      <w:lang w:val="en-US" w:eastAsia="zh-CN"/>
                      <w:highlight w:val="none"/>
                    </w:rPr>
                    <w: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0.0580</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8</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正戊烷</w:t>
                  </w:r>
                </w:p>
              </w:tc>
              <w:tc>
                <w:tcPr>
                  <w:tcW w:w="1377" w:type="pct"/>
                  <w:tcBorders>
                    <w:tl2br w:val="nil"/>
                    <w:tr2bl w:val="nil"/>
                  </w:tcBorders>
                  <w:vAlign w:val="center"/>
                </w:tcPr>
                <w:p>
                  <w:pPr>
                    <w:pStyle w:val="39"/>
                    <w:ind w:firstLine="0"/>
                    <w:rPr>
                      <w:color w:val="auto"/>
                      <w:lang w:val="en-US" w:eastAsia="zh-CN"/>
                      <w:highlight w:val="none"/>
                    </w:rPr>
                  </w:pPr>
                  <w:r>
                    <w:rPr>
                      <w:color w:val="auto"/>
                      <w:lang w:val="en-US" w:eastAsia="zh-CN"/>
                      <w:highlight w:val="none"/>
                    </w:rPr>
                    <w: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0.0269</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9</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C6+</w:t>
                  </w:r>
                </w:p>
              </w:tc>
              <w:tc>
                <w:tcPr>
                  <w:tcW w:w="1377" w:type="pct"/>
                  <w:tcBorders>
                    <w:tl2br w:val="nil"/>
                    <w:tr2bl w:val="nil"/>
                  </w:tcBorders>
                  <w:vAlign w:val="center"/>
                </w:tcPr>
                <w:p>
                  <w:pPr>
                    <w:pStyle w:val="39"/>
                    <w:ind w:firstLine="0"/>
                    <w:rPr>
                      <w:color w:val="auto"/>
                      <w:lang w:val="en-US" w:eastAsia="zh-CN"/>
                      <w:highlight w:val="none"/>
                    </w:rPr>
                  </w:pPr>
                  <w:r>
                    <w:rPr>
                      <w:color w:val="auto"/>
                      <w:lang w:val="en-US" w:eastAsia="zh-CN"/>
                      <w:highlight w:val="none"/>
                    </w:rPr>
                    <w: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0.0863</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10</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氮气</w:t>
                  </w:r>
                </w:p>
              </w:tc>
              <w:tc>
                <w:tcPr>
                  <w:tcW w:w="1377" w:type="pct"/>
                  <w:tcBorders>
                    <w:tl2br w:val="nil"/>
                    <w:tr2bl w:val="nil"/>
                  </w:tcBorders>
                  <w:vAlign w:val="center"/>
                </w:tcPr>
                <w:p>
                  <w:pPr>
                    <w:pStyle w:val="39"/>
                    <w:ind w:firstLine="0"/>
                    <w:rPr>
                      <w:color w:val="auto"/>
                      <w:lang w:val="en-US" w:eastAsia="zh-CN"/>
                      <w:highlight w:val="none"/>
                    </w:rPr>
                  </w:pPr>
                  <w:r>
                    <w:rPr>
                      <w:color w:val="auto"/>
                      <w:lang w:val="en-US" w:eastAsia="zh-CN"/>
                      <w:highlight w:val="none"/>
                    </w:rPr>
                    <w: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0.7238</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11</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二氧化碳</w:t>
                  </w:r>
                </w:p>
              </w:tc>
              <w:tc>
                <w:tcPr>
                  <w:tcW w:w="1377" w:type="pct"/>
                  <w:tcBorders>
                    <w:tl2br w:val="nil"/>
                    <w:tr2bl w:val="nil"/>
                  </w:tcBorders>
                  <w:vAlign w:val="center"/>
                </w:tcPr>
                <w:p>
                  <w:pPr>
                    <w:pStyle w:val="39"/>
                    <w:ind w:firstLine="0"/>
                    <w:rPr>
                      <w:color w:val="auto"/>
                      <w:lang w:val="en-US" w:eastAsia="zh-CN"/>
                      <w:highlight w:val="none"/>
                    </w:rPr>
                  </w:pPr>
                  <w:r>
                    <w:rPr>
                      <w:color w:val="auto"/>
                      <w:lang w:val="en-US" w:eastAsia="zh-CN"/>
                      <w:highlight w:val="none"/>
                    </w:rPr>
                    <w: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1.3724</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12</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总硫</w:t>
                  </w:r>
                </w:p>
              </w:tc>
              <w:tc>
                <w:tcPr>
                  <w:tcW w:w="1377"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Mg/Nm</w:t>
                  </w:r>
                  <w:r>
                    <w:rPr>
                      <w:rFonts w:hint="eastAsia"/>
                      <w:color w:val="auto"/>
                      <w:vertAlign w:val="superscript"/>
                      <w:lang w:val="en-US" w:eastAsia="zh-CN"/>
                      <w:highlight w:val="none"/>
                    </w:rPr>
                    <w:t>3</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13</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硫化氢</w:t>
                  </w:r>
                </w:p>
              </w:tc>
              <w:tc>
                <w:tcPr>
                  <w:tcW w:w="1377" w:type="pct"/>
                  <w:tcBorders>
                    <w:tl2br w:val="nil"/>
                    <w:tr2bl w:val="nil"/>
                  </w:tcBorders>
                  <w:vAlign w:val="center"/>
                </w:tcPr>
                <w:p>
                  <w:pPr>
                    <w:pStyle w:val="39"/>
                    <w:ind w:firstLine="0"/>
                    <w:rPr>
                      <w:color w:val="auto"/>
                      <w:lang w:val="en-US" w:eastAsia="zh-CN"/>
                      <w:highlight w:val="none"/>
                    </w:rPr>
                  </w:pPr>
                  <w:r>
                    <w:rPr>
                      <w:color w:val="auto"/>
                      <w:lang w:val="en-US" w:eastAsia="zh-CN"/>
                      <w:highlight w:val="none"/>
                    </w:rPr>
                    <w:t>Mg/Nm</w:t>
                  </w:r>
                  <w:r>
                    <w:rPr>
                      <w:color w:val="auto"/>
                      <w:vertAlign w:val="superscript"/>
                      <w:lang w:val="en-US" w:eastAsia="zh-CN"/>
                      <w:highlight w:val="none"/>
                    </w:rPr>
                    <w:t>3</w:t>
                  </w:r>
                </w:p>
              </w:tc>
              <w:tc>
                <w:tcPr>
                  <w:tcW w:w="1162" w:type="pct"/>
                  <w:tcBorders>
                    <w:tl2br w:val="nil"/>
                    <w:tr2bl w:val="nil"/>
                  </w:tcBorders>
                  <w:vAlign w:val="center"/>
                </w:tcPr>
                <w:p>
                  <w:pPr>
                    <w:pStyle w:val="39"/>
                    <w:rPr>
                      <w:color w:val="auto"/>
                      <w:lang w:val="en-US" w:eastAsia="zh-CN"/>
                      <w:highlight w:val="none"/>
                    </w:rPr>
                  </w:pPr>
                  <w:r>
                    <w:rPr>
                      <w:color w:val="auto"/>
                      <w:lang w:val="en-US" w:eastAsia="zh-CN"/>
                      <w:highlight w:val="none"/>
                    </w:rPr>
                    <w:t>＜1</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14</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气化比</w:t>
                  </w:r>
                </w:p>
              </w:tc>
              <w:tc>
                <w:tcPr>
                  <w:tcW w:w="1377"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M</w:t>
                  </w:r>
                  <w:r>
                    <w:rPr>
                      <w:rFonts w:hint="eastAsia"/>
                      <w:color w:val="auto"/>
                      <w:vertAlign w:val="superscript"/>
                      <w:lang w:val="en-US" w:eastAsia="zh-CN"/>
                      <w:highlight w:val="none"/>
                    </w:rPr>
                    <w:t>3</w:t>
                  </w:r>
                  <w:r>
                    <w:rPr>
                      <w:rFonts w:hint="eastAsia"/>
                      <w:color w:val="auto"/>
                      <w:lang w:val="en-US" w:eastAsia="zh-CN"/>
                      <w:highlight w:val="none"/>
                    </w:rPr>
                    <w:t>/T</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1442.557</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15</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密度</w:t>
                  </w:r>
                </w:p>
              </w:tc>
              <w:tc>
                <w:tcPr>
                  <w:tcW w:w="1377"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T/M</w:t>
                  </w:r>
                  <w:r>
                    <w:rPr>
                      <w:rFonts w:hint="eastAsia"/>
                      <w:color w:val="auto"/>
                      <w:vertAlign w:val="superscript"/>
                      <w:lang w:val="en-US" w:eastAsia="zh-CN"/>
                      <w:highlight w:val="none"/>
                    </w:rPr>
                    <w:t>3</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0.432</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16</w:t>
                  </w:r>
                </w:p>
              </w:tc>
              <w:tc>
                <w:tcPr>
                  <w:tcW w:w="172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单位体积热值（低热量）</w:t>
                  </w:r>
                </w:p>
              </w:tc>
              <w:tc>
                <w:tcPr>
                  <w:tcW w:w="1377" w:type="pct"/>
                  <w:tcBorders>
                    <w:tl2br w:val="nil"/>
                    <w:tr2bl w:val="nil"/>
                  </w:tcBorders>
                  <w:vAlign w:val="center"/>
                </w:tcPr>
                <w:p>
                  <w:pPr>
                    <w:pStyle w:val="39"/>
                    <w:ind w:firstLine="0"/>
                    <w:rPr>
                      <w:color w:val="auto"/>
                      <w:lang w:val="en-US" w:eastAsia="zh-CN"/>
                      <w:highlight w:val="none"/>
                    </w:rPr>
                  </w:pPr>
                  <w:r>
                    <w:rPr>
                      <w:rFonts w:hint="eastAsia"/>
                      <w:color w:val="auto"/>
                      <w:lang w:val="en-US" w:eastAsia="zh-CN"/>
                      <w:highlight w:val="none"/>
                    </w:rPr>
                    <w:t>MJ/Nm</w:t>
                  </w:r>
                  <w:r>
                    <w:rPr>
                      <w:rFonts w:hint="eastAsia"/>
                      <w:color w:val="auto"/>
                      <w:vertAlign w:val="superscript"/>
                      <w:lang w:val="en-US" w:eastAsia="zh-CN"/>
                      <w:highlight w:val="none"/>
                    </w:rPr>
                    <w:t>3</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35.17</w:t>
                  </w:r>
                </w:p>
              </w:tc>
            </w:tr>
            <w:tr>
              <w:trPr>
                <w:trHeight w:val="23"/>
              </w:trPr>
              <w:tc>
                <w:tcPr>
                  <w:tcW w:w="735"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17</w:t>
                  </w:r>
                </w:p>
              </w:tc>
              <w:tc>
                <w:tcPr>
                  <w:tcW w:w="1724" w:type="pct"/>
                  <w:tcBorders>
                    <w:tl2br w:val="nil"/>
                    <w:tr2bl w:val="nil"/>
                  </w:tcBorders>
                  <w:vAlign w:val="center"/>
                </w:tcPr>
                <w:p>
                  <w:pPr>
                    <w:pStyle w:val="39"/>
                    <w:rPr>
                      <w:rFonts w:hint="eastAsia"/>
                      <w:color w:val="auto"/>
                      <w:lang w:val="en-US" w:eastAsia="zh-CN"/>
                      <w:highlight w:val="none"/>
                    </w:rPr>
                  </w:pPr>
                  <w:r>
                    <w:rPr>
                      <w:rFonts w:hint="eastAsia"/>
                      <w:color w:val="auto"/>
                      <w:lang w:val="en-US" w:eastAsia="zh-CN"/>
                      <w:highlight w:val="none"/>
                    </w:rPr>
                    <w:t>单位体积热值（高热量）</w:t>
                  </w:r>
                </w:p>
              </w:tc>
              <w:tc>
                <w:tcPr>
                  <w:tcW w:w="1377" w:type="pct"/>
                  <w:tcBorders>
                    <w:tl2br w:val="nil"/>
                    <w:tr2bl w:val="nil"/>
                  </w:tcBorders>
                  <w:vAlign w:val="center"/>
                </w:tcPr>
                <w:p>
                  <w:pPr>
                    <w:pStyle w:val="39"/>
                    <w:ind w:firstLine="0"/>
                    <w:rPr>
                      <w:color w:val="auto"/>
                      <w:lang w:val="en-US" w:eastAsia="zh-CN"/>
                      <w:highlight w:val="none"/>
                    </w:rPr>
                  </w:pPr>
                  <w:r>
                    <w:rPr>
                      <w:rFonts w:ascii="Times New Roman" w:eastAsia="宋体" w:hAnsi="Times New Roman" w:hint="eastAsia"/>
                      <w:color w:val="auto"/>
                      <w:lang w:val="en-US" w:eastAsia="zh-CN"/>
                      <w:highlight w:val="none"/>
                    </w:rPr>
                    <w:t>MJ/Nm</w:t>
                  </w:r>
                  <w:r>
                    <w:rPr>
                      <w:rFonts w:ascii="Times New Roman" w:eastAsia="宋体" w:hAnsi="Times New Roman" w:hint="eastAsia"/>
                      <w:color w:val="auto"/>
                      <w:vertAlign w:val="superscript"/>
                      <w:lang w:val="en-US" w:eastAsia="zh-CN"/>
                      <w:highlight w:val="none"/>
                    </w:rPr>
                    <w:t>3</w:t>
                  </w:r>
                </w:p>
              </w:tc>
              <w:tc>
                <w:tcPr>
                  <w:tcW w:w="1162"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38.224</w:t>
                  </w:r>
                </w:p>
              </w:tc>
            </w:tr>
          </w:tbl>
          <w:p>
            <w:pPr>
              <w:rPr>
                <w:color w:val="auto"/>
                <w:szCs w:val="32"/>
              </w:rPr>
            </w:pPr>
            <w:r>
              <w:rPr>
                <w:rFonts w:hint="eastAsia"/>
                <w:b/>
                <w:bCs/>
                <w:color w:val="auto"/>
                <w:szCs w:val="32"/>
              </w:rPr>
              <w:t>6、平面布置</w:t>
            </w:r>
          </w:p>
          <w:p>
            <w:pPr>
              <w:rPr>
                <w:color w:val="auto"/>
              </w:rPr>
            </w:pPr>
            <w:r>
              <w:rPr>
                <w:rFonts w:hint="eastAsia"/>
                <w:color w:val="auto"/>
              </w:rPr>
              <w:t>本项目</w:t>
            </w:r>
            <w:r>
              <w:rPr>
                <w:rFonts w:hint="eastAsia"/>
                <w:color w:val="auto"/>
                <w:lang w:val="en-US" w:eastAsia="zh-CN"/>
              </w:rPr>
              <w:t>利用</w:t>
            </w:r>
            <w:r>
              <w:rPr>
                <w:rFonts w:hint="eastAsia"/>
                <w:color w:val="auto"/>
              </w:rPr>
              <w:t>现有车间进行建设，</w:t>
            </w:r>
            <w:r>
              <w:rPr>
                <w:rFonts w:hint="eastAsia"/>
                <w:color w:val="auto"/>
                <w:lang w:val="en-US" w:eastAsia="zh-CN"/>
              </w:rPr>
              <w:t>厂区主要由办公楼、原料库、成品库、团粒型复混肥料生产车间、掺混型复混肥料生产车间、中微量元素混合车间、危废间组成。其中团粒型复混肥料生产车间、掺混型复混肥料生产车间位于厂区中部，本次技改项目位于团粒型复混肥料生产车间。办公楼位于厂区西北部，危废间位于中微量元素混合车间东侧，原料库位于厂区北侧，成品库位于厂区东侧。全厂布局合理，有利于生产。</w:t>
            </w:r>
            <w:r>
              <w:rPr>
                <w:rFonts w:hint="eastAsia"/>
                <w:color w:val="auto"/>
              </w:rPr>
              <w:t>厂区</w:t>
            </w:r>
            <w:r>
              <w:rPr>
                <w:color w:val="auto"/>
              </w:rPr>
              <w:t>平面布置</w:t>
            </w:r>
            <w:r>
              <w:rPr>
                <w:rFonts w:hint="eastAsia"/>
                <w:color w:val="auto"/>
              </w:rPr>
              <w:t>图</w:t>
            </w:r>
            <w:r>
              <w:rPr>
                <w:color w:val="auto"/>
              </w:rPr>
              <w:t>见附图</w:t>
            </w:r>
            <w:r>
              <w:rPr>
                <w:rFonts w:hint="eastAsia"/>
                <w:color w:val="auto"/>
                <w:lang w:val="en-US" w:eastAsia="zh-CN"/>
              </w:rPr>
              <w:t>4</w:t>
            </w:r>
            <w:r>
              <w:rPr>
                <w:color w:val="auto"/>
              </w:rPr>
              <w:t>。</w:t>
            </w:r>
          </w:p>
          <w:p>
            <w:pPr>
              <w:rPr>
                <w:rFonts w:eastAsia="宋体" w:hint="eastAsia"/>
                <w:b/>
                <w:bCs/>
                <w:color w:val="auto"/>
                <w:szCs w:val="32"/>
                <w:lang w:eastAsia="zh-CN"/>
              </w:rPr>
            </w:pPr>
            <w:r>
              <w:rPr>
                <w:rFonts w:hint="eastAsia"/>
                <w:b/>
                <w:bCs/>
                <w:color w:val="auto"/>
                <w:szCs w:val="32"/>
              </w:rPr>
              <w:t>7、劳动定员及工作制度</w:t>
            </w:r>
          </w:p>
          <w:p>
            <w:pPr>
              <w:rPr>
                <w:rFonts w:eastAsia="宋体"/>
                <w:color w:val="auto"/>
                <w:lang w:val="en-US" w:eastAsia="zh-CN"/>
              </w:rPr>
            </w:pPr>
            <w:r>
              <w:rPr>
                <w:rFonts w:hint="eastAsia"/>
                <w:color w:val="auto"/>
              </w:rPr>
              <w:t>本项目</w:t>
            </w:r>
            <w:r>
              <w:rPr>
                <w:rFonts w:hint="eastAsia"/>
                <w:color w:val="auto"/>
                <w:lang w:val="en-US" w:eastAsia="zh-CN"/>
              </w:rPr>
              <w:t>不新增</w:t>
            </w:r>
            <w:r>
              <w:rPr>
                <w:rFonts w:hint="eastAsia"/>
                <w:color w:val="auto"/>
              </w:rPr>
              <w:t>劳动定员</w:t>
            </w:r>
            <w:r>
              <w:rPr>
                <w:rFonts w:hint="eastAsia"/>
                <w:color w:val="auto"/>
                <w:lang w:eastAsia="zh-CN"/>
              </w:rPr>
              <w:t>，</w:t>
            </w:r>
            <w:r>
              <w:rPr>
                <w:rFonts w:hint="eastAsia"/>
                <w:color w:val="auto"/>
                <w:lang w:val="en-US" w:eastAsia="zh-CN"/>
              </w:rPr>
              <w:t>仍为60</w:t>
            </w:r>
            <w:r>
              <w:rPr>
                <w:rFonts w:hint="eastAsia"/>
                <w:color w:val="auto"/>
              </w:rPr>
              <w:t>人，实行</w:t>
            </w:r>
            <w:r>
              <w:rPr>
                <w:rFonts w:hint="eastAsia"/>
                <w:color w:val="auto"/>
                <w:lang w:val="en-US" w:eastAsia="zh-CN"/>
              </w:rPr>
              <w:t>2</w:t>
            </w:r>
            <w:r>
              <w:rPr>
                <w:rFonts w:hint="eastAsia"/>
                <w:color w:val="auto"/>
              </w:rPr>
              <w:t>班制，</w:t>
            </w:r>
            <w:r>
              <w:rPr>
                <w:rFonts w:hint="eastAsia"/>
                <w:color w:val="auto"/>
                <w:highlight w:val="none"/>
              </w:rPr>
              <w:t>每班8小时，</w:t>
            </w:r>
            <w:r>
              <w:rPr>
                <w:rFonts w:hint="eastAsia"/>
                <w:color w:val="auto"/>
              </w:rPr>
              <w:t>年工作</w:t>
            </w:r>
            <w:r>
              <w:rPr>
                <w:rFonts w:hint="eastAsia"/>
                <w:color w:val="auto"/>
                <w:lang w:val="en-US" w:eastAsia="zh-CN"/>
              </w:rPr>
              <w:t>300</w:t>
            </w:r>
            <w:r>
              <w:rPr>
                <w:rFonts w:hint="eastAsia"/>
                <w:color w:val="auto"/>
              </w:rPr>
              <w:t>天，全年生产时间</w:t>
            </w:r>
            <w:r>
              <w:rPr>
                <w:rFonts w:hint="eastAsia"/>
                <w:color w:val="auto"/>
                <w:lang w:val="en-US" w:eastAsia="zh-CN"/>
              </w:rPr>
              <w:t>4800</w:t>
            </w:r>
            <w:r>
              <w:rPr>
                <w:rFonts w:hint="eastAsia"/>
                <w:color w:val="auto"/>
              </w:rPr>
              <w:t>h</w:t>
            </w:r>
            <w:r>
              <w:rPr>
                <w:rFonts w:hint="eastAsia"/>
                <w:color w:val="auto"/>
                <w:lang w:eastAsia="zh-CN"/>
              </w:rPr>
              <w:t>，</w:t>
            </w:r>
            <w:r>
              <w:rPr>
                <w:rFonts w:hint="eastAsia"/>
                <w:color w:val="auto"/>
                <w:lang w:val="en-US" w:eastAsia="zh-CN"/>
              </w:rPr>
              <w:t>工作时间不变。</w:t>
            </w: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ind w:left="0" w:firstLineChars="0" w:firstLine="0"/>
              <w:rPr>
                <w:rFonts w:hint="eastAsia"/>
              </w:rPr>
            </w:pPr>
          </w:p>
          <w:p>
            <w:pPr>
              <w:ind w:left="0" w:firstLineChars="0" w:firstLine="0"/>
              <w:rPr>
                <w:rFonts w:hint="eastAsia"/>
              </w:rPr>
            </w:pPr>
          </w:p>
          <w:p>
            <w:pPr>
              <w:pStyle w:val="15"/>
              <w:rPr>
                <w:rFonts w:hint="eastAsia"/>
              </w:rPr>
            </w:pPr>
          </w:p>
          <w:p>
            <w:pPr>
              <w:pStyle w:val="4"/>
              <w:rPr>
                <w:rFonts w:hint="eastAsia"/>
              </w:rPr>
            </w:pPr>
          </w:p>
          <w:p>
            <w:pPr>
              <w:rPr>
                <w:rFonts w:hint="eastAsia"/>
              </w:rPr>
            </w:pPr>
          </w:p>
          <w:p>
            <w:pPr>
              <w:pStyle w:val="15"/>
              <w:rPr>
                <w:rFonts w:hint="eastAsia"/>
              </w:rPr>
            </w:pPr>
          </w:p>
          <w:p>
            <w:pPr>
              <w:pStyle w:val="4"/>
              <w:rPr>
                <w:rFonts w:hint="eastAsia"/>
              </w:rPr>
            </w:pPr>
          </w:p>
          <w:p>
            <w:pPr>
              <w:rPr>
                <w:rFonts w:hint="eastAsia"/>
              </w:rPr>
            </w:pPr>
          </w:p>
          <w:p>
            <w:pPr>
              <w:pStyle w:val="15"/>
              <w:rPr>
                <w:rFonts w:hint="eastAsia"/>
              </w:rPr>
            </w:pPr>
          </w:p>
          <w:p>
            <w:pPr>
              <w:pStyle w:val="4"/>
              <w:rPr>
                <w:rFonts w:hint="eastAsia"/>
              </w:rPr>
            </w:pPr>
          </w:p>
          <w:p>
            <w:pPr>
              <w:rPr>
                <w:rFonts w:hint="eastAsia"/>
              </w:rPr>
            </w:pPr>
          </w:p>
        </w:tc>
      </w:tr>
      <w:tr>
        <w:trPr>
          <w:trHeight w:val="90"/>
        </w:trPr>
        <w:tc>
          <w:tcPr>
            <w:tcW w:w="322" w:type="pct"/>
            <w:vAlign w:val="center"/>
          </w:tcPr>
          <w:p>
            <w:pPr>
              <w:adjustRightInd w:val="0"/>
              <w:snapToGrid w:val="0"/>
              <w:spacing w:line="240" w:lineRule="auto"/>
              <w:ind w:firstLineChars="0" w:firstLine="0"/>
              <w:jc w:val="center"/>
              <w:rPr>
                <w:color w:val="auto"/>
              </w:rPr>
            </w:pPr>
            <w:r>
              <w:rPr>
                <w:color w:val="auto"/>
              </w:rPr>
              <w:t>工艺流程和产排污环节</w:t>
            </w:r>
          </w:p>
        </w:tc>
        <w:tc>
          <w:tcPr>
            <w:tcW w:w="4677" w:type="pct"/>
            <w:tcBorders>
              <w:left w:val="single" w:sz="4" w:space="0" w:color="auto"/>
            </w:tcBorders>
          </w:tcPr>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工艺流程简述：</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本次技改</w:t>
            </w:r>
            <w:r>
              <w:rPr>
                <w:rFonts w:cs="Times New Roman" w:hint="eastAsia"/>
                <w:b/>
                <w:bCs/>
                <w:color w:val="auto"/>
                <w:sz w:val="24"/>
                <w:szCs w:val="24"/>
                <w:lang w:val="en-US" w:eastAsia="zh-CN"/>
                <w:highlight w:val="none"/>
              </w:rPr>
              <w:t>对</w:t>
            </w:r>
            <w:r>
              <w:rPr>
                <w:rFonts w:ascii="Times New Roman" w:eastAsia="宋体" w:cs="Times New Roman" w:hAnsi="Times New Roman" w:hint="eastAsia"/>
                <w:b/>
                <w:bCs/>
                <w:color w:val="auto"/>
                <w:sz w:val="24"/>
                <w:szCs w:val="24"/>
                <w:lang w:val="en-US" w:eastAsia="zh-CN"/>
                <w:highlight w:val="none"/>
              </w:rPr>
              <w:t>挤压造粒生产线</w:t>
            </w:r>
            <w:r>
              <w:rPr>
                <w:rFonts w:cs="Times New Roman" w:hint="eastAsia"/>
                <w:b/>
                <w:bCs/>
                <w:color w:val="auto"/>
                <w:sz w:val="24"/>
                <w:szCs w:val="24"/>
                <w:lang w:val="en-US" w:eastAsia="zh-CN"/>
                <w:highlight w:val="none"/>
              </w:rPr>
              <w:t>工艺进行</w:t>
            </w:r>
            <w:r>
              <w:rPr>
                <w:rFonts w:ascii="Times New Roman" w:eastAsia="宋体" w:cs="Times New Roman" w:hAnsi="Times New Roman" w:hint="eastAsia"/>
                <w:b/>
                <w:bCs/>
                <w:color w:val="auto"/>
                <w:sz w:val="24"/>
                <w:szCs w:val="24"/>
                <w:lang w:val="en-US" w:eastAsia="zh-CN"/>
                <w:highlight w:val="none"/>
              </w:rPr>
              <w:t>技改，</w:t>
            </w:r>
            <w:r>
              <w:rPr>
                <w:rFonts w:cs="Times New Roman" w:hint="eastAsia"/>
                <w:b/>
                <w:bCs/>
                <w:color w:val="auto"/>
                <w:sz w:val="24"/>
                <w:szCs w:val="24"/>
                <w:lang w:val="en-US" w:eastAsia="zh-CN"/>
                <w:highlight w:val="none"/>
              </w:rPr>
              <w:t>技改内容为对挤压造粒生产线增加整形（加湿）工序、喷脲工序、裹油工序、铺粉工序。</w:t>
            </w:r>
            <w:r>
              <w:rPr>
                <w:rFonts w:ascii="Times New Roman" w:eastAsia="宋体" w:cs="Times New Roman" w:hAnsi="Times New Roman" w:hint="eastAsia"/>
                <w:b/>
                <w:bCs/>
                <w:color w:val="auto"/>
                <w:sz w:val="24"/>
                <w:szCs w:val="24"/>
                <w:lang w:val="en-US" w:eastAsia="zh-CN"/>
                <w:highlight w:val="none"/>
              </w:rPr>
              <w:t>挤压造粒</w:t>
            </w:r>
            <w:r>
              <w:rPr>
                <w:rFonts w:cs="Times New Roman" w:hint="eastAsia"/>
                <w:b/>
                <w:bCs/>
                <w:color w:val="auto"/>
                <w:sz w:val="24"/>
                <w:szCs w:val="24"/>
                <w:lang w:val="en-US" w:eastAsia="zh-CN"/>
                <w:highlight w:val="none"/>
              </w:rPr>
              <w:t>生产线</w:t>
            </w:r>
            <w:r>
              <w:rPr>
                <w:rFonts w:ascii="Times New Roman" w:eastAsia="宋体" w:cs="Times New Roman" w:hAnsi="Times New Roman" w:hint="eastAsia"/>
                <w:b/>
                <w:bCs/>
                <w:color w:val="auto"/>
                <w:sz w:val="24"/>
                <w:szCs w:val="24"/>
                <w:lang w:val="en-US" w:eastAsia="zh-CN"/>
                <w:highlight w:val="none"/>
              </w:rPr>
              <w:t>完成后的颗粒状原料（硫酸脲颗粒状原料、脲甲醛颗粒状原料、普通颗粒状原料）进入后续复混肥生产线生产。本项目所有产品生产共享挤压造粒生产线，其中普通复混肥产品在挤压造粒生产线中不涉及</w:t>
            </w:r>
            <w:r>
              <w:rPr>
                <w:rFonts w:cs="Times New Roman" w:hint="eastAsia"/>
                <w:b/>
                <w:bCs/>
                <w:color w:val="auto"/>
                <w:sz w:val="24"/>
                <w:szCs w:val="24"/>
                <w:lang w:val="en-US" w:eastAsia="zh-CN"/>
                <w:highlight w:val="none"/>
              </w:rPr>
              <w:t>本次技改新增的</w:t>
            </w:r>
            <w:r>
              <w:rPr>
                <w:rFonts w:ascii="Times New Roman" w:eastAsia="宋体" w:cs="Times New Roman" w:hAnsi="Times New Roman" w:hint="eastAsia"/>
                <w:b/>
                <w:bCs/>
                <w:color w:val="auto"/>
                <w:sz w:val="24"/>
                <w:szCs w:val="24"/>
                <w:lang w:val="en-US" w:eastAsia="zh-CN"/>
                <w:highlight w:val="none"/>
              </w:rPr>
              <w:t>整形（加湿）工序、喷脲工序、裹油工序、铺粉工序，其余生产工艺流程均相同。</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color w:val="auto"/>
                <w:sz w:val="24"/>
                <w:szCs w:val="24"/>
                <w:lang w:val="en-US" w:eastAsia="zh-CN"/>
                <w:highlight w:val="none"/>
              </w:rPr>
            </w:pPr>
            <w:r>
              <w:rPr>
                <w:rFonts w:ascii="Times New Roman" w:eastAsia="宋体" w:cs="Times New Roman" w:hAnsi="Times New Roman"/>
                <w:color w:val="auto"/>
                <w:sz w:val="24"/>
                <w:szCs w:val="24"/>
                <w:lang w:val="en-US" w:eastAsia="zh-CN"/>
                <w:highlight w:val="none"/>
              </w:rPr>
              <w:t>挤压造粒生产线工艺流程</w:t>
            </w:r>
            <w:r>
              <w:rPr>
                <w:rFonts w:ascii="Times New Roman" w:eastAsia="宋体" w:cs="Times New Roman" w:hAnsi="Times New Roman" w:hint="eastAsia"/>
                <w:color w:val="auto"/>
                <w:sz w:val="24"/>
                <w:szCs w:val="24"/>
                <w:lang w:val="en-US" w:eastAsia="zh-CN"/>
                <w:highlight w:val="none"/>
              </w:rPr>
              <w:t>如下</w:t>
            </w:r>
            <w:r>
              <w:rPr>
                <w:rFonts w:ascii="Times New Roman" w:eastAsia="宋体" w:cs="Times New Roman" w:hAnsi="Times New Roman"/>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（1）原料抽样检测</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外购原料抽样送至厂区化验室检测主要元素及成份含量是否达到产品标准和生产要求。（本次技改新增辅料不涉及抽样检测）</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此工序会产生</w:t>
            </w:r>
            <w:r>
              <w:rPr>
                <w:rFonts w:cs="Times New Roman" w:hint="eastAsia"/>
                <w:color w:val="auto"/>
                <w:sz w:val="24"/>
                <w:szCs w:val="24"/>
                <w:lang w:val="en-US" w:eastAsia="zh-CN"/>
                <w:highlight w:val="none"/>
              </w:rPr>
              <w:t>化验室</w:t>
            </w:r>
            <w:r>
              <w:rPr>
                <w:rFonts w:ascii="Times New Roman" w:eastAsia="宋体" w:cs="Times New Roman" w:hAnsi="Times New Roman" w:hint="eastAsia"/>
                <w:color w:val="auto"/>
                <w:sz w:val="24"/>
                <w:szCs w:val="24"/>
                <w:lang w:val="en-US" w:eastAsia="zh-CN"/>
                <w:highlight w:val="none"/>
              </w:rPr>
              <w:t>废气G1，</w:t>
            </w:r>
            <w:r>
              <w:rPr>
                <w:rFonts w:cs="Times New Roman" w:hint="eastAsia"/>
                <w:color w:val="auto"/>
                <w:sz w:val="24"/>
                <w:szCs w:val="24"/>
                <w:lang w:val="en-US" w:eastAsia="zh-CN"/>
                <w:highlight w:val="none"/>
              </w:rPr>
              <w:t>化验室固废S。</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（2）原辅料准备阶段（投料、第一次破碎、混合搅拌、第二次破碎4道工序简称为“原辅料准备阶段”）</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人工将外购袋装原料拆袋倒入密闭喂料机中，密闭喂料机将外购的粉末状原料及备好的中微量元素投入投料装置不同的投料口（每种原料都有相应的投料口），原料由投料装置进入密闭的传送带装置传送至密闭式原料破碎机，破碎机对大颗粒的原辅料进行第一次破碎，破碎后的原辅料经密闭的提升机提升至密闭的传送带，经密闭的传送带传送至密闭式混合送料装置加水搅拌增加湿度，混合后的物料经传送带传送至密闭式破碎机进行第二次破碎，破碎后的物料经传送带转送至密闭式喂料机。</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此工序会产生</w:t>
            </w:r>
            <w:r>
              <w:rPr>
                <w:rFonts w:cs="Times New Roman" w:hint="eastAsia"/>
                <w:color w:val="auto"/>
                <w:sz w:val="24"/>
                <w:szCs w:val="24"/>
                <w:lang w:val="en-US" w:eastAsia="zh-CN"/>
                <w:highlight w:val="none"/>
              </w:rPr>
              <w:t>投料</w:t>
            </w:r>
            <w:r>
              <w:rPr>
                <w:rFonts w:ascii="Times New Roman" w:eastAsia="宋体" w:cs="Times New Roman" w:hAnsi="Times New Roman" w:hint="eastAsia"/>
                <w:color w:val="auto"/>
                <w:sz w:val="24"/>
                <w:szCs w:val="24"/>
                <w:lang w:val="en-US" w:eastAsia="zh-CN"/>
                <w:highlight w:val="none"/>
              </w:rPr>
              <w:t>废气G</w:t>
            </w:r>
            <w:r>
              <w:rPr>
                <w:rFonts w:cs="Times New Roman" w:hint="eastAsia"/>
                <w:color w:val="auto"/>
                <w:sz w:val="24"/>
                <w:szCs w:val="24"/>
                <w:lang w:val="en-US" w:eastAsia="zh-CN"/>
                <w:highlight w:val="none"/>
              </w:rPr>
              <w:t>2</w:t>
            </w:r>
            <w:r>
              <w:rPr>
                <w:rFonts w:ascii="Times New Roman" w:eastAsia="宋体" w:cs="Times New Roman" w:hAnsi="Times New Roman" w:hint="eastAsia"/>
                <w:color w:val="auto"/>
                <w:sz w:val="24"/>
                <w:szCs w:val="24"/>
                <w:lang w:val="en-US" w:eastAsia="zh-CN"/>
                <w:highlight w:val="none"/>
              </w:rPr>
              <w:t>，第一次破碎</w:t>
            </w:r>
            <w:r>
              <w:rPr>
                <w:rFonts w:cs="Times New Roman" w:hint="eastAsia"/>
                <w:color w:val="auto"/>
                <w:sz w:val="24"/>
                <w:szCs w:val="24"/>
                <w:lang w:val="en-US" w:eastAsia="zh-CN"/>
                <w:highlight w:val="none"/>
              </w:rPr>
              <w:t>废气G3，第二次破碎废气G4，</w:t>
            </w:r>
            <w:r>
              <w:rPr>
                <w:rFonts w:ascii="Times New Roman" w:eastAsia="宋体" w:cs="Times New Roman" w:hAnsi="Times New Roman" w:hint="eastAsia"/>
                <w:color w:val="auto"/>
                <w:sz w:val="24"/>
                <w:szCs w:val="24"/>
                <w:lang w:val="en-US" w:eastAsia="zh-CN"/>
                <w:highlight w:val="none"/>
              </w:rPr>
              <w:t>设备噪声N。</w:t>
            </w:r>
            <w:r>
              <w:rPr>
                <w:rFonts w:cs="Times New Roman" w:hint="eastAsia"/>
                <w:b/>
                <w:bCs/>
                <w:color w:val="auto"/>
                <w:sz w:val="24"/>
                <w:szCs w:val="24"/>
                <w:lang w:val="en-US" w:eastAsia="zh-CN"/>
                <w:highlight w:val="none"/>
              </w:rPr>
              <w:t>第二次筛分工序产生不合格品会回用于投料工序，技改增加辅料脲甲醛，投料工序废气、第一次破碎工序废气和第二次破碎废气会产生污染物甲醛。</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（3）</w:t>
            </w:r>
            <w:r>
              <w:rPr>
                <w:rFonts w:cs="Times New Roman" w:hint="eastAsia"/>
                <w:color w:val="auto"/>
                <w:sz w:val="24"/>
                <w:szCs w:val="24"/>
                <w:lang w:val="en-US" w:eastAsia="zh-CN"/>
                <w:highlight w:val="none"/>
              </w:rPr>
              <w:t>第二次混合搅拌、</w:t>
            </w:r>
            <w:r>
              <w:rPr>
                <w:rFonts w:ascii="Times New Roman" w:eastAsia="宋体" w:cs="Times New Roman" w:hAnsi="Times New Roman" w:hint="eastAsia"/>
                <w:color w:val="auto"/>
                <w:sz w:val="24"/>
                <w:szCs w:val="24"/>
                <w:lang w:val="en-US" w:eastAsia="zh-CN"/>
                <w:highlight w:val="none"/>
              </w:rPr>
              <w:t>挤压造粒及第一次筛分</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原辅料在密闭式喂料机中再一次进行搅拌混合，搅拌均匀后的物料经管路进入造粒机造粒，造粒机为物理挤压造粒，造粒机设备均整体密封。造粒机产生的颗粒状产品经密闭的传送带装置传送至密闭式筛分机，进行第一次筛分。合格的产品经斗式提升机送至密闭式颗粒整形机，不合格的产品经另外一条密闭的传送带传送至</w:t>
            </w:r>
            <w:r>
              <w:rPr>
                <w:rFonts w:cs="Times New Roman" w:hint="eastAsia"/>
                <w:color w:val="auto"/>
                <w:sz w:val="24"/>
                <w:szCs w:val="24"/>
                <w:lang w:val="en-US" w:eastAsia="zh-CN"/>
                <w:highlight w:val="none"/>
              </w:rPr>
              <w:t>投料工序</w:t>
            </w:r>
            <w:r>
              <w:rPr>
                <w:rFonts w:ascii="Times New Roman" w:eastAsia="宋体" w:cs="Times New Roman" w:hAnsi="Times New Roman" w:hint="eastAsia"/>
                <w:color w:val="auto"/>
                <w:sz w:val="24"/>
                <w:szCs w:val="24"/>
                <w:lang w:val="en-US" w:eastAsia="zh-CN"/>
                <w:highlight w:val="none"/>
              </w:rPr>
              <w:t>回用</w:t>
            </w:r>
            <w:r>
              <w:rPr>
                <w:rFonts w:cs="Times New Roman" w:hint="eastAsia"/>
                <w:color w:val="auto"/>
                <w:sz w:val="24"/>
                <w:szCs w:val="24"/>
                <w:lang w:val="en-US" w:eastAsia="zh-CN"/>
                <w:highlight w:val="none"/>
              </w:rPr>
              <w:t>于生产</w:t>
            </w:r>
            <w:r>
              <w:rPr>
                <w:rFonts w:ascii="Times New Roman" w:eastAsia="宋体" w:cs="Times New Roman" w:hAnsi="Times New Roman" w:hint="eastAsia"/>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ascii="Times New Roman" w:eastAsia="宋体" w:cs="Times New Roman" w:hAnsi="Times New Roman" w:hint="eastAsia"/>
                <w:b w:val="0"/>
                <w:bCs w:val="0"/>
                <w:color w:val="auto"/>
                <w:sz w:val="24"/>
                <w:szCs w:val="24"/>
                <w:lang w:val="en-US" w:eastAsia="zh-CN"/>
                <w:highlight w:val="none"/>
              </w:rPr>
              <w:t>此工序会产生</w:t>
            </w:r>
            <w:r>
              <w:rPr>
                <w:rFonts w:cs="Times New Roman" w:hint="eastAsia"/>
                <w:b w:val="0"/>
                <w:bCs w:val="0"/>
                <w:color w:val="auto"/>
                <w:sz w:val="24"/>
                <w:szCs w:val="24"/>
                <w:lang w:val="en-US" w:eastAsia="zh-CN"/>
                <w:highlight w:val="none"/>
              </w:rPr>
              <w:t>造粒</w:t>
            </w:r>
            <w:r>
              <w:rPr>
                <w:rFonts w:ascii="Times New Roman" w:eastAsia="宋体" w:cs="Times New Roman" w:hAnsi="Times New Roman" w:hint="eastAsia"/>
                <w:b w:val="0"/>
                <w:bCs w:val="0"/>
                <w:color w:val="auto"/>
                <w:sz w:val="24"/>
                <w:szCs w:val="24"/>
                <w:lang w:val="en-US" w:eastAsia="zh-CN"/>
                <w:highlight w:val="none"/>
              </w:rPr>
              <w:t>废气G</w:t>
            </w:r>
            <w:r>
              <w:rPr>
                <w:rFonts w:cs="Times New Roman" w:hint="eastAsia"/>
                <w:b w:val="0"/>
                <w:bCs w:val="0"/>
                <w:color w:val="auto"/>
                <w:sz w:val="24"/>
                <w:szCs w:val="24"/>
                <w:lang w:val="en-US" w:eastAsia="zh-CN"/>
                <w:highlight w:val="none"/>
              </w:rPr>
              <w:t>5</w:t>
            </w:r>
            <w:r>
              <w:rPr>
                <w:rFonts w:ascii="Times New Roman" w:eastAsia="宋体" w:cs="Times New Roman" w:hAnsi="Times New Roman" w:hint="eastAsia"/>
                <w:b w:val="0"/>
                <w:bCs w:val="0"/>
                <w:color w:val="auto"/>
                <w:sz w:val="24"/>
                <w:szCs w:val="24"/>
                <w:lang w:val="en-US" w:eastAsia="zh-CN"/>
                <w:highlight w:val="none"/>
              </w:rPr>
              <w:t>，</w:t>
            </w:r>
            <w:r>
              <w:rPr>
                <w:rFonts w:cs="Times New Roman" w:hint="eastAsia"/>
                <w:b w:val="0"/>
                <w:bCs w:val="0"/>
                <w:color w:val="auto"/>
                <w:sz w:val="24"/>
                <w:szCs w:val="24"/>
                <w:lang w:val="en-US" w:eastAsia="zh-CN"/>
                <w:highlight w:val="none"/>
              </w:rPr>
              <w:t>第一次筛分废气G6，</w:t>
            </w:r>
            <w:r>
              <w:rPr>
                <w:rFonts w:ascii="Times New Roman" w:eastAsia="宋体" w:cs="Times New Roman" w:hAnsi="Times New Roman" w:hint="eastAsia"/>
                <w:b w:val="0"/>
                <w:bCs w:val="0"/>
                <w:color w:val="auto"/>
                <w:sz w:val="24"/>
                <w:szCs w:val="24"/>
                <w:lang w:val="en-US" w:eastAsia="zh-CN"/>
                <w:highlight w:val="none"/>
              </w:rPr>
              <w:t>设备噪声N。</w:t>
            </w:r>
            <w:r>
              <w:rPr>
                <w:rFonts w:ascii="Times New Roman" w:eastAsia="宋体" w:cs="Times New Roman" w:hAnsi="Times New Roman" w:hint="eastAsia"/>
                <w:b/>
                <w:bCs/>
                <w:color w:val="auto"/>
                <w:sz w:val="24"/>
                <w:szCs w:val="24"/>
                <w:lang w:val="en-US" w:eastAsia="zh-CN"/>
                <w:highlight w:val="none"/>
              </w:rPr>
              <w:t>第二次筛分工序产生不合格品会回用于第一次破碎工序，技改增加辅料脲甲醛，</w:t>
            </w:r>
            <w:r>
              <w:rPr>
                <w:rFonts w:cs="Times New Roman" w:hint="eastAsia"/>
                <w:b/>
                <w:bCs/>
                <w:color w:val="auto"/>
                <w:sz w:val="24"/>
                <w:szCs w:val="24"/>
                <w:lang w:val="en-US" w:eastAsia="zh-CN"/>
                <w:highlight w:val="none"/>
              </w:rPr>
              <w:t>造粒</w:t>
            </w:r>
            <w:r>
              <w:rPr>
                <w:rFonts w:ascii="Times New Roman" w:eastAsia="宋体" w:cs="Times New Roman" w:hAnsi="Times New Roman" w:hint="eastAsia"/>
                <w:b/>
                <w:bCs/>
                <w:color w:val="auto"/>
                <w:sz w:val="24"/>
                <w:szCs w:val="24"/>
                <w:lang w:val="en-US" w:eastAsia="zh-CN"/>
                <w:highlight w:val="none"/>
              </w:rPr>
              <w:t>工序废气和第一次筛分废气会</w:t>
            </w:r>
            <w:r>
              <w:rPr>
                <w:rFonts w:cs="Times New Roman" w:hint="eastAsia"/>
                <w:b/>
                <w:bCs/>
                <w:color w:val="auto"/>
                <w:sz w:val="24"/>
                <w:szCs w:val="24"/>
                <w:lang w:val="en-US" w:eastAsia="zh-CN"/>
                <w:highlight w:val="none"/>
              </w:rPr>
              <w:t>产生</w:t>
            </w:r>
            <w:r>
              <w:rPr>
                <w:rFonts w:ascii="Times New Roman" w:eastAsia="宋体" w:cs="Times New Roman" w:hAnsi="Times New Roman" w:hint="eastAsia"/>
                <w:b/>
                <w:bCs/>
                <w:color w:val="auto"/>
                <w:sz w:val="24"/>
                <w:szCs w:val="24"/>
                <w:lang w:val="en-US" w:eastAsia="zh-CN"/>
                <w:highlight w:val="none"/>
              </w:rPr>
              <w:t>污染物</w:t>
            </w:r>
            <w:r>
              <w:rPr>
                <w:rFonts w:cs="Times New Roman" w:hint="eastAsia"/>
                <w:b/>
                <w:bCs/>
                <w:color w:val="auto"/>
                <w:sz w:val="24"/>
                <w:szCs w:val="24"/>
                <w:lang w:val="en-US" w:eastAsia="zh-CN"/>
                <w:highlight w:val="none"/>
              </w:rPr>
              <w:t>甲醛</w:t>
            </w:r>
            <w:r>
              <w:rPr>
                <w:rFonts w:ascii="Times New Roman" w:eastAsia="宋体" w:cs="Times New Roman" w:hAnsi="Times New Roman" w:hint="eastAsia"/>
                <w:b/>
                <w:bCs/>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（4）整形（加湿）</w:t>
            </w:r>
            <w:r>
              <w:rPr>
                <w:rFonts w:cs="Times New Roman" w:hint="eastAsia"/>
                <w:b/>
                <w:bCs/>
                <w:color w:val="auto"/>
                <w:sz w:val="24"/>
                <w:szCs w:val="24"/>
                <w:lang w:val="en-US" w:eastAsia="zh-CN"/>
                <w:highlight w:val="none"/>
              </w:rPr>
              <w:t>、喷脲</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原料进入密闭整形机由蒸汽（蒸汽由电加热蒸汽发生器提供）</w:t>
            </w:r>
            <w:r>
              <w:rPr>
                <w:rFonts w:cs="Times New Roman" w:hint="eastAsia"/>
                <w:b/>
                <w:bCs/>
                <w:color w:val="auto"/>
                <w:sz w:val="24"/>
                <w:szCs w:val="24"/>
                <w:lang w:val="en-US" w:eastAsia="zh-CN"/>
                <w:highlight w:val="none"/>
              </w:rPr>
              <w:t>喷于物料上</w:t>
            </w:r>
            <w:r>
              <w:rPr>
                <w:rFonts w:ascii="Times New Roman" w:eastAsia="宋体" w:cs="Times New Roman" w:hAnsi="Times New Roman" w:hint="eastAsia"/>
                <w:b/>
                <w:bCs/>
                <w:color w:val="auto"/>
                <w:sz w:val="24"/>
                <w:szCs w:val="24"/>
                <w:lang w:val="en-US" w:eastAsia="zh-CN"/>
                <w:highlight w:val="none"/>
              </w:rPr>
              <w:t>加湿后进行</w:t>
            </w:r>
            <w:r>
              <w:rPr>
                <w:rFonts w:cs="Times New Roman" w:hint="eastAsia"/>
                <w:b/>
                <w:bCs/>
                <w:color w:val="auto"/>
                <w:sz w:val="24"/>
                <w:szCs w:val="24"/>
                <w:lang w:val="en-US" w:eastAsia="zh-CN"/>
                <w:highlight w:val="none"/>
              </w:rPr>
              <w:t>物理</w:t>
            </w:r>
            <w:r>
              <w:rPr>
                <w:rFonts w:ascii="Times New Roman" w:eastAsia="宋体" w:cs="Times New Roman" w:hAnsi="Times New Roman" w:hint="eastAsia"/>
                <w:b/>
                <w:bCs/>
                <w:color w:val="auto"/>
                <w:sz w:val="24"/>
                <w:szCs w:val="24"/>
                <w:lang w:val="en-US" w:eastAsia="zh-CN"/>
                <w:highlight w:val="none"/>
              </w:rPr>
              <w:t>整理处理，提高颗粒的圆整度与强度，减少粉尘和碎粒</w:t>
            </w:r>
            <w:r>
              <w:rPr>
                <w:rFonts w:cs="Times New Roman" w:hint="eastAsia"/>
                <w:b/>
                <w:bCs/>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此工序会产生</w:t>
            </w:r>
            <w:r>
              <w:rPr>
                <w:rFonts w:cs="Times New Roman" w:hint="eastAsia"/>
                <w:b/>
                <w:bCs/>
                <w:color w:val="auto"/>
                <w:sz w:val="24"/>
                <w:szCs w:val="24"/>
                <w:lang w:val="en-US" w:eastAsia="zh-CN"/>
                <w:highlight w:val="none"/>
              </w:rPr>
              <w:t>整形</w:t>
            </w:r>
            <w:r>
              <w:rPr>
                <w:rFonts w:ascii="Times New Roman" w:eastAsia="宋体" w:cs="Times New Roman" w:hAnsi="Times New Roman" w:hint="eastAsia"/>
                <w:b/>
                <w:bCs/>
                <w:color w:val="auto"/>
                <w:sz w:val="24"/>
                <w:szCs w:val="24"/>
                <w:lang w:val="en-US" w:eastAsia="zh-CN"/>
                <w:highlight w:val="none"/>
              </w:rPr>
              <w:t>废气G</w:t>
            </w:r>
            <w:r>
              <w:rPr>
                <w:rFonts w:cs="Times New Roman" w:hint="eastAsia"/>
                <w:b/>
                <w:bCs/>
                <w:color w:val="auto"/>
                <w:sz w:val="24"/>
                <w:szCs w:val="24"/>
                <w:lang w:val="en-US" w:eastAsia="zh-CN"/>
                <w:highlight w:val="none"/>
              </w:rPr>
              <w:t>7</w:t>
            </w:r>
            <w:r>
              <w:rPr>
                <w:rFonts w:ascii="Times New Roman" w:eastAsia="宋体" w:cs="Times New Roman" w:hAnsi="Times New Roman" w:hint="eastAsia"/>
                <w:b/>
                <w:bCs/>
                <w:color w:val="auto"/>
                <w:sz w:val="24"/>
                <w:szCs w:val="24"/>
                <w:lang w:val="en-US" w:eastAsia="zh-CN"/>
                <w:highlight w:val="none"/>
              </w:rPr>
              <w:t>，设备噪声N。</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（5）喷脲</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yellow"/>
              </w:rPr>
            </w:pPr>
            <w:r>
              <w:rPr>
                <w:rFonts w:ascii="Times New Roman" w:eastAsia="宋体" w:cs="Times New Roman" w:hAnsi="Times New Roman" w:hint="eastAsia"/>
                <w:b/>
                <w:bCs/>
                <w:color w:val="auto"/>
                <w:sz w:val="24"/>
                <w:szCs w:val="24"/>
                <w:lang w:val="en-US" w:eastAsia="zh-CN"/>
                <w:highlight w:val="none"/>
              </w:rPr>
              <w:t>整形后的原料</w:t>
            </w:r>
            <w:r>
              <w:rPr>
                <w:rFonts w:cs="Times New Roman" w:hint="eastAsia"/>
                <w:b/>
                <w:bCs/>
                <w:color w:val="auto"/>
                <w:sz w:val="24"/>
                <w:szCs w:val="24"/>
                <w:lang w:val="en-US" w:eastAsia="zh-CN"/>
                <w:highlight w:val="none"/>
              </w:rPr>
              <w:t>在密闭整形机</w:t>
            </w:r>
            <w:r>
              <w:rPr>
                <w:rFonts w:ascii="Times New Roman" w:eastAsia="宋体" w:cs="Times New Roman" w:hAnsi="Times New Roman" w:hint="eastAsia"/>
                <w:b/>
                <w:bCs/>
                <w:color w:val="auto"/>
                <w:sz w:val="24"/>
                <w:szCs w:val="24"/>
                <w:lang w:val="en-US" w:eastAsia="zh-CN"/>
                <w:highlight w:val="none"/>
              </w:rPr>
              <w:t>内</w:t>
            </w:r>
            <w:r>
              <w:rPr>
                <w:rFonts w:cs="Times New Roman" w:hint="eastAsia"/>
                <w:b/>
                <w:bCs/>
                <w:color w:val="auto"/>
                <w:sz w:val="24"/>
                <w:szCs w:val="24"/>
                <w:lang w:val="en-US" w:eastAsia="zh-CN"/>
                <w:highlight w:val="none"/>
              </w:rPr>
              <w:t>进行喷脲处理，企业设有储存罐2台，1台为硫酸脲储罐，1台为脲甲醛储罐，生产含硫酸脲包衣复混肥时喷硫酸脲，生产含脲甲醛包衣复混肥时喷脲甲醛，硫酸脲和脲甲醛均为液态，通过计量泵直接喷到整形机内料层，在原料颗粒表面喷涂一层硫酸脲或脲甲醛，</w:t>
            </w:r>
            <w:r>
              <w:rPr>
                <w:rFonts w:ascii="Times New Roman" w:eastAsia="宋体" w:cs="Times New Roman" w:hAnsi="Times New Roman" w:hint="eastAsia"/>
                <w:b/>
                <w:bCs/>
                <w:color w:val="auto"/>
                <w:sz w:val="24"/>
                <w:szCs w:val="24"/>
                <w:lang w:val="en-US" w:eastAsia="zh-CN"/>
                <w:highlight w:val="none"/>
              </w:rPr>
              <w:t>为产品赋予缓释功能，提高肥料利用率。</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此工序会产生</w:t>
            </w:r>
            <w:r>
              <w:rPr>
                <w:rFonts w:cs="Times New Roman" w:hint="eastAsia"/>
                <w:b/>
                <w:bCs/>
                <w:color w:val="auto"/>
                <w:sz w:val="24"/>
                <w:szCs w:val="24"/>
                <w:lang w:val="en-US" w:eastAsia="zh-CN"/>
                <w:highlight w:val="none"/>
              </w:rPr>
              <w:t>喷脲</w:t>
            </w:r>
            <w:r>
              <w:rPr>
                <w:rFonts w:ascii="Times New Roman" w:eastAsia="宋体" w:cs="Times New Roman" w:hAnsi="Times New Roman" w:hint="eastAsia"/>
                <w:b/>
                <w:bCs/>
                <w:color w:val="auto"/>
                <w:sz w:val="24"/>
                <w:szCs w:val="24"/>
                <w:lang w:val="en-US" w:eastAsia="zh-CN"/>
                <w:highlight w:val="none"/>
              </w:rPr>
              <w:t>废气G</w:t>
            </w:r>
            <w:r>
              <w:rPr>
                <w:rFonts w:cs="Times New Roman" w:hint="eastAsia"/>
                <w:b/>
                <w:bCs/>
                <w:color w:val="auto"/>
                <w:sz w:val="24"/>
                <w:szCs w:val="24"/>
                <w:lang w:val="en-US" w:eastAsia="zh-CN"/>
                <w:highlight w:val="none"/>
              </w:rPr>
              <w:t>8</w:t>
            </w:r>
            <w:r>
              <w:rPr>
                <w:rFonts w:ascii="Times New Roman" w:eastAsia="宋体" w:cs="Times New Roman" w:hAnsi="Times New Roman" w:hint="eastAsia"/>
                <w:b/>
                <w:bCs/>
                <w:color w:val="auto"/>
                <w:sz w:val="24"/>
                <w:szCs w:val="24"/>
                <w:lang w:val="en-US" w:eastAsia="zh-CN"/>
                <w:highlight w:val="none"/>
              </w:rPr>
              <w:t>，设备噪声N。</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val="0"/>
                <w:bCs w:val="0"/>
                <w:color w:val="auto"/>
                <w:sz w:val="24"/>
                <w:szCs w:val="24"/>
                <w:lang w:val="en-US" w:eastAsia="zh-CN"/>
                <w:highlight w:val="none"/>
              </w:rPr>
            </w:pPr>
            <w:r>
              <w:rPr>
                <w:rFonts w:ascii="Times New Roman" w:eastAsia="宋体" w:cs="Times New Roman" w:hAnsi="Times New Roman" w:hint="eastAsia"/>
                <w:b w:val="0"/>
                <w:bCs w:val="0"/>
                <w:color w:val="auto"/>
                <w:sz w:val="24"/>
                <w:szCs w:val="24"/>
                <w:lang w:val="en-US" w:eastAsia="zh-CN"/>
                <w:highlight w:val="none"/>
              </w:rPr>
              <w:t>（6）烘干</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b w:val="0"/>
                <w:bCs w:val="0"/>
                <w:color w:val="auto"/>
                <w:sz w:val="24"/>
                <w:szCs w:val="24"/>
                <w:lang w:val="en-US" w:eastAsia="zh-CN"/>
                <w:highlight w:val="none"/>
              </w:rPr>
            </w:pPr>
            <w:r>
              <w:rPr>
                <w:rFonts w:ascii="Times New Roman" w:eastAsia="宋体" w:cs="Times New Roman" w:hAnsi="Times New Roman" w:hint="eastAsia"/>
                <w:b w:val="0"/>
                <w:bCs w:val="0"/>
                <w:color w:val="auto"/>
                <w:sz w:val="24"/>
                <w:szCs w:val="24"/>
                <w:lang w:val="en-US" w:eastAsia="zh-CN"/>
                <w:highlight w:val="none"/>
              </w:rPr>
              <w:t>喷脲后颗粒状产品经密闭的传送带传送至密闭式烘干机，与烘干机连接的天然气热风炉为烘干机提供加热后的燃烧烟气和空气。产品在烘干机中烘干将含水量降至2%以下，烘干机进料口温度为150℃左右，出料口温度为60℃左右。</w:t>
            </w:r>
            <w:r>
              <w:rPr>
                <w:rFonts w:cs="Times New Roman" w:hint="eastAsia"/>
                <w:b w:val="0"/>
                <w:bCs w:val="0"/>
                <w:color w:val="auto"/>
                <w:sz w:val="24"/>
                <w:szCs w:val="24"/>
                <w:lang w:val="en-US" w:eastAsia="zh-CN"/>
                <w:highlight w:val="none"/>
              </w:rPr>
              <w:t>企业烘干温度为150℃，此温度下</w:t>
            </w:r>
            <w:r>
              <w:rPr>
                <w:rFonts w:ascii="Times New Roman" w:eastAsia="宋体" w:cs="Times New Roman" w:hAnsi="Times New Roman" w:hint="eastAsia"/>
                <w:b w:val="0"/>
                <w:bCs w:val="0"/>
                <w:color w:val="auto"/>
                <w:sz w:val="24"/>
                <w:szCs w:val="24"/>
                <w:lang w:val="en-US" w:eastAsia="zh-CN"/>
                <w:highlight w:val="none"/>
              </w:rPr>
              <w:t>硫酸脲</w:t>
            </w:r>
            <w:r>
              <w:rPr>
                <w:rFonts w:cs="Times New Roman" w:hint="eastAsia"/>
                <w:b w:val="0"/>
                <w:bCs w:val="0"/>
                <w:color w:val="auto"/>
                <w:sz w:val="24"/>
                <w:szCs w:val="24"/>
                <w:lang w:val="en-US" w:eastAsia="zh-CN"/>
                <w:highlight w:val="none"/>
              </w:rPr>
              <w:t>发生初步热解，主要产生氨气</w:t>
            </w:r>
            <w:r>
              <w:rPr>
                <w:rFonts w:ascii="Times New Roman" w:eastAsia="宋体" w:cs="Times New Roman" w:hAnsi="Times New Roman" w:hint="eastAsia"/>
                <w:b w:val="0"/>
                <w:bCs w:val="0"/>
                <w:color w:val="auto"/>
                <w:sz w:val="24"/>
                <w:szCs w:val="24"/>
                <w:lang w:val="en-US" w:eastAsia="zh-CN"/>
                <w:highlight w:val="none"/>
              </w:rPr>
              <w:t>，</w:t>
            </w:r>
            <w:r>
              <w:rPr>
                <w:rFonts w:cs="Times New Roman" w:hint="eastAsia"/>
                <w:b w:val="0"/>
                <w:bCs w:val="0"/>
                <w:color w:val="auto"/>
                <w:sz w:val="24"/>
                <w:szCs w:val="24"/>
                <w:lang w:val="en-US" w:eastAsia="zh-CN"/>
                <w:highlight w:val="none"/>
              </w:rPr>
              <w:t>300℃以上才会发生分解。</w:t>
            </w:r>
            <w:r>
              <w:rPr>
                <w:rFonts w:ascii="Times New Roman" w:eastAsia="宋体" w:cs="Times New Roman" w:hAnsi="Times New Roman" w:hint="eastAsia"/>
                <w:b w:val="0"/>
                <w:bCs w:val="0"/>
                <w:color w:val="auto"/>
                <w:sz w:val="24"/>
                <w:szCs w:val="24"/>
                <w:lang w:val="en-US" w:eastAsia="zh-CN"/>
                <w:highlight w:val="none"/>
              </w:rPr>
              <w:t>脲甲醛</w:t>
            </w:r>
            <w:r>
              <w:rPr>
                <w:rFonts w:cs="Times New Roman" w:hint="eastAsia"/>
                <w:b w:val="0"/>
                <w:bCs w:val="0"/>
                <w:color w:val="auto"/>
                <w:sz w:val="24"/>
                <w:szCs w:val="24"/>
                <w:lang w:val="en-US" w:eastAsia="zh-CN"/>
                <w:highlight w:val="none"/>
              </w:rPr>
              <w:t>烘干温度下不发生热解，主要产生游离甲醛、水蒸气、氨气，180℃以上才会发生热解，330℃以上才会发生分解。</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cs="Times New Roman" w:hint="eastAsia"/>
                <w:b/>
                <w:bCs/>
                <w:color w:val="auto"/>
                <w:sz w:val="24"/>
                <w:szCs w:val="24"/>
                <w:lang w:val="en-US" w:eastAsia="zh-CN"/>
                <w:highlight w:val="none"/>
              </w:rPr>
              <w:t>因技改增加辅料脲甲醛，烘干废气会产生污染物甲醛，</w:t>
            </w:r>
            <w:r>
              <w:rPr>
                <w:rFonts w:ascii="Times New Roman" w:eastAsia="宋体" w:cs="Times New Roman" w:hAnsi="Times New Roman" w:hint="eastAsia"/>
                <w:b/>
                <w:bCs/>
                <w:color w:val="auto"/>
                <w:sz w:val="24"/>
                <w:szCs w:val="24"/>
                <w:lang w:val="en-US" w:eastAsia="zh-CN"/>
                <w:highlight w:val="none"/>
              </w:rPr>
              <w:t>此工序会产生</w:t>
            </w:r>
            <w:r>
              <w:rPr>
                <w:rFonts w:cs="Times New Roman" w:hint="eastAsia"/>
                <w:b/>
                <w:bCs/>
                <w:color w:val="auto"/>
                <w:sz w:val="24"/>
                <w:szCs w:val="24"/>
                <w:lang w:val="en-US" w:eastAsia="zh-CN"/>
                <w:highlight w:val="none"/>
              </w:rPr>
              <w:t>烘干</w:t>
            </w:r>
            <w:r>
              <w:rPr>
                <w:rFonts w:ascii="Times New Roman" w:eastAsia="宋体" w:cs="Times New Roman" w:hAnsi="Times New Roman" w:hint="eastAsia"/>
                <w:b/>
                <w:bCs/>
                <w:color w:val="auto"/>
                <w:sz w:val="24"/>
                <w:szCs w:val="24"/>
                <w:lang w:val="en-US" w:eastAsia="zh-CN"/>
                <w:highlight w:val="none"/>
              </w:rPr>
              <w:t>废气G</w:t>
            </w:r>
            <w:r>
              <w:rPr>
                <w:rFonts w:cs="Times New Roman" w:hint="eastAsia"/>
                <w:b/>
                <w:bCs/>
                <w:color w:val="auto"/>
                <w:sz w:val="24"/>
                <w:szCs w:val="24"/>
                <w:lang w:val="en-US" w:eastAsia="zh-CN"/>
                <w:highlight w:val="none"/>
              </w:rPr>
              <w:t>9</w:t>
            </w:r>
            <w:r>
              <w:rPr>
                <w:rFonts w:ascii="Times New Roman" w:eastAsia="宋体" w:cs="Times New Roman" w:hAnsi="Times New Roman" w:hint="eastAsia"/>
                <w:b/>
                <w:bCs/>
                <w:color w:val="auto"/>
                <w:sz w:val="24"/>
                <w:szCs w:val="24"/>
                <w:lang w:val="en-US" w:eastAsia="zh-CN"/>
                <w:highlight w:val="none"/>
              </w:rPr>
              <w:t>，天然气热风炉</w:t>
            </w:r>
            <w:r>
              <w:rPr>
                <w:rFonts w:cs="Times New Roman" w:hint="eastAsia"/>
                <w:b/>
                <w:bCs/>
                <w:color w:val="auto"/>
                <w:sz w:val="24"/>
                <w:szCs w:val="24"/>
                <w:lang w:val="en-US" w:eastAsia="zh-CN"/>
                <w:highlight w:val="none"/>
              </w:rPr>
              <w:t>燃烧废气G10，</w:t>
            </w:r>
            <w:r>
              <w:rPr>
                <w:rFonts w:ascii="Times New Roman" w:eastAsia="宋体" w:cs="Times New Roman" w:hAnsi="Times New Roman" w:hint="eastAsia"/>
                <w:b/>
                <w:bCs/>
                <w:color w:val="auto"/>
                <w:sz w:val="24"/>
                <w:szCs w:val="24"/>
                <w:lang w:val="en-US" w:eastAsia="zh-CN"/>
                <w:highlight w:val="none"/>
              </w:rPr>
              <w:t>设备噪声N。</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（7）冷却</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产品经密闭式烘干机烘干后进入密闭式冷却机进行冷却处理，冷却机使用</w:t>
            </w:r>
            <w:r>
              <w:rPr>
                <w:rFonts w:cs="Times New Roman" w:hint="eastAsia"/>
                <w:color w:val="auto"/>
                <w:sz w:val="24"/>
                <w:szCs w:val="24"/>
                <w:lang w:val="en-US" w:eastAsia="zh-CN"/>
                <w:highlight w:val="none"/>
              </w:rPr>
              <w:t>引风机引入的</w:t>
            </w:r>
            <w:r>
              <w:rPr>
                <w:rFonts w:ascii="Times New Roman" w:eastAsia="宋体" w:cs="Times New Roman" w:hAnsi="Times New Roman" w:hint="eastAsia"/>
                <w:color w:val="auto"/>
                <w:sz w:val="24"/>
                <w:szCs w:val="24"/>
                <w:lang w:val="en-US" w:eastAsia="zh-CN"/>
                <w:highlight w:val="none"/>
              </w:rPr>
              <w:t>常温空气对烘干后的产品进行冷却处理，冷却机出料口温度为40℃左右。</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因技改增加辅料脲甲醛，</w:t>
            </w:r>
            <w:r>
              <w:rPr>
                <w:rFonts w:cs="Times New Roman" w:hint="eastAsia"/>
                <w:b/>
                <w:bCs/>
                <w:color w:val="auto"/>
                <w:sz w:val="24"/>
                <w:szCs w:val="24"/>
                <w:lang w:val="en-US" w:eastAsia="zh-CN"/>
                <w:highlight w:val="none"/>
              </w:rPr>
              <w:t>冷却</w:t>
            </w:r>
            <w:r>
              <w:rPr>
                <w:rFonts w:ascii="Times New Roman" w:eastAsia="宋体" w:cs="Times New Roman" w:hAnsi="Times New Roman" w:hint="eastAsia"/>
                <w:b/>
                <w:bCs/>
                <w:color w:val="auto"/>
                <w:sz w:val="24"/>
                <w:szCs w:val="24"/>
                <w:lang w:val="en-US" w:eastAsia="zh-CN"/>
                <w:highlight w:val="none"/>
              </w:rPr>
              <w:t>废气会</w:t>
            </w:r>
            <w:r>
              <w:rPr>
                <w:rFonts w:cs="Times New Roman" w:hint="eastAsia"/>
                <w:b/>
                <w:bCs/>
                <w:color w:val="auto"/>
                <w:sz w:val="24"/>
                <w:szCs w:val="24"/>
                <w:lang w:val="en-US" w:eastAsia="zh-CN"/>
                <w:highlight w:val="none"/>
              </w:rPr>
              <w:t>产生</w:t>
            </w:r>
            <w:r>
              <w:rPr>
                <w:rFonts w:ascii="Times New Roman" w:eastAsia="宋体" w:cs="Times New Roman" w:hAnsi="Times New Roman" w:hint="eastAsia"/>
                <w:b/>
                <w:bCs/>
                <w:color w:val="auto"/>
                <w:sz w:val="24"/>
                <w:szCs w:val="24"/>
                <w:lang w:val="en-US" w:eastAsia="zh-CN"/>
                <w:highlight w:val="none"/>
              </w:rPr>
              <w:t>污染物</w:t>
            </w:r>
            <w:r>
              <w:rPr>
                <w:rFonts w:cs="Times New Roman" w:hint="eastAsia"/>
                <w:b/>
                <w:bCs/>
                <w:color w:val="auto"/>
                <w:sz w:val="24"/>
                <w:szCs w:val="24"/>
                <w:lang w:val="en-US" w:eastAsia="zh-CN"/>
                <w:highlight w:val="none"/>
              </w:rPr>
              <w:t>甲醛</w:t>
            </w:r>
            <w:r>
              <w:rPr>
                <w:rFonts w:ascii="Times New Roman" w:eastAsia="宋体" w:cs="Times New Roman" w:hAnsi="Times New Roman" w:hint="eastAsia"/>
                <w:b/>
                <w:bCs/>
                <w:color w:val="auto"/>
                <w:sz w:val="24"/>
                <w:szCs w:val="24"/>
                <w:lang w:val="en-US" w:eastAsia="zh-CN"/>
                <w:highlight w:val="none"/>
              </w:rPr>
              <w:t>，此工序会产生</w:t>
            </w:r>
            <w:r>
              <w:rPr>
                <w:rFonts w:cs="Times New Roman" w:hint="eastAsia"/>
                <w:b/>
                <w:bCs/>
                <w:color w:val="auto"/>
                <w:sz w:val="24"/>
                <w:szCs w:val="24"/>
                <w:lang w:val="en-US" w:eastAsia="zh-CN"/>
                <w:highlight w:val="none"/>
              </w:rPr>
              <w:t>冷却</w:t>
            </w:r>
            <w:r>
              <w:rPr>
                <w:rFonts w:ascii="Times New Roman" w:eastAsia="宋体" w:cs="Times New Roman" w:hAnsi="Times New Roman" w:hint="eastAsia"/>
                <w:b/>
                <w:bCs/>
                <w:color w:val="auto"/>
                <w:sz w:val="24"/>
                <w:szCs w:val="24"/>
                <w:lang w:val="en-US" w:eastAsia="zh-CN"/>
                <w:highlight w:val="none"/>
              </w:rPr>
              <w:t>废气G</w:t>
            </w:r>
            <w:r>
              <w:rPr>
                <w:rFonts w:cs="Times New Roman" w:hint="eastAsia"/>
                <w:b/>
                <w:bCs/>
                <w:color w:val="auto"/>
                <w:sz w:val="24"/>
                <w:szCs w:val="24"/>
                <w:lang w:val="en-US" w:eastAsia="zh-CN"/>
                <w:highlight w:val="none"/>
              </w:rPr>
              <w:t>11</w:t>
            </w:r>
            <w:r>
              <w:rPr>
                <w:rFonts w:ascii="Times New Roman" w:eastAsia="宋体" w:cs="Times New Roman" w:hAnsi="Times New Roman" w:hint="eastAsia"/>
                <w:b/>
                <w:bCs/>
                <w:color w:val="auto"/>
                <w:sz w:val="24"/>
                <w:szCs w:val="24"/>
                <w:lang w:val="en-US" w:eastAsia="zh-CN"/>
                <w:highlight w:val="none"/>
              </w:rPr>
              <w:t>，设备噪声N。</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cs="Times New Roman" w:hint="eastAsia"/>
                <w:color w:val="auto"/>
                <w:sz w:val="24"/>
                <w:szCs w:val="24"/>
                <w:lang w:val="en-US" w:eastAsia="zh-CN"/>
                <w:highlight w:val="none"/>
              </w:rPr>
              <w:t>（8）</w:t>
            </w:r>
            <w:r>
              <w:rPr>
                <w:rFonts w:ascii="Times New Roman" w:eastAsia="宋体" w:cs="Times New Roman" w:hAnsi="Times New Roman" w:hint="eastAsia"/>
                <w:color w:val="auto"/>
                <w:sz w:val="24"/>
                <w:szCs w:val="24"/>
                <w:lang w:val="en-US" w:eastAsia="zh-CN"/>
                <w:highlight w:val="none"/>
              </w:rPr>
              <w:t>筛分</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冷却后的物料经</w:t>
            </w:r>
            <w:r>
              <w:rPr>
                <w:rFonts w:cs="Times New Roman" w:hint="eastAsia"/>
                <w:color w:val="auto"/>
                <w:sz w:val="24"/>
                <w:szCs w:val="24"/>
                <w:lang w:val="en-US" w:eastAsia="zh-CN"/>
                <w:highlight w:val="none"/>
              </w:rPr>
              <w:t>密闭的提升机</w:t>
            </w:r>
            <w:r>
              <w:rPr>
                <w:rFonts w:ascii="Times New Roman" w:eastAsia="宋体" w:cs="Times New Roman" w:hAnsi="Times New Roman" w:hint="eastAsia"/>
                <w:color w:val="auto"/>
                <w:sz w:val="24"/>
                <w:szCs w:val="24"/>
                <w:lang w:val="en-US" w:eastAsia="zh-CN"/>
                <w:highlight w:val="none"/>
              </w:rPr>
              <w:t>进入密闭筛分机进行第二次筛分，合格的产品经密闭的传送带传送至</w:t>
            </w:r>
            <w:r>
              <w:rPr>
                <w:rFonts w:cs="Times New Roman" w:hint="eastAsia"/>
                <w:color w:val="auto"/>
                <w:sz w:val="24"/>
                <w:szCs w:val="24"/>
                <w:lang w:val="en-US" w:eastAsia="zh-CN"/>
                <w:highlight w:val="none"/>
              </w:rPr>
              <w:t>密闭抛光机设备进行裹油铺粉处理</w:t>
            </w:r>
            <w:r>
              <w:rPr>
                <w:rFonts w:ascii="Times New Roman" w:eastAsia="宋体" w:cs="Times New Roman" w:hAnsi="Times New Roman" w:hint="eastAsia"/>
                <w:color w:val="auto"/>
                <w:sz w:val="24"/>
                <w:szCs w:val="24"/>
                <w:lang w:val="en-US" w:eastAsia="zh-CN"/>
                <w:highlight w:val="none"/>
              </w:rPr>
              <w:t>；不合格的产品经密闭的传送带传送至投料工序回用于生产。</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此工序会产生</w:t>
            </w:r>
            <w:r>
              <w:rPr>
                <w:rFonts w:cs="Times New Roman" w:hint="eastAsia"/>
                <w:color w:val="auto"/>
                <w:sz w:val="24"/>
                <w:szCs w:val="24"/>
                <w:lang w:val="en-US" w:eastAsia="zh-CN"/>
                <w:highlight w:val="none"/>
              </w:rPr>
              <w:t>第二次筛分</w:t>
            </w:r>
            <w:r>
              <w:rPr>
                <w:rFonts w:ascii="Times New Roman" w:eastAsia="宋体" w:cs="Times New Roman" w:hAnsi="Times New Roman" w:hint="eastAsia"/>
                <w:color w:val="auto"/>
                <w:sz w:val="24"/>
                <w:szCs w:val="24"/>
                <w:lang w:val="en-US" w:eastAsia="zh-CN"/>
                <w:highlight w:val="none"/>
              </w:rPr>
              <w:t>废气G1</w:t>
            </w:r>
            <w:r>
              <w:rPr>
                <w:rFonts w:cs="Times New Roman" w:hint="eastAsia"/>
                <w:color w:val="auto"/>
                <w:sz w:val="24"/>
                <w:szCs w:val="24"/>
                <w:lang w:val="en-US" w:eastAsia="zh-CN"/>
                <w:highlight w:val="none"/>
              </w:rPr>
              <w:t>2</w:t>
            </w:r>
            <w:r>
              <w:rPr>
                <w:rFonts w:ascii="Times New Roman" w:eastAsia="宋体" w:cs="Times New Roman" w:hAnsi="Times New Roman" w:hint="eastAsia"/>
                <w:color w:val="auto"/>
                <w:sz w:val="24"/>
                <w:szCs w:val="24"/>
                <w:lang w:val="en-US" w:eastAsia="zh-CN"/>
                <w:highlight w:val="none"/>
              </w:rPr>
              <w:t>，设备噪声N。</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（9）裹油、铺粉</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b/>
                <w:bCs/>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企业设有一台包裹油储存与化料罐，带保温及电加热功能，确保膏状包裹油在42℃条件下稳定熔化并施用，成品包裹油</w:t>
            </w:r>
            <w:r>
              <w:rPr>
                <w:rFonts w:cs="Times New Roman" w:hint="eastAsia"/>
                <w:b/>
                <w:bCs/>
                <w:color w:val="auto"/>
                <w:sz w:val="24"/>
                <w:szCs w:val="24"/>
                <w:lang w:val="en-US" w:eastAsia="zh-CN"/>
                <w:highlight w:val="none"/>
              </w:rPr>
              <w:t>在</w:t>
            </w:r>
            <w:r>
              <w:rPr>
                <w:rFonts w:ascii="Times New Roman" w:eastAsia="宋体" w:cs="Times New Roman" w:hAnsi="Times New Roman" w:hint="eastAsia"/>
                <w:b/>
                <w:bCs/>
                <w:color w:val="auto"/>
                <w:sz w:val="24"/>
                <w:szCs w:val="24"/>
                <w:lang w:val="en-US" w:eastAsia="zh-CN"/>
                <w:highlight w:val="none"/>
              </w:rPr>
              <w:t>包裹油储存与化料罐</w:t>
            </w:r>
            <w:r>
              <w:rPr>
                <w:rFonts w:cs="Times New Roman" w:hint="eastAsia"/>
                <w:b/>
                <w:bCs/>
                <w:color w:val="auto"/>
                <w:sz w:val="24"/>
                <w:szCs w:val="24"/>
                <w:lang w:val="en-US" w:eastAsia="zh-CN"/>
                <w:highlight w:val="none"/>
              </w:rPr>
              <w:t>内</w:t>
            </w:r>
            <w:r>
              <w:rPr>
                <w:rFonts w:ascii="Times New Roman" w:eastAsia="宋体" w:cs="Times New Roman" w:hAnsi="Times New Roman" w:hint="eastAsia"/>
                <w:b/>
                <w:bCs/>
                <w:color w:val="auto"/>
                <w:sz w:val="24"/>
                <w:szCs w:val="24"/>
                <w:lang w:val="en-US" w:eastAsia="zh-CN"/>
                <w:highlight w:val="none"/>
              </w:rPr>
              <w:t>通过</w:t>
            </w:r>
            <w:r>
              <w:rPr>
                <w:rFonts w:cs="Times New Roman" w:hint="eastAsia"/>
                <w:b/>
                <w:bCs/>
                <w:color w:val="auto"/>
                <w:sz w:val="24"/>
                <w:szCs w:val="24"/>
                <w:lang w:val="en-US" w:eastAsia="zh-CN"/>
                <w:highlight w:val="none"/>
              </w:rPr>
              <w:t>计量泵</w:t>
            </w:r>
            <w:r>
              <w:rPr>
                <w:rFonts w:ascii="Times New Roman" w:eastAsia="宋体" w:cs="Times New Roman" w:hAnsi="Times New Roman" w:hint="eastAsia"/>
                <w:b/>
                <w:bCs/>
                <w:color w:val="auto"/>
                <w:sz w:val="24"/>
                <w:szCs w:val="24"/>
                <w:lang w:val="en-US" w:eastAsia="zh-CN"/>
                <w:highlight w:val="none"/>
              </w:rPr>
              <w:t>送至密闭抛光机内</w:t>
            </w:r>
            <w:r>
              <w:rPr>
                <w:rFonts w:cs="Times New Roman" w:hint="eastAsia"/>
                <w:b/>
                <w:bCs/>
                <w:color w:val="auto"/>
                <w:sz w:val="24"/>
                <w:szCs w:val="24"/>
                <w:lang w:val="en-US" w:eastAsia="zh-CN"/>
                <w:highlight w:val="none"/>
              </w:rPr>
              <w:t>，在原料表面上喷上一层硬脂酸基包裹油，之后由密闭防结块粉计量添加机计量，经螺旋给料在抛光机内对原料铺粉</w:t>
            </w:r>
            <w:r>
              <w:rPr>
                <w:rFonts w:ascii="Times New Roman" w:eastAsia="宋体" w:cs="Times New Roman" w:hAnsi="Times New Roman" w:hint="eastAsia"/>
                <w:b/>
                <w:bCs/>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此工序会产生</w:t>
            </w:r>
            <w:r>
              <w:rPr>
                <w:rFonts w:cs="Times New Roman" w:hint="eastAsia"/>
                <w:b/>
                <w:bCs/>
                <w:color w:val="auto"/>
                <w:sz w:val="24"/>
                <w:szCs w:val="24"/>
                <w:lang w:val="en-US" w:eastAsia="zh-CN"/>
                <w:highlight w:val="none"/>
              </w:rPr>
              <w:t>裹油</w:t>
            </w:r>
            <w:r>
              <w:rPr>
                <w:rFonts w:ascii="Times New Roman" w:eastAsia="宋体" w:cs="Times New Roman" w:hAnsi="Times New Roman" w:hint="eastAsia"/>
                <w:b/>
                <w:bCs/>
                <w:color w:val="auto"/>
                <w:sz w:val="24"/>
                <w:szCs w:val="24"/>
                <w:lang w:val="en-US" w:eastAsia="zh-CN"/>
                <w:highlight w:val="none"/>
              </w:rPr>
              <w:t>废气G1</w:t>
            </w:r>
            <w:r>
              <w:rPr>
                <w:rFonts w:cs="Times New Roman" w:hint="eastAsia"/>
                <w:b/>
                <w:bCs/>
                <w:color w:val="auto"/>
                <w:sz w:val="24"/>
                <w:szCs w:val="24"/>
                <w:lang w:val="en-US" w:eastAsia="zh-CN"/>
                <w:highlight w:val="none"/>
              </w:rPr>
              <w:t>3</w:t>
            </w:r>
            <w:r>
              <w:rPr>
                <w:rFonts w:ascii="Times New Roman" w:eastAsia="宋体" w:cs="Times New Roman" w:hAnsi="Times New Roman" w:hint="eastAsia"/>
                <w:b/>
                <w:bCs/>
                <w:color w:val="auto"/>
                <w:sz w:val="24"/>
                <w:szCs w:val="24"/>
                <w:lang w:val="en-US" w:eastAsia="zh-CN"/>
                <w:highlight w:val="none"/>
              </w:rPr>
              <w:t>，</w:t>
            </w:r>
            <w:r>
              <w:rPr>
                <w:rFonts w:cs="Times New Roman" w:hint="eastAsia"/>
                <w:b/>
                <w:bCs/>
                <w:color w:val="auto"/>
                <w:sz w:val="24"/>
                <w:szCs w:val="24"/>
                <w:lang w:val="en-US" w:eastAsia="zh-CN"/>
                <w:highlight w:val="none"/>
              </w:rPr>
              <w:t>铺粉废气G14，</w:t>
            </w:r>
            <w:r>
              <w:rPr>
                <w:rFonts w:ascii="Times New Roman" w:eastAsia="宋体" w:cs="Times New Roman" w:hAnsi="Times New Roman" w:hint="eastAsia"/>
                <w:b/>
                <w:bCs/>
                <w:color w:val="auto"/>
                <w:sz w:val="24"/>
                <w:szCs w:val="24"/>
                <w:lang w:val="en-US" w:eastAsia="zh-CN"/>
                <w:highlight w:val="none"/>
              </w:rPr>
              <w:t>设备噪声N。</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（10）抛光、装袋</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cs="Times New Roman" w:hint="eastAsia"/>
                <w:color w:val="auto"/>
                <w:sz w:val="24"/>
                <w:szCs w:val="24"/>
                <w:lang w:val="en-US" w:eastAsia="zh-CN"/>
                <w:highlight w:val="none"/>
              </w:rPr>
              <w:t>裹油</w:t>
            </w:r>
            <w:r>
              <w:rPr>
                <w:rFonts w:ascii="Times New Roman" w:eastAsia="宋体" w:cs="Times New Roman" w:hAnsi="Times New Roman" w:hint="eastAsia"/>
                <w:color w:val="auto"/>
                <w:sz w:val="24"/>
                <w:szCs w:val="24"/>
                <w:lang w:val="en-US" w:eastAsia="zh-CN"/>
                <w:highlight w:val="none"/>
              </w:rPr>
              <w:t>铺粉后物料</w:t>
            </w:r>
            <w:r>
              <w:rPr>
                <w:rFonts w:cs="Times New Roman" w:hint="eastAsia"/>
                <w:color w:val="auto"/>
                <w:sz w:val="24"/>
                <w:szCs w:val="24"/>
                <w:lang w:val="en-US" w:eastAsia="zh-CN"/>
                <w:highlight w:val="none"/>
              </w:rPr>
              <w:t>在</w:t>
            </w:r>
            <w:r>
              <w:rPr>
                <w:rFonts w:ascii="Times New Roman" w:eastAsia="宋体" w:cs="Times New Roman" w:hAnsi="Times New Roman" w:hint="eastAsia"/>
                <w:color w:val="auto"/>
                <w:sz w:val="24"/>
                <w:szCs w:val="24"/>
                <w:lang w:val="en-US" w:eastAsia="zh-CN"/>
                <w:highlight w:val="none"/>
              </w:rPr>
              <w:t>密闭抛光机</w:t>
            </w:r>
            <w:r>
              <w:rPr>
                <w:rFonts w:cs="Times New Roman" w:hint="eastAsia"/>
                <w:color w:val="auto"/>
                <w:sz w:val="24"/>
                <w:szCs w:val="24"/>
                <w:lang w:val="en-US" w:eastAsia="zh-CN"/>
                <w:highlight w:val="none"/>
              </w:rPr>
              <w:t>内</w:t>
            </w:r>
            <w:r>
              <w:rPr>
                <w:rFonts w:ascii="Times New Roman" w:eastAsia="宋体" w:cs="Times New Roman" w:hAnsi="Times New Roman" w:hint="eastAsia"/>
                <w:color w:val="auto"/>
                <w:sz w:val="24"/>
                <w:szCs w:val="24"/>
                <w:lang w:val="en-US" w:eastAsia="zh-CN"/>
                <w:highlight w:val="none"/>
              </w:rPr>
              <w:t>进行打磨抛光处理，抛光后经密闭的传送带传送至密闭式定量电子包装秤和包装缝口机进行装袋缝口，装袋过程会对产品抽样送至化验室化验，检测产品是否合格。</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b/>
                <w:bCs/>
                <w:color w:val="auto"/>
                <w:sz w:val="24"/>
                <w:szCs w:val="24"/>
                <w:lang w:val="en-US" w:eastAsia="zh-CN"/>
                <w:highlight w:val="none"/>
              </w:rPr>
              <w:t>因技改增加辅料脲甲醛</w:t>
            </w:r>
            <w:r>
              <w:rPr>
                <w:rFonts w:cs="Times New Roman" w:hint="eastAsia"/>
                <w:b/>
                <w:bCs/>
                <w:color w:val="auto"/>
                <w:sz w:val="24"/>
                <w:szCs w:val="24"/>
                <w:lang w:val="en-US" w:eastAsia="zh-CN"/>
                <w:highlight w:val="none"/>
              </w:rPr>
              <w:t>、包裹油</w:t>
            </w:r>
            <w:r>
              <w:rPr>
                <w:rFonts w:ascii="Times New Roman" w:eastAsia="宋体" w:cs="Times New Roman" w:hAnsi="Times New Roman" w:hint="eastAsia"/>
                <w:b/>
                <w:bCs/>
                <w:color w:val="auto"/>
                <w:sz w:val="24"/>
                <w:szCs w:val="24"/>
                <w:lang w:val="en-US" w:eastAsia="zh-CN"/>
                <w:highlight w:val="none"/>
              </w:rPr>
              <w:t>，</w:t>
            </w:r>
            <w:r>
              <w:rPr>
                <w:rFonts w:cs="Times New Roman" w:hint="eastAsia"/>
                <w:b/>
                <w:bCs/>
                <w:color w:val="auto"/>
                <w:sz w:val="24"/>
                <w:szCs w:val="24"/>
                <w:lang w:val="en-US" w:eastAsia="zh-CN"/>
                <w:highlight w:val="none"/>
              </w:rPr>
              <w:t>抛光</w:t>
            </w:r>
            <w:r>
              <w:rPr>
                <w:rFonts w:ascii="Times New Roman" w:eastAsia="宋体" w:cs="Times New Roman" w:hAnsi="Times New Roman" w:hint="eastAsia"/>
                <w:b/>
                <w:bCs/>
                <w:color w:val="auto"/>
                <w:sz w:val="24"/>
                <w:szCs w:val="24"/>
                <w:lang w:val="en-US" w:eastAsia="zh-CN"/>
                <w:highlight w:val="none"/>
              </w:rPr>
              <w:t>废气会</w:t>
            </w:r>
            <w:r>
              <w:rPr>
                <w:rFonts w:cs="Times New Roman" w:hint="eastAsia"/>
                <w:b/>
                <w:bCs/>
                <w:color w:val="auto"/>
                <w:sz w:val="24"/>
                <w:szCs w:val="24"/>
                <w:lang w:val="en-US" w:eastAsia="zh-CN"/>
                <w:highlight w:val="none"/>
              </w:rPr>
              <w:t>产生污染物</w:t>
            </w:r>
            <w:r>
              <w:rPr>
                <w:rFonts w:ascii="Times New Roman" w:eastAsia="宋体" w:cs="Times New Roman" w:hAnsi="Times New Roman" w:hint="eastAsia"/>
                <w:b/>
                <w:bCs/>
                <w:color w:val="auto"/>
                <w:sz w:val="24"/>
                <w:szCs w:val="24"/>
                <w:lang w:val="en-US" w:eastAsia="zh-CN"/>
                <w:highlight w:val="none"/>
              </w:rPr>
              <w:t>甲醛</w:t>
            </w:r>
            <w:r>
              <w:rPr>
                <w:rFonts w:cs="Times New Roman" w:hint="eastAsia"/>
                <w:b/>
                <w:bCs/>
                <w:color w:val="auto"/>
                <w:sz w:val="24"/>
                <w:szCs w:val="24"/>
                <w:lang w:val="en-US" w:eastAsia="zh-CN"/>
                <w:highlight w:val="none"/>
              </w:rPr>
              <w:t>、非甲烷总烃</w:t>
            </w:r>
            <w:r>
              <w:rPr>
                <w:rFonts w:ascii="Times New Roman" w:eastAsia="宋体" w:cs="Times New Roman" w:hAnsi="Times New Roman" w:hint="eastAsia"/>
                <w:b/>
                <w:bCs/>
                <w:color w:val="auto"/>
                <w:sz w:val="24"/>
                <w:szCs w:val="24"/>
                <w:lang w:val="en-US" w:eastAsia="zh-CN"/>
                <w:highlight w:val="none"/>
              </w:rPr>
              <w:t>，此工序会产生</w:t>
            </w:r>
            <w:r>
              <w:rPr>
                <w:rFonts w:cs="Times New Roman" w:hint="eastAsia"/>
                <w:b/>
                <w:bCs/>
                <w:color w:val="auto"/>
                <w:sz w:val="24"/>
                <w:szCs w:val="24"/>
                <w:lang w:val="en-US" w:eastAsia="zh-CN"/>
                <w:highlight w:val="none"/>
              </w:rPr>
              <w:t>抛光</w:t>
            </w:r>
            <w:r>
              <w:rPr>
                <w:rFonts w:ascii="Times New Roman" w:eastAsia="宋体" w:cs="Times New Roman" w:hAnsi="Times New Roman" w:hint="eastAsia"/>
                <w:b/>
                <w:bCs/>
                <w:color w:val="auto"/>
                <w:sz w:val="24"/>
                <w:szCs w:val="24"/>
                <w:lang w:val="en-US" w:eastAsia="zh-CN"/>
                <w:highlight w:val="none"/>
              </w:rPr>
              <w:t>废气G1</w:t>
            </w:r>
            <w:r>
              <w:rPr>
                <w:rFonts w:cs="Times New Roman" w:hint="eastAsia"/>
                <w:b/>
                <w:bCs/>
                <w:color w:val="auto"/>
                <w:sz w:val="24"/>
                <w:szCs w:val="24"/>
                <w:lang w:val="en-US" w:eastAsia="zh-CN"/>
                <w:highlight w:val="none"/>
              </w:rPr>
              <w:t>5</w:t>
            </w:r>
            <w:r>
              <w:rPr>
                <w:rFonts w:ascii="Times New Roman" w:eastAsia="宋体" w:cs="Times New Roman" w:hAnsi="Times New Roman" w:hint="eastAsia"/>
                <w:b/>
                <w:bCs/>
                <w:color w:val="auto"/>
                <w:sz w:val="24"/>
                <w:szCs w:val="24"/>
                <w:lang w:val="en-US" w:eastAsia="zh-CN"/>
                <w:highlight w:val="none"/>
              </w:rPr>
              <w:t>，</w:t>
            </w:r>
            <w:r>
              <w:rPr>
                <w:rFonts w:cs="Times New Roman" w:hint="eastAsia"/>
                <w:b/>
                <w:bCs/>
                <w:color w:val="auto"/>
                <w:sz w:val="24"/>
                <w:szCs w:val="24"/>
                <w:lang w:val="en-US" w:eastAsia="zh-CN"/>
                <w:highlight w:val="none"/>
              </w:rPr>
              <w:t>装袋</w:t>
            </w:r>
            <w:r>
              <w:rPr>
                <w:rFonts w:ascii="Times New Roman" w:eastAsia="宋体" w:cs="Times New Roman" w:hAnsi="Times New Roman" w:hint="eastAsia"/>
                <w:b/>
                <w:bCs/>
                <w:color w:val="auto"/>
                <w:sz w:val="24"/>
                <w:szCs w:val="24"/>
                <w:lang w:val="en-US" w:eastAsia="zh-CN"/>
                <w:highlight w:val="none"/>
              </w:rPr>
              <w:t>废气G1</w:t>
            </w:r>
            <w:r>
              <w:rPr>
                <w:rFonts w:cs="Times New Roman" w:hint="eastAsia"/>
                <w:b/>
                <w:bCs/>
                <w:color w:val="auto"/>
                <w:sz w:val="24"/>
                <w:szCs w:val="24"/>
                <w:lang w:val="en-US" w:eastAsia="zh-CN"/>
                <w:highlight w:val="none"/>
              </w:rPr>
              <w:t>6</w:t>
            </w:r>
            <w:r>
              <w:rPr>
                <w:rFonts w:ascii="Times New Roman" w:eastAsia="宋体" w:cs="Times New Roman" w:hAnsi="Times New Roman" w:hint="eastAsia"/>
                <w:b/>
                <w:bCs/>
                <w:color w:val="auto"/>
                <w:sz w:val="24"/>
                <w:szCs w:val="24"/>
                <w:lang w:val="en-US" w:eastAsia="zh-CN"/>
                <w:highlight w:val="none"/>
              </w:rPr>
              <w:t>，</w:t>
            </w:r>
            <w:r>
              <w:rPr>
                <w:rFonts w:cs="Times New Roman" w:hint="eastAsia"/>
                <w:b/>
                <w:bCs/>
                <w:color w:val="auto"/>
                <w:sz w:val="24"/>
                <w:szCs w:val="24"/>
                <w:lang w:val="en-US" w:eastAsia="zh-CN"/>
                <w:highlight w:val="none"/>
              </w:rPr>
              <w:t>化验室废气G1，</w:t>
            </w:r>
            <w:r>
              <w:rPr>
                <w:rFonts w:ascii="Times New Roman" w:eastAsia="宋体" w:cs="Times New Roman" w:hAnsi="Times New Roman" w:hint="eastAsia"/>
                <w:b/>
                <w:bCs/>
                <w:color w:val="auto"/>
                <w:sz w:val="24"/>
                <w:szCs w:val="24"/>
                <w:lang w:val="en-US" w:eastAsia="zh-CN"/>
                <w:highlight w:val="none"/>
              </w:rPr>
              <w:t>设备噪声N。</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（11）码垛入库</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jc w:val="left"/>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装袋的产品会由机器人自动码垛机进行码垛，码垛好的成品由叉车运送入库等待复混肥生产线使用</w:t>
            </w:r>
            <w:r>
              <w:rPr>
                <w:rFonts w:ascii="Times New Roman" w:eastAsia="宋体" w:cs="Times New Roman" w:hAnsi="Times New Roman" w:hint="eastAsia"/>
                <w:color w:val="auto"/>
                <w:sz w:val="24"/>
                <w:szCs w:val="24"/>
                <w:lang w:val="en-US" w:eastAsia="zh-CN"/>
                <w:highlight w:val="none"/>
              </w:rPr>
              <w:drawing>
                <wp:inline distT="0" distB="0" distL="114300" distR="114300">
                  <wp:extent cx="5162550" cy="7858125"/>
                  <wp:effectExtent l="0" t="0" r="0" b="0"/>
                  <wp:docPr id="1044" name="图片 4"/>
                  <wp:cNvGraphicFramePr>
                    <a:graphicFrameLocks noChangeAspect="1"/>
                  </wp:cNvGraphicFramePr>
                  <a:graphic>
                    <a:graphicData uri="http://schemas.openxmlformats.org/drawingml/2006/picture">
                      <pic:pic>
                        <pic:nvPicPr>
                          <pic:cNvPr id="252" name="图片 4 252"/>
                          <pic:cNvPicPr/>
                        </pic:nvPicPr>
                        <pic:blipFill>
                          <a:blip r:embed="rId17"/>
                          <a:stretch>
                            <a:fillRect/>
                          </a:stretch>
                        </pic:blipFill>
                        <pic:spPr>
                          <a:xfrm rot="0">
                            <a:off x="0" y="0"/>
                            <a:ext cx="5162550" cy="7858125"/>
                          </a:xfrm>
                          <a:prstGeom prst="rect"/>
                          <a:noFill/>
                          <a:ln cmpd="sng" cap="flat">
                            <a:noFill/>
                            <a:prstDash val="solid"/>
                            <a:round/>
                          </a:ln>
                        </pic:spPr>
                      </pic:pic>
                    </a:graphicData>
                  </a:graphic>
                </wp:inline>
              </w:drawing>
            </w:r>
          </w:p>
          <w:p>
            <w:pPr>
              <w:ind w:firstLineChars="1800" w:firstLine="4320"/>
              <w:rPr>
                <w:color w:val="auto"/>
              </w:rPr>
            </w:pPr>
            <w:r>
              <w:rPr>
                <w:rFonts w:hint="eastAsia"/>
                <w:color w:val="auto"/>
                <w:lang w:val="en-US" w:eastAsia="zh-CN"/>
              </w:rPr>
              <w:t>图例：G废气、N噪声、S固体废物</w:t>
            </w:r>
          </w:p>
          <w:p>
            <w:pPr>
              <w:pStyle w:val="40"/>
              <w:rPr>
                <w:rFonts w:ascii="Times New Roman" w:cs="Times New Roman" w:hAnsi="Times New Roman"/>
                <w:color w:val="auto"/>
              </w:rPr>
            </w:pPr>
            <w:r>
              <w:rPr>
                <w:rFonts w:ascii="Times New Roman" w:cs="Times New Roman" w:hAnsi="Times New Roman" w:hint="eastAsia"/>
                <w:color w:val="auto"/>
              </w:rPr>
              <w:t>图2-</w:t>
            </w:r>
            <w:r>
              <w:rPr>
                <w:rFonts w:cs="Times New Roman" w:hint="eastAsia"/>
                <w:color w:val="auto"/>
                <w:lang w:val="en-US" w:eastAsia="zh-CN"/>
              </w:rPr>
              <w:t>4</w:t>
            </w:r>
            <w:r>
              <w:rPr>
                <w:rFonts w:ascii="Times New Roman" w:cs="Times New Roman" w:hAnsi="Times New Roman" w:hint="eastAsia"/>
                <w:color w:val="auto"/>
              </w:rPr>
              <w:t xml:space="preserve">  </w:t>
            </w:r>
            <w:r>
              <w:rPr>
                <w:rFonts w:ascii="Times New Roman" w:cs="Times New Roman" w:hAnsi="Times New Roman" w:hint="eastAsia"/>
                <w:color w:val="auto"/>
                <w:lang w:val="en-US" w:eastAsia="zh-CN"/>
              </w:rPr>
              <w:t>产品</w:t>
            </w:r>
            <w:r>
              <w:rPr>
                <w:rFonts w:ascii="Times New Roman" w:cs="Times New Roman" w:hAnsi="Times New Roman" w:hint="eastAsia"/>
                <w:color w:val="auto"/>
              </w:rPr>
              <w:t>生产工艺流程及排污节点图</w:t>
            </w:r>
          </w:p>
          <w:p>
            <w:pPr>
              <w:pStyle w:val="40"/>
              <w:rPr>
                <w:color w:val="auto"/>
              </w:rPr>
            </w:pPr>
          </w:p>
          <w:p>
            <w:pPr>
              <w:pStyle w:val="40"/>
              <w:rPr>
                <w:color w:val="auto"/>
              </w:rPr>
            </w:pPr>
          </w:p>
          <w:p>
            <w:pPr>
              <w:pStyle w:val="40"/>
              <w:rPr>
                <w:color w:val="auto"/>
              </w:rPr>
            </w:pPr>
            <w:r>
              <w:rPr>
                <w:color w:val="auto"/>
              </w:rPr>
              <w:t>表2-</w:t>
            </w:r>
            <w:r>
              <w:rPr>
                <w:rFonts w:hint="eastAsia"/>
                <w:color w:val="auto"/>
                <w:lang w:val="en-US" w:eastAsia="zh-CN"/>
              </w:rPr>
              <w:t>10</w:t>
            </w:r>
            <w:r>
              <w:rPr>
                <w:color w:val="auto"/>
              </w:rPr>
              <w:t xml:space="preserve"> </w:t>
            </w:r>
            <w:r>
              <w:rPr>
                <w:rFonts w:hint="eastAsia"/>
                <w:color w:val="auto"/>
              </w:rPr>
              <w:t xml:space="preserve"> 排污</w:t>
            </w:r>
            <w:r>
              <w:rPr>
                <w:color w:val="auto"/>
              </w:rPr>
              <w:t>节点及处理方式一览表</w:t>
            </w:r>
          </w:p>
          <w:tbl>
            <w:tblPr>
              <w:tblpPr w:leftFromText="180" w:rightFromText="180" w:vertAnchor="text" w:tblpXSpec="left" w:tblpY="1"/>
              <w:tblOverlap w:val="never"/>
              <w:tblW w:w="8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667"/>
              <w:gridCol w:w="710"/>
              <w:gridCol w:w="1468"/>
              <w:gridCol w:w="1670"/>
              <w:gridCol w:w="899"/>
              <w:gridCol w:w="2943"/>
            </w:tblGrid>
            <w:tr>
              <w:trPr>
                <w:trHeight w:val="23"/>
              </w:trPr>
              <w:tc>
                <w:tcPr>
                  <w:tcW w:w="667" w:type="dxa"/>
                  <w:vAlign w:val="center"/>
                </w:tcPr>
                <w:p>
                  <w:pPr>
                    <w:pStyle w:val="39"/>
                    <w:rPr>
                      <w:color w:val="auto"/>
                      <w:kern w:val="2"/>
                      <w:szCs w:val="21"/>
                    </w:rPr>
                  </w:pPr>
                  <w:r>
                    <w:rPr>
                      <w:rFonts w:hint="eastAsia"/>
                      <w:color w:val="auto"/>
                      <w:kern w:val="2"/>
                      <w:szCs w:val="21"/>
                    </w:rPr>
                    <w:t>项目</w:t>
                  </w:r>
                </w:p>
              </w:tc>
              <w:tc>
                <w:tcPr>
                  <w:tcW w:w="710" w:type="dxa"/>
                  <w:vAlign w:val="center"/>
                </w:tcPr>
                <w:p>
                  <w:pPr>
                    <w:pStyle w:val="39"/>
                    <w:rPr>
                      <w:color w:val="auto"/>
                      <w:kern w:val="2"/>
                      <w:szCs w:val="21"/>
                    </w:rPr>
                  </w:pPr>
                  <w:r>
                    <w:rPr>
                      <w:rFonts w:hint="eastAsia"/>
                      <w:color w:val="auto"/>
                    </w:rPr>
                    <w:t>序号</w:t>
                  </w:r>
                </w:p>
              </w:tc>
              <w:tc>
                <w:tcPr>
                  <w:tcW w:w="1468" w:type="dxa"/>
                  <w:vAlign w:val="center"/>
                </w:tcPr>
                <w:p>
                  <w:pPr>
                    <w:pStyle w:val="39"/>
                    <w:rPr>
                      <w:color w:val="auto"/>
                      <w:kern w:val="2"/>
                      <w:szCs w:val="21"/>
                    </w:rPr>
                  </w:pPr>
                  <w:r>
                    <w:rPr>
                      <w:rFonts w:hint="eastAsia"/>
                      <w:color w:val="auto"/>
                    </w:rPr>
                    <w:t>污染源</w:t>
                  </w:r>
                </w:p>
              </w:tc>
              <w:tc>
                <w:tcPr>
                  <w:tcW w:w="1670" w:type="dxa"/>
                  <w:vAlign w:val="center"/>
                </w:tcPr>
                <w:p>
                  <w:pPr>
                    <w:pStyle w:val="39"/>
                    <w:rPr>
                      <w:color w:val="auto"/>
                      <w:kern w:val="2"/>
                      <w:szCs w:val="21"/>
                    </w:rPr>
                  </w:pPr>
                  <w:r>
                    <w:rPr>
                      <w:rFonts w:hint="eastAsia"/>
                      <w:color w:val="auto"/>
                    </w:rPr>
                    <w:t>污染物</w:t>
                  </w:r>
                </w:p>
              </w:tc>
              <w:tc>
                <w:tcPr>
                  <w:tcW w:w="899" w:type="dxa"/>
                  <w:vAlign w:val="center"/>
                </w:tcPr>
                <w:p>
                  <w:pPr>
                    <w:pStyle w:val="39"/>
                    <w:rPr>
                      <w:color w:val="auto"/>
                    </w:rPr>
                  </w:pPr>
                  <w:r>
                    <w:rPr>
                      <w:rFonts w:hint="eastAsia"/>
                      <w:color w:val="auto"/>
                    </w:rPr>
                    <w:t>排放</w:t>
                  </w:r>
                </w:p>
                <w:p>
                  <w:pPr>
                    <w:pStyle w:val="39"/>
                    <w:rPr>
                      <w:rFonts w:eastAsia="宋体" w:hint="eastAsia"/>
                      <w:color w:val="auto"/>
                      <w:kern w:val="2"/>
                      <w:szCs w:val="21"/>
                      <w:lang w:eastAsia="zh-CN"/>
                    </w:rPr>
                  </w:pPr>
                  <w:r>
                    <w:rPr>
                      <w:rFonts w:hint="eastAsia"/>
                      <w:color w:val="auto"/>
                      <w:lang w:val="en-US" w:eastAsia="zh-CN"/>
                    </w:rPr>
                    <w:t>特征</w:t>
                  </w:r>
                </w:p>
              </w:tc>
              <w:tc>
                <w:tcPr>
                  <w:tcW w:w="2943" w:type="dxa"/>
                  <w:vAlign w:val="center"/>
                </w:tcPr>
                <w:p>
                  <w:pPr>
                    <w:pStyle w:val="39"/>
                    <w:rPr>
                      <w:color w:val="auto"/>
                      <w:kern w:val="2"/>
                      <w:szCs w:val="21"/>
                    </w:rPr>
                  </w:pPr>
                  <w:r>
                    <w:rPr>
                      <w:rFonts w:hint="eastAsia"/>
                      <w:color w:val="auto"/>
                    </w:rPr>
                    <w:t>治理措施</w:t>
                  </w:r>
                </w:p>
              </w:tc>
            </w:tr>
            <w:tr>
              <w:trPr>
                <w:trHeight w:val="23"/>
              </w:trPr>
              <w:tc>
                <w:tcPr>
                  <w:tcW w:w="667" w:type="dxa"/>
                  <w:vMerge w:val="restart"/>
                  <w:vAlign w:val="center"/>
                </w:tcPr>
                <w:p>
                  <w:pPr>
                    <w:pStyle w:val="39"/>
                    <w:rPr>
                      <w:color w:val="auto"/>
                    </w:rPr>
                  </w:pPr>
                  <w:r>
                    <w:rPr>
                      <w:rFonts w:hint="eastAsia"/>
                      <w:color w:val="auto"/>
                    </w:rPr>
                    <w:t>废气</w:t>
                  </w: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G</w:t>
                  </w:r>
                  <w:r>
                    <w:rPr>
                      <w:rFonts w:hint="eastAsia"/>
                      <w:color w:val="auto"/>
                      <w:lang w:val="en-US" w:eastAsia="zh-CN"/>
                    </w:rPr>
                    <w:t>1</w:t>
                  </w:r>
                </w:p>
              </w:tc>
              <w:tc>
                <w:tcPr>
                  <w:tcW w:w="1468" w:type="dxa"/>
                  <w:tcBorders>
                    <w:bottom w:val="single" w:sz="4" w:space="0" w:color="auto"/>
                  </w:tcBorders>
                  <w:vAlign w:val="center"/>
                </w:tcPr>
                <w:p>
                  <w:pPr>
                    <w:pStyle w:val="39"/>
                    <w:rPr>
                      <w:color w:val="auto"/>
                      <w:lang w:val="en-US" w:eastAsia="zh-CN"/>
                    </w:rPr>
                  </w:pPr>
                  <w:r>
                    <w:rPr>
                      <w:rFonts w:hint="eastAsia"/>
                      <w:color w:val="auto"/>
                      <w:lang w:val="en-US" w:eastAsia="zh-CN"/>
                    </w:rPr>
                    <w:t>化验室</w:t>
                  </w:r>
                </w:p>
              </w:tc>
              <w:tc>
                <w:tcPr>
                  <w:tcW w:w="1670" w:type="dxa"/>
                  <w:tcBorders>
                    <w:bottom w:val="single" w:sz="4" w:space="0" w:color="auto"/>
                  </w:tcBorders>
                  <w:vAlign w:val="center"/>
                </w:tcPr>
                <w:p>
                  <w:pPr>
                    <w:pStyle w:val="39"/>
                    <w:rPr>
                      <w:rFonts w:eastAsia="宋体"/>
                      <w:color w:val="auto"/>
                      <w:lang w:val="en-US" w:eastAsia="zh-CN"/>
                    </w:rPr>
                  </w:pPr>
                  <w:r>
                    <w:rPr>
                      <w:rFonts w:hint="eastAsia"/>
                      <w:color w:val="auto"/>
                      <w:lang w:val="en-US" w:eastAsia="zh-CN"/>
                    </w:rPr>
                    <w:t>硫酸雾、氯化氢、氮氧化物、非甲烷总烃</w:t>
                  </w:r>
                </w:p>
              </w:tc>
              <w:tc>
                <w:tcPr>
                  <w:tcW w:w="899" w:type="dxa"/>
                  <w:tcBorders>
                    <w:bottom w:val="single" w:sz="4" w:space="0" w:color="auto"/>
                  </w:tcBorders>
                  <w:vAlign w:val="center"/>
                </w:tcPr>
                <w:p>
                  <w:pPr>
                    <w:pStyle w:val="39"/>
                    <w:rPr>
                      <w:rFonts w:hint="eastAsia"/>
                      <w:color w:val="auto"/>
                      <w:lang w:val="en-US" w:eastAsia="zh-CN"/>
                    </w:rPr>
                  </w:pPr>
                  <w:r>
                    <w:rPr>
                      <w:rFonts w:hint="eastAsia"/>
                      <w:color w:val="auto"/>
                      <w:lang w:val="en-US" w:eastAsia="zh-CN"/>
                    </w:rPr>
                    <w:t>间歇</w:t>
                  </w:r>
                </w:p>
              </w:tc>
              <w:tc>
                <w:tcPr>
                  <w:tcW w:w="2943" w:type="dxa"/>
                  <w:tcBorders>
                    <w:bottom w:val="single" w:sz="4" w:space="0" w:color="auto"/>
                  </w:tcBorders>
                  <w:vAlign w:val="center"/>
                </w:tcPr>
                <w:p>
                  <w:pPr>
                    <w:pStyle w:val="39"/>
                    <w:rPr>
                      <w:color w:val="auto"/>
                      <w:lang w:val="en-US"/>
                    </w:rPr>
                  </w:pPr>
                  <w:r>
                    <w:rPr>
                      <w:rFonts w:hint="eastAsia"/>
                      <w:color w:val="auto"/>
                      <w:lang w:val="en-US" w:eastAsia="zh-CN"/>
                    </w:rPr>
                    <w:t>废气经集气罩收集+二级活性炭吸附装置TA001+干式酸雾净化器+15m排气筒P4</w:t>
                  </w: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G2</w:t>
                  </w:r>
                </w:p>
              </w:tc>
              <w:tc>
                <w:tcPr>
                  <w:tcW w:w="1468" w:type="dxa"/>
                  <w:tcBorders>
                    <w:bottom w:val="single" w:sz="4" w:space="0" w:color="auto"/>
                  </w:tcBorders>
                  <w:vAlign w:val="center"/>
                </w:tcPr>
                <w:p>
                  <w:pPr>
                    <w:pStyle w:val="39"/>
                    <w:rPr>
                      <w:rFonts w:eastAsia="宋体"/>
                      <w:color w:val="auto"/>
                      <w:lang w:val="en-US" w:eastAsia="zh-CN"/>
                    </w:rPr>
                  </w:pPr>
                  <w:r>
                    <w:rPr>
                      <w:rFonts w:hint="eastAsia"/>
                      <w:color w:val="auto"/>
                      <w:lang w:val="en-US" w:eastAsia="zh-CN"/>
                    </w:rPr>
                    <w:t>投料废气</w:t>
                  </w:r>
                </w:p>
              </w:tc>
              <w:tc>
                <w:tcPr>
                  <w:tcW w:w="1670" w:type="dxa"/>
                  <w:tcBorders>
                    <w:bottom w:val="single" w:sz="4" w:space="0" w:color="auto"/>
                  </w:tcBorders>
                  <w:vAlign w:val="center"/>
                </w:tcPr>
                <w:p>
                  <w:pPr>
                    <w:pStyle w:val="39"/>
                    <w:rPr>
                      <w:rFonts w:eastAsia="宋体"/>
                      <w:color w:val="auto"/>
                      <w:lang w:val="en-US" w:eastAsia="zh-CN"/>
                    </w:rPr>
                  </w:pPr>
                  <w:r>
                    <w:rPr>
                      <w:rFonts w:hint="eastAsia"/>
                      <w:b/>
                      <w:bCs/>
                      <w:color w:val="auto"/>
                      <w:lang w:val="en-US" w:eastAsia="zh-CN"/>
                    </w:rPr>
                    <w:t>颗粒物、氨、臭气浓度、甲醛</w:t>
                  </w:r>
                </w:p>
              </w:tc>
              <w:tc>
                <w:tcPr>
                  <w:tcW w:w="899" w:type="dxa"/>
                  <w:tcBorders>
                    <w:bottom w:val="single" w:sz="4" w:space="0" w:color="auto"/>
                  </w:tcBorders>
                  <w:vAlign w:val="center"/>
                </w:tcPr>
                <w:p>
                  <w:pPr>
                    <w:pStyle w:val="39"/>
                    <w:rPr>
                      <w:rFonts w:eastAsia="宋体" w:hint="eastAsia"/>
                      <w:color w:val="auto"/>
                      <w:lang w:val="en-US" w:eastAsia="zh-CN"/>
                    </w:rPr>
                  </w:pPr>
                  <w:r>
                    <w:rPr>
                      <w:rFonts w:hint="eastAsia"/>
                      <w:color w:val="auto"/>
                      <w:lang w:val="en-US" w:eastAsia="zh-CN"/>
                    </w:rPr>
                    <w:t>连续</w:t>
                  </w:r>
                </w:p>
              </w:tc>
              <w:tc>
                <w:tcPr>
                  <w:tcW w:w="2943" w:type="dxa"/>
                  <w:vMerge w:val="restart"/>
                  <w:tcBorders>
                    <w:left w:val="single" w:sz="6" w:space="0" w:color="000000"/>
                  </w:tcBorders>
                  <w:vAlign w:val="center"/>
                </w:tcPr>
                <w:p>
                  <w:pPr>
                    <w:pStyle w:val="39"/>
                    <w:rPr>
                      <w:rFonts w:eastAsia="宋体"/>
                      <w:color w:val="auto"/>
                      <w:lang w:val="en-US" w:eastAsia="zh-CN"/>
                      <w:highlight w:val="yellow"/>
                    </w:rPr>
                  </w:pPr>
                  <w:r>
                    <w:rPr>
                      <w:rFonts w:eastAsia="宋体"/>
                      <w:color w:val="auto"/>
                      <w:lang w:val="en-US" w:eastAsia="zh-CN"/>
                      <w:highlight w:val="none"/>
                    </w:rPr>
                    <w:t>投料废气由集气罩+软帘</w:t>
                  </w:r>
                  <w:r>
                    <w:rPr>
                      <w:rFonts w:hint="eastAsia"/>
                      <w:color w:val="auto"/>
                      <w:lang w:val="en-US" w:eastAsia="zh-CN"/>
                      <w:highlight w:val="none"/>
                    </w:rPr>
                    <w:t>，其他工序废气由</w:t>
                  </w:r>
                  <w:r>
                    <w:rPr>
                      <w:rFonts w:eastAsia="宋体"/>
                      <w:color w:val="auto"/>
                      <w:lang w:val="en-US" w:eastAsia="zh-CN"/>
                      <w:highlight w:val="none"/>
                    </w:rPr>
                    <w:t>密闭管道收集经旋风除尘器TA001+袋式除尘器TA002</w:t>
                  </w:r>
                  <w:r>
                    <w:rPr>
                      <w:rFonts w:hint="eastAsia"/>
                      <w:color w:val="auto"/>
                      <w:lang w:val="en-US" w:eastAsia="zh-CN"/>
                      <w:highlight w:val="none"/>
                    </w:rPr>
                    <w:t>+二级活性炭吸附装置TA002</w:t>
                  </w:r>
                  <w:r>
                    <w:rPr>
                      <w:rFonts w:eastAsia="宋体"/>
                      <w:color w:val="auto"/>
                      <w:lang w:val="en-US" w:eastAsia="zh-CN"/>
                      <w:highlight w:val="none"/>
                    </w:rPr>
                    <w:t>+15m排气筒P2</w:t>
                  </w: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rPr>
                    <w:t>G</w:t>
                  </w:r>
                  <w:r>
                    <w:rPr>
                      <w:rFonts w:hint="eastAsia"/>
                      <w:color w:val="auto"/>
                      <w:lang w:val="en-US" w:eastAsia="zh-CN"/>
                    </w:rPr>
                    <w:t>3</w:t>
                  </w:r>
                </w:p>
              </w:tc>
              <w:tc>
                <w:tcPr>
                  <w:tcW w:w="1468" w:type="dxa"/>
                  <w:tcBorders>
                    <w:bottom w:val="single" w:sz="4" w:space="0" w:color="auto"/>
                  </w:tcBorders>
                  <w:vAlign w:val="center"/>
                </w:tcPr>
                <w:p>
                  <w:pPr>
                    <w:pStyle w:val="39"/>
                    <w:rPr>
                      <w:color w:val="auto"/>
                      <w:lang w:val="en-US" w:eastAsia="zh-CN"/>
                    </w:rPr>
                  </w:pPr>
                  <w:r>
                    <w:rPr>
                      <w:rFonts w:hint="eastAsia"/>
                      <w:color w:val="auto"/>
                      <w:lang w:val="en-US" w:eastAsia="zh-CN"/>
                    </w:rPr>
                    <w:t>第一次破碎工序废气</w:t>
                  </w:r>
                </w:p>
              </w:tc>
              <w:tc>
                <w:tcPr>
                  <w:tcW w:w="1670" w:type="dxa"/>
                  <w:tcBorders>
                    <w:bottom w:val="single" w:sz="4" w:space="0" w:color="auto"/>
                  </w:tcBorders>
                  <w:vAlign w:val="center"/>
                </w:tcPr>
                <w:p>
                  <w:pPr>
                    <w:pStyle w:val="39"/>
                    <w:rPr>
                      <w:rFonts w:eastAsia="宋体"/>
                      <w:b/>
                      <w:bCs/>
                      <w:color w:val="auto"/>
                      <w:lang w:val="en-US" w:eastAsia="zh-CN"/>
                    </w:rPr>
                  </w:pPr>
                  <w:r>
                    <w:rPr>
                      <w:rFonts w:hint="eastAsia"/>
                      <w:b/>
                      <w:bCs/>
                      <w:color w:val="auto"/>
                      <w:lang w:val="en-US" w:eastAsia="zh-CN"/>
                    </w:rPr>
                    <w:t>颗粒物、氨、臭气浓度、甲醛</w:t>
                  </w:r>
                </w:p>
              </w:tc>
              <w:tc>
                <w:tcPr>
                  <w:tcW w:w="899" w:type="dxa"/>
                  <w:tcBorders>
                    <w:bottom w:val="single" w:sz="4" w:space="0" w:color="auto"/>
                  </w:tcBorders>
                  <w:vAlign w:val="center"/>
                </w:tcPr>
                <w:p>
                  <w:pPr>
                    <w:pStyle w:val="39"/>
                    <w:rPr>
                      <w:rFonts w:eastAsia="宋体" w:hint="eastAsia"/>
                      <w:color w:val="auto"/>
                      <w:lang w:val="en-US" w:eastAsia="zh-CN"/>
                    </w:rPr>
                  </w:pPr>
                  <w:r>
                    <w:rPr>
                      <w:rFonts w:hint="eastAsia"/>
                      <w:color w:val="auto"/>
                      <w:lang w:val="en-US" w:eastAsia="zh-CN"/>
                    </w:rPr>
                    <w:t>连续</w:t>
                  </w:r>
                </w:p>
              </w:tc>
              <w:tc>
                <w:tcPr>
                  <w:tcW w:w="2943" w:type="dxa"/>
                  <w:vMerge/>
                  <w:tcBorders>
                    <w:left w:val="single" w:sz="6" w:space="0" w:color="000000"/>
                  </w:tcBorders>
                  <w:vAlign w:val="center"/>
                </w:tcPr>
                <w:p/>
              </w:tc>
            </w:tr>
            <w:tr>
              <w:trPr>
                <w:trHeight w:val="90"/>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G</w:t>
                  </w:r>
                  <w:r>
                    <w:rPr>
                      <w:rFonts w:hint="eastAsia"/>
                      <w:color w:val="auto"/>
                      <w:lang w:val="en-US" w:eastAsia="zh-CN"/>
                    </w:rPr>
                    <w:t>4</w:t>
                  </w:r>
                </w:p>
              </w:tc>
              <w:tc>
                <w:tcPr>
                  <w:tcW w:w="1468" w:type="dxa"/>
                  <w:tcBorders>
                    <w:bottom w:val="single" w:sz="4" w:space="0" w:color="auto"/>
                  </w:tcBorders>
                  <w:vAlign w:val="center"/>
                </w:tcPr>
                <w:p>
                  <w:pPr>
                    <w:pStyle w:val="39"/>
                    <w:rPr>
                      <w:rFonts w:eastAsia="宋体" w:hint="eastAsia"/>
                      <w:color w:val="auto"/>
                      <w:lang w:val="en-US" w:eastAsia="zh-CN"/>
                    </w:rPr>
                  </w:pPr>
                  <w:r>
                    <w:rPr>
                      <w:rFonts w:hint="eastAsia"/>
                      <w:color w:val="auto"/>
                      <w:lang w:val="en-US" w:eastAsia="zh-CN"/>
                    </w:rPr>
                    <w:t>第二次破碎工序废气</w:t>
                  </w:r>
                </w:p>
              </w:tc>
              <w:tc>
                <w:tcPr>
                  <w:tcW w:w="1670" w:type="dxa"/>
                  <w:tcBorders>
                    <w:bottom w:val="single" w:sz="4" w:space="0" w:color="auto"/>
                  </w:tcBorders>
                  <w:vAlign w:val="center"/>
                </w:tcPr>
                <w:p>
                  <w:pPr>
                    <w:pStyle w:val="39"/>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sz="4" w:space="0" w:color="auto"/>
                  </w:tcBorders>
                  <w:vAlign w:val="center"/>
                </w:tcPr>
                <w:p>
                  <w:pPr>
                    <w:pStyle w:val="39"/>
                    <w:rPr>
                      <w:color w:val="auto"/>
                    </w:rPr>
                  </w:pPr>
                  <w:r>
                    <w:rPr>
                      <w:rFonts w:hint="eastAsia"/>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G</w:t>
                  </w:r>
                  <w:r>
                    <w:rPr>
                      <w:rFonts w:hint="eastAsia"/>
                      <w:color w:val="auto"/>
                      <w:lang w:val="en-US" w:eastAsia="zh-CN"/>
                    </w:rPr>
                    <w:t>5</w:t>
                  </w:r>
                </w:p>
              </w:tc>
              <w:tc>
                <w:tcPr>
                  <w:tcW w:w="1468" w:type="dxa"/>
                  <w:tcBorders>
                    <w:bottom w:val="single" w:sz="4" w:space="0" w:color="auto"/>
                  </w:tcBorders>
                  <w:vAlign w:val="center"/>
                </w:tcPr>
                <w:p>
                  <w:pPr>
                    <w:pStyle w:val="39"/>
                    <w:rPr>
                      <w:rFonts w:eastAsia="宋体"/>
                      <w:color w:val="auto"/>
                      <w:lang w:val="en-US" w:eastAsia="zh-CN"/>
                    </w:rPr>
                  </w:pPr>
                  <w:r>
                    <w:rPr>
                      <w:rFonts w:hint="eastAsia"/>
                      <w:color w:val="auto"/>
                      <w:lang w:val="en-US" w:eastAsia="zh-CN"/>
                    </w:rPr>
                    <w:t>挤压造粒工序废气</w:t>
                  </w:r>
                </w:p>
              </w:tc>
              <w:tc>
                <w:tcPr>
                  <w:tcW w:w="1670" w:type="dxa"/>
                  <w:tcBorders>
                    <w:bottom w:val="single" w:sz="4" w:space="0" w:color="auto"/>
                  </w:tcBorders>
                  <w:vAlign w:val="center"/>
                </w:tcPr>
                <w:p>
                  <w:pPr>
                    <w:pStyle w:val="39"/>
                    <w:rPr>
                      <w:rFonts w:eastAsia="宋体"/>
                      <w:b/>
                      <w:bCs/>
                      <w:color w:val="auto"/>
                      <w:lang w:val="en-US" w:eastAsia="zh-CN"/>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sz="4" w:space="0" w:color="auto"/>
                  </w:tcBorders>
                  <w:vAlign w:val="center"/>
                </w:tcPr>
                <w:p>
                  <w:pPr>
                    <w:pStyle w:val="39"/>
                    <w:rPr>
                      <w:color w:val="auto"/>
                    </w:rPr>
                  </w:pPr>
                  <w:r>
                    <w:rPr>
                      <w:rFonts w:hint="eastAsia"/>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G</w:t>
                  </w:r>
                  <w:r>
                    <w:rPr>
                      <w:rFonts w:hint="eastAsia"/>
                      <w:color w:val="auto"/>
                      <w:lang w:val="en-US" w:eastAsia="zh-CN"/>
                    </w:rPr>
                    <w:t>6</w:t>
                  </w:r>
                </w:p>
              </w:tc>
              <w:tc>
                <w:tcPr>
                  <w:tcW w:w="1468" w:type="dxa"/>
                  <w:tcBorders>
                    <w:bottom w:val="single" w:sz="4" w:space="0" w:color="auto"/>
                  </w:tcBorders>
                  <w:vAlign w:val="center"/>
                </w:tcPr>
                <w:p>
                  <w:pPr>
                    <w:pStyle w:val="39"/>
                    <w:rPr>
                      <w:color w:val="auto"/>
                      <w:lang w:val="en-US" w:eastAsia="zh-CN"/>
                    </w:rPr>
                  </w:pPr>
                  <w:r>
                    <w:rPr>
                      <w:rFonts w:hint="eastAsia"/>
                      <w:color w:val="auto"/>
                      <w:lang w:val="en-US" w:eastAsia="zh-CN"/>
                    </w:rPr>
                    <w:t>第一次筛分废气</w:t>
                  </w:r>
                </w:p>
              </w:tc>
              <w:tc>
                <w:tcPr>
                  <w:tcW w:w="1670" w:type="dxa"/>
                  <w:tcBorders>
                    <w:bottom w:val="single" w:sz="4" w:space="0" w:color="auto"/>
                  </w:tcBorders>
                  <w:vAlign w:val="center"/>
                </w:tcPr>
                <w:p>
                  <w:pPr>
                    <w:pStyle w:val="39"/>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sz="4" w:space="0" w:color="auto"/>
                  </w:tcBorders>
                  <w:vAlign w:val="center"/>
                </w:tcPr>
                <w:p>
                  <w:pPr>
                    <w:pStyle w:val="39"/>
                    <w:rPr>
                      <w:color w:val="auto"/>
                    </w:rPr>
                  </w:pPr>
                  <w:r>
                    <w:rPr>
                      <w:rFonts w:hint="eastAsia"/>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b/>
                      <w:bCs/>
                      <w:color w:val="auto"/>
                      <w:kern w:val="0"/>
                      <w:sz w:val="21"/>
                      <w:szCs w:val="24"/>
                      <w:lang w:val="en-US" w:eastAsia="zh-CN" w:bidi="ar-SA"/>
                    </w:rPr>
                  </w:pPr>
                  <w:r>
                    <w:rPr>
                      <w:rFonts w:hint="eastAsia"/>
                      <w:b/>
                      <w:bCs/>
                      <w:color w:val="auto"/>
                    </w:rPr>
                    <w:t>G</w:t>
                  </w:r>
                  <w:r>
                    <w:rPr>
                      <w:rFonts w:hint="eastAsia"/>
                      <w:b/>
                      <w:bCs/>
                      <w:color w:val="auto"/>
                      <w:lang w:val="en-US" w:eastAsia="zh-CN"/>
                    </w:rPr>
                    <w:t>7</w:t>
                  </w:r>
                </w:p>
              </w:tc>
              <w:tc>
                <w:tcPr>
                  <w:tcW w:w="1468" w:type="dxa"/>
                  <w:tcBorders>
                    <w:bottom w:val="single" w:sz="4" w:space="0" w:color="auto"/>
                  </w:tcBorders>
                  <w:vAlign w:val="center"/>
                </w:tcPr>
                <w:p>
                  <w:pPr>
                    <w:pStyle w:val="39"/>
                    <w:rPr>
                      <w:b/>
                      <w:bCs/>
                      <w:color w:val="auto"/>
                      <w:lang w:val="en-US" w:eastAsia="zh-CN"/>
                    </w:rPr>
                  </w:pPr>
                  <w:r>
                    <w:rPr>
                      <w:rFonts w:hint="eastAsia"/>
                      <w:b/>
                      <w:bCs/>
                      <w:color w:val="auto"/>
                      <w:lang w:val="en-US" w:eastAsia="zh-CN"/>
                    </w:rPr>
                    <w:t>整形废气</w:t>
                  </w:r>
                </w:p>
              </w:tc>
              <w:tc>
                <w:tcPr>
                  <w:tcW w:w="1670" w:type="dxa"/>
                  <w:tcBorders>
                    <w:bottom w:val="single" w:sz="4" w:space="0" w:color="auto"/>
                  </w:tcBorders>
                  <w:vAlign w:val="center"/>
                </w:tcPr>
                <w:p>
                  <w:pPr>
                    <w:pStyle w:val="39"/>
                    <w:rPr>
                      <w:b/>
                      <w:bCs/>
                      <w:color w:val="auto"/>
                      <w:lang w:val="en-US"/>
                    </w:rPr>
                  </w:pPr>
                  <w:r>
                    <w:rPr>
                      <w:rFonts w:hint="eastAsia"/>
                      <w:b/>
                      <w:bCs/>
                      <w:color w:val="auto"/>
                      <w:lang w:val="en-US" w:eastAsia="zh-CN"/>
                    </w:rPr>
                    <w:t>颗粒物、氨、臭气浓度、甲醛</w:t>
                  </w:r>
                </w:p>
              </w:tc>
              <w:tc>
                <w:tcPr>
                  <w:tcW w:w="899" w:type="dxa"/>
                  <w:tcBorders>
                    <w:bottom w:val="single" w:sz="4" w:space="0" w:color="auto"/>
                  </w:tcBorders>
                  <w:vAlign w:val="center"/>
                </w:tcPr>
                <w:p>
                  <w:pPr>
                    <w:pStyle w:val="39"/>
                    <w:rPr>
                      <w:rFonts w:hint="eastAsia"/>
                      <w:b/>
                      <w:bCs/>
                      <w:color w:val="auto"/>
                      <w:lang w:val="en-US" w:eastAsia="zh-CN"/>
                    </w:rPr>
                  </w:pPr>
                  <w:r>
                    <w:rPr>
                      <w:rFonts w:hint="eastAsia"/>
                      <w:b/>
                      <w:bCs/>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b/>
                      <w:bCs/>
                      <w:color w:val="auto"/>
                      <w:kern w:val="0"/>
                      <w:sz w:val="21"/>
                      <w:szCs w:val="24"/>
                      <w:lang w:val="en-US" w:eastAsia="zh-CN" w:bidi="ar-SA"/>
                    </w:rPr>
                  </w:pPr>
                  <w:r>
                    <w:rPr>
                      <w:rFonts w:hint="eastAsia"/>
                      <w:b/>
                      <w:bCs/>
                      <w:color w:val="auto"/>
                    </w:rPr>
                    <w:t>G</w:t>
                  </w:r>
                  <w:r>
                    <w:rPr>
                      <w:rFonts w:hint="eastAsia"/>
                      <w:b/>
                      <w:bCs/>
                      <w:color w:val="auto"/>
                      <w:lang w:val="en-US" w:eastAsia="zh-CN"/>
                    </w:rPr>
                    <w:t>8</w:t>
                  </w:r>
                </w:p>
              </w:tc>
              <w:tc>
                <w:tcPr>
                  <w:tcW w:w="1468" w:type="dxa"/>
                  <w:tcBorders>
                    <w:bottom w:val="single" w:sz="4" w:space="0" w:color="auto"/>
                  </w:tcBorders>
                  <w:vAlign w:val="center"/>
                </w:tcPr>
                <w:p>
                  <w:pPr>
                    <w:pStyle w:val="39"/>
                    <w:rPr>
                      <w:b/>
                      <w:bCs/>
                      <w:color w:val="auto"/>
                      <w:lang w:val="en-US" w:eastAsia="zh-CN"/>
                    </w:rPr>
                  </w:pPr>
                  <w:r>
                    <w:rPr>
                      <w:rFonts w:hint="eastAsia"/>
                      <w:b/>
                      <w:bCs/>
                      <w:color w:val="auto"/>
                      <w:lang w:val="en-US" w:eastAsia="zh-CN"/>
                    </w:rPr>
                    <w:t>喷脲废气</w:t>
                  </w:r>
                </w:p>
              </w:tc>
              <w:tc>
                <w:tcPr>
                  <w:tcW w:w="1670" w:type="dxa"/>
                  <w:tcBorders>
                    <w:bottom w:val="single" w:sz="4" w:space="0" w:color="auto"/>
                  </w:tcBorders>
                  <w:vAlign w:val="center"/>
                </w:tcPr>
                <w:p>
                  <w:pPr>
                    <w:pStyle w:val="39"/>
                    <w:rPr>
                      <w:b/>
                      <w:bCs/>
                      <w:color w:val="auto"/>
                      <w:lang w:val="en-US"/>
                    </w:rPr>
                  </w:pPr>
                  <w:r>
                    <w:rPr>
                      <w:rFonts w:hint="eastAsia"/>
                      <w:b/>
                      <w:bCs/>
                      <w:color w:val="auto"/>
                      <w:lang w:val="en-US" w:eastAsia="zh-CN"/>
                    </w:rPr>
                    <w:t>颗粒物、氨、臭气浓度、甲醛</w:t>
                  </w:r>
                </w:p>
              </w:tc>
              <w:tc>
                <w:tcPr>
                  <w:tcW w:w="899" w:type="dxa"/>
                  <w:tcBorders>
                    <w:bottom w:val="single" w:sz="4" w:space="0" w:color="auto"/>
                  </w:tcBorders>
                  <w:vAlign w:val="center"/>
                </w:tcPr>
                <w:p>
                  <w:pPr>
                    <w:pStyle w:val="39"/>
                    <w:rPr>
                      <w:rFonts w:hint="eastAsia"/>
                      <w:b/>
                      <w:bCs/>
                      <w:color w:val="auto"/>
                      <w:lang w:val="en-US" w:eastAsia="zh-CN"/>
                    </w:rPr>
                  </w:pPr>
                  <w:r>
                    <w:rPr>
                      <w:rFonts w:hint="eastAsia"/>
                      <w:b/>
                      <w:bCs/>
                      <w:color w:val="auto"/>
                      <w:lang w:val="en-US" w:eastAsia="zh-CN"/>
                    </w:rPr>
                    <w:t>连续</w:t>
                  </w:r>
                </w:p>
              </w:tc>
              <w:tc>
                <w:tcPr>
                  <w:tcW w:w="2943" w:type="dxa"/>
                  <w:vMerge/>
                  <w:tcBorders>
                    <w:bottom w:val="single" w:sz="4" w:space="0" w:color="auto"/>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G</w:t>
                  </w:r>
                  <w:r>
                    <w:rPr>
                      <w:rFonts w:hint="eastAsia"/>
                      <w:color w:val="auto"/>
                      <w:lang w:val="en-US" w:eastAsia="zh-CN"/>
                    </w:rPr>
                    <w:t>9</w:t>
                  </w:r>
                </w:p>
              </w:tc>
              <w:tc>
                <w:tcPr>
                  <w:tcW w:w="1468" w:type="dxa"/>
                  <w:tcBorders>
                    <w:bottom w:val="single" w:sz="4" w:space="0" w:color="auto"/>
                  </w:tcBorders>
                  <w:vAlign w:val="center"/>
                </w:tcPr>
                <w:p>
                  <w:pPr>
                    <w:pStyle w:val="39"/>
                    <w:rPr>
                      <w:color w:val="auto"/>
                      <w:lang w:val="en-US" w:eastAsia="zh-CN"/>
                    </w:rPr>
                  </w:pPr>
                  <w:r>
                    <w:rPr>
                      <w:rFonts w:hint="eastAsia"/>
                      <w:color w:val="auto"/>
                      <w:lang w:val="en-US" w:eastAsia="zh-CN"/>
                    </w:rPr>
                    <w:t>烘干废气</w:t>
                  </w:r>
                </w:p>
              </w:tc>
              <w:tc>
                <w:tcPr>
                  <w:tcW w:w="1670" w:type="dxa"/>
                  <w:tcBorders>
                    <w:bottom w:val="single" w:sz="4" w:space="0" w:color="auto"/>
                  </w:tcBorders>
                  <w:vAlign w:val="center"/>
                </w:tcPr>
                <w:p>
                  <w:pPr>
                    <w:pStyle w:val="39"/>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sz="4" w:space="0" w:color="auto"/>
                  </w:tcBorders>
                  <w:vAlign w:val="center"/>
                </w:tcPr>
                <w:p>
                  <w:pPr>
                    <w:pStyle w:val="39"/>
                    <w:rPr>
                      <w:color w:val="auto"/>
                    </w:rPr>
                  </w:pPr>
                  <w:r>
                    <w:rPr>
                      <w:rFonts w:hint="eastAsia"/>
                      <w:color w:val="auto"/>
                      <w:lang w:val="en-US" w:eastAsia="zh-CN"/>
                    </w:rPr>
                    <w:t>连续</w:t>
                  </w:r>
                </w:p>
              </w:tc>
              <w:tc>
                <w:tcPr>
                  <w:tcW w:w="2943" w:type="dxa"/>
                  <w:vMerge w:val="restart"/>
                  <w:tcBorders>
                    <w:top w:val="single" w:sz="4" w:space="0" w:color="auto"/>
                  </w:tcBorders>
                  <w:vAlign w:val="center"/>
                </w:tcPr>
                <w:p>
                  <w:pPr>
                    <w:pStyle w:val="39"/>
                    <w:rPr>
                      <w:rFonts w:hint="eastAsia"/>
                      <w:color w:val="auto"/>
                      <w:lang w:val="en-US" w:eastAsia="zh-CN"/>
                      <w:highlight w:val="none"/>
                    </w:rPr>
                  </w:pPr>
                  <w:r>
                    <w:rPr>
                      <w:rFonts w:hint="eastAsia"/>
                      <w:color w:val="auto"/>
                      <w:lang w:val="en-US" w:eastAsia="zh-CN"/>
                      <w:highlight w:val="none"/>
                    </w:rPr>
                    <w:t>管道收集经旋风除尘器TA002+袋式除尘器TA003+旋转吸附机+水喷淋塔+15m排气筒P3</w:t>
                  </w: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rPr>
                    <w:t>G</w:t>
                  </w:r>
                  <w:r>
                    <w:rPr>
                      <w:rFonts w:hint="eastAsia"/>
                      <w:color w:val="auto"/>
                      <w:lang w:val="en-US" w:eastAsia="zh-CN"/>
                    </w:rPr>
                    <w:t>10</w:t>
                  </w:r>
                </w:p>
              </w:tc>
              <w:tc>
                <w:tcPr>
                  <w:tcW w:w="1468" w:type="dxa"/>
                  <w:tcBorders>
                    <w:bottom w:val="single" w:sz="4" w:space="0" w:color="auto"/>
                  </w:tcBorders>
                  <w:vAlign w:val="center"/>
                </w:tcPr>
                <w:p>
                  <w:pPr>
                    <w:pStyle w:val="39"/>
                    <w:rPr>
                      <w:color w:val="auto"/>
                      <w:lang w:val="en-US" w:eastAsia="zh-CN"/>
                    </w:rPr>
                  </w:pPr>
                  <w:r>
                    <w:rPr>
                      <w:rFonts w:hint="eastAsia"/>
                      <w:color w:val="auto"/>
                      <w:lang w:val="en-US" w:eastAsia="zh-CN"/>
                    </w:rPr>
                    <w:t>燃烧烟气</w:t>
                  </w:r>
                </w:p>
              </w:tc>
              <w:tc>
                <w:tcPr>
                  <w:tcW w:w="1670" w:type="dxa"/>
                  <w:tcBorders>
                    <w:bottom w:val="single" w:sz="4" w:space="0" w:color="auto"/>
                  </w:tcBorders>
                  <w:vAlign w:val="center"/>
                </w:tcPr>
                <w:p>
                  <w:pPr>
                    <w:pStyle w:val="39"/>
                    <w:rPr>
                      <w:rFonts w:eastAsia="宋体"/>
                      <w:b/>
                      <w:bCs/>
                      <w:color w:val="auto"/>
                      <w:lang w:val="en-US" w:eastAsia="zh-CN"/>
                    </w:rPr>
                  </w:pPr>
                  <w:r>
                    <w:rPr>
                      <w:rFonts w:hint="eastAsia"/>
                      <w:b/>
                      <w:bCs/>
                      <w:color w:val="auto"/>
                      <w:lang w:val="en-US" w:eastAsia="zh-CN"/>
                    </w:rPr>
                    <w:t>二氧化硫、氮氧化物、颗粒物、烟气黑度</w:t>
                  </w:r>
                </w:p>
              </w:tc>
              <w:tc>
                <w:tcPr>
                  <w:tcW w:w="899" w:type="dxa"/>
                  <w:tcBorders>
                    <w:bottom w:val="single" w:sz="4" w:space="0" w:color="auto"/>
                  </w:tcBorders>
                  <w:vAlign w:val="center"/>
                </w:tcPr>
                <w:p>
                  <w:pPr>
                    <w:pStyle w:val="39"/>
                    <w:rPr>
                      <w:color w:val="auto"/>
                    </w:rPr>
                  </w:pPr>
                  <w:r>
                    <w:rPr>
                      <w:rFonts w:hint="eastAsia"/>
                      <w:color w:val="auto"/>
                      <w:lang w:val="en-US" w:eastAsia="zh-CN"/>
                    </w:rPr>
                    <w:t>连续</w:t>
                  </w:r>
                </w:p>
              </w:tc>
              <w:tc>
                <w:tcPr>
                  <w:tcW w:w="2943" w:type="dxa"/>
                  <w:vMerge/>
                  <w:tcBorders>
                    <w:bottom w:val="single" w:sz="4" w:space="0" w:color="auto"/>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rPr>
                    <w:t>G</w:t>
                  </w:r>
                  <w:r>
                    <w:rPr>
                      <w:rFonts w:hint="eastAsia"/>
                      <w:color w:val="auto"/>
                      <w:lang w:val="en-US" w:eastAsia="zh-CN"/>
                    </w:rPr>
                    <w:t>11</w:t>
                  </w:r>
                </w:p>
              </w:tc>
              <w:tc>
                <w:tcPr>
                  <w:tcW w:w="1468" w:type="dxa"/>
                  <w:tcBorders>
                    <w:bottom w:val="single" w:sz="4" w:space="0" w:color="auto"/>
                  </w:tcBorders>
                  <w:vAlign w:val="center"/>
                </w:tcPr>
                <w:p>
                  <w:pPr>
                    <w:pStyle w:val="39"/>
                    <w:rPr>
                      <w:rFonts w:hint="eastAsia"/>
                      <w:color w:val="auto"/>
                      <w:lang w:val="en-US" w:eastAsia="zh-CN"/>
                    </w:rPr>
                  </w:pPr>
                  <w:r>
                    <w:rPr>
                      <w:rFonts w:hint="eastAsia"/>
                      <w:color w:val="auto"/>
                      <w:lang w:val="en-US" w:eastAsia="zh-CN"/>
                    </w:rPr>
                    <w:t>冷却工序废气</w:t>
                  </w:r>
                </w:p>
              </w:tc>
              <w:tc>
                <w:tcPr>
                  <w:tcW w:w="1670" w:type="dxa"/>
                  <w:tcBorders>
                    <w:bottom w:val="single" w:sz="4" w:space="0" w:color="auto"/>
                  </w:tcBorders>
                  <w:vAlign w:val="center"/>
                </w:tcPr>
                <w:p>
                  <w:pPr>
                    <w:pStyle w:val="39"/>
                    <w:rPr>
                      <w:b/>
                      <w:bCs/>
                      <w:color w:val="auto"/>
                      <w:lang w:val="en-US"/>
                    </w:rPr>
                  </w:pPr>
                  <w:r>
                    <w:rPr>
                      <w:b/>
                      <w:bCs/>
                      <w:color w:val="auto"/>
                    </w:rPr>
                    <w:t>颗粒物</w:t>
                  </w:r>
                  <w:r>
                    <w:rPr>
                      <w:rFonts w:hint="eastAsia"/>
                      <w:b/>
                      <w:bCs/>
                      <w:color w:val="auto"/>
                      <w:lang w:eastAsia="zh-CN"/>
                    </w:rPr>
                    <w:t>、</w:t>
                  </w:r>
                  <w:r>
                    <w:rPr>
                      <w:rFonts w:hint="eastAsia"/>
                      <w:b/>
                      <w:bCs/>
                      <w:color w:val="auto"/>
                      <w:lang w:val="en-US" w:eastAsia="zh-CN"/>
                    </w:rPr>
                    <w:t>氨、臭气浓度、甲醛</w:t>
                  </w:r>
                </w:p>
              </w:tc>
              <w:tc>
                <w:tcPr>
                  <w:tcW w:w="899" w:type="dxa"/>
                  <w:tcBorders>
                    <w:bottom w:val="single" w:sz="4" w:space="0" w:color="auto"/>
                  </w:tcBorders>
                  <w:vAlign w:val="center"/>
                </w:tcPr>
                <w:p>
                  <w:pPr>
                    <w:pStyle w:val="39"/>
                    <w:rPr>
                      <w:color w:val="auto"/>
                    </w:rPr>
                  </w:pPr>
                  <w:r>
                    <w:rPr>
                      <w:rFonts w:hint="eastAsia"/>
                      <w:color w:val="auto"/>
                      <w:lang w:val="en-US" w:eastAsia="zh-CN"/>
                    </w:rPr>
                    <w:t>连续</w:t>
                  </w:r>
                </w:p>
              </w:tc>
              <w:tc>
                <w:tcPr>
                  <w:tcW w:w="2943" w:type="dxa"/>
                  <w:vMerge w:val="restart"/>
                  <w:tcBorders>
                    <w:top w:val="single" w:sz="4" w:space="0" w:color="auto"/>
                  </w:tcBorders>
                  <w:vAlign w:val="center"/>
                </w:tcPr>
                <w:p>
                  <w:pPr>
                    <w:pStyle w:val="39"/>
                    <w:rPr>
                      <w:color w:val="auto"/>
                      <w:lang w:val="en-US" w:eastAsia="zh-CN"/>
                      <w:highlight w:val="none"/>
                    </w:rPr>
                  </w:pPr>
                  <w:r>
                    <w:rPr>
                      <w:rFonts w:hint="eastAsia"/>
                      <w:color w:val="auto"/>
                      <w:lang w:val="en-US" w:eastAsia="zh-CN"/>
                      <w:highlight w:val="none"/>
                    </w:rPr>
                    <w:t>装袋工序废气由集气罩+软帘，其他工序废气由密闭管道收集经旋风除尘器TA001+袋式除尘器TA002+二级活性炭吸附装置TA002+15m排气筒P2</w:t>
                  </w: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G12</w:t>
                  </w:r>
                </w:p>
              </w:tc>
              <w:tc>
                <w:tcPr>
                  <w:tcW w:w="1468" w:type="dxa"/>
                  <w:tcBorders>
                    <w:bottom w:val="single" w:sz="4" w:space="0" w:color="auto"/>
                  </w:tcBorders>
                  <w:vAlign w:val="center"/>
                </w:tcPr>
                <w:p>
                  <w:pPr>
                    <w:pStyle w:val="39"/>
                    <w:rPr>
                      <w:rFonts w:eastAsia="宋体"/>
                      <w:color w:val="auto"/>
                      <w:lang w:val="en-US" w:eastAsia="zh-CN"/>
                    </w:rPr>
                  </w:pPr>
                  <w:r>
                    <w:rPr>
                      <w:rFonts w:hint="eastAsia"/>
                      <w:color w:val="auto"/>
                      <w:lang w:val="en-US" w:eastAsia="zh-CN"/>
                    </w:rPr>
                    <w:t>第二次筛分废气</w:t>
                  </w:r>
                </w:p>
              </w:tc>
              <w:tc>
                <w:tcPr>
                  <w:tcW w:w="1670" w:type="dxa"/>
                  <w:tcBorders>
                    <w:bottom w:val="single" w:sz="4" w:space="0" w:color="auto"/>
                  </w:tcBorders>
                  <w:vAlign w:val="center"/>
                </w:tcPr>
                <w:p>
                  <w:pPr>
                    <w:pStyle w:val="39"/>
                    <w:rPr>
                      <w:rFonts w:eastAsia="宋体"/>
                      <w:b/>
                      <w:bCs/>
                      <w:color w:val="auto"/>
                      <w:lang w:val="en-US" w:eastAsia="zh-CN"/>
                    </w:rPr>
                  </w:pPr>
                  <w:r>
                    <w:rPr>
                      <w:rFonts w:hint="eastAsia"/>
                      <w:b/>
                      <w:bCs/>
                      <w:color w:val="auto"/>
                      <w:lang w:val="en-US" w:eastAsia="zh-CN"/>
                    </w:rPr>
                    <w:t>颗粒物、氨、臭气浓度、甲醛</w:t>
                  </w:r>
                </w:p>
              </w:tc>
              <w:tc>
                <w:tcPr>
                  <w:tcW w:w="899" w:type="dxa"/>
                  <w:tcBorders>
                    <w:bottom w:val="single" w:sz="4" w:space="0" w:color="auto"/>
                  </w:tcBorders>
                  <w:vAlign w:val="center"/>
                </w:tcPr>
                <w:p>
                  <w:pPr>
                    <w:pStyle w:val="39"/>
                    <w:rPr>
                      <w:color w:val="auto"/>
                    </w:rPr>
                  </w:pPr>
                  <w:r>
                    <w:rPr>
                      <w:rFonts w:hint="eastAsia"/>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b/>
                      <w:bCs/>
                      <w:color w:val="auto"/>
                      <w:lang w:val="en-US" w:eastAsia="zh-CN"/>
                    </w:rPr>
                  </w:pPr>
                  <w:r>
                    <w:rPr>
                      <w:rFonts w:hint="eastAsia"/>
                      <w:b/>
                      <w:bCs/>
                      <w:color w:val="auto"/>
                      <w:lang w:val="en-US" w:eastAsia="zh-CN"/>
                    </w:rPr>
                    <w:t>G13</w:t>
                  </w:r>
                </w:p>
              </w:tc>
              <w:tc>
                <w:tcPr>
                  <w:tcW w:w="1468" w:type="dxa"/>
                  <w:tcBorders>
                    <w:bottom w:val="single" w:sz="4" w:space="0" w:color="auto"/>
                  </w:tcBorders>
                  <w:vAlign w:val="center"/>
                </w:tcPr>
                <w:p>
                  <w:pPr>
                    <w:pStyle w:val="39"/>
                    <w:rPr>
                      <w:b/>
                      <w:bCs/>
                      <w:color w:val="auto"/>
                      <w:lang w:val="en-US" w:eastAsia="zh-CN"/>
                    </w:rPr>
                  </w:pPr>
                  <w:r>
                    <w:rPr>
                      <w:rFonts w:hint="eastAsia"/>
                      <w:b/>
                      <w:bCs/>
                      <w:color w:val="auto"/>
                      <w:lang w:val="en-US" w:eastAsia="zh-CN"/>
                    </w:rPr>
                    <w:t>裹油废气</w:t>
                  </w:r>
                </w:p>
              </w:tc>
              <w:tc>
                <w:tcPr>
                  <w:tcW w:w="1670" w:type="dxa"/>
                  <w:tcBorders>
                    <w:bottom w:val="single" w:sz="4" w:space="0" w:color="auto"/>
                  </w:tcBorders>
                  <w:vAlign w:val="center"/>
                </w:tcPr>
                <w:p>
                  <w:pPr>
                    <w:pStyle w:val="39"/>
                    <w:rPr>
                      <w:b/>
                      <w:bCs/>
                      <w:color w:val="auto"/>
                      <w:lang w:val="en-US" w:eastAsia="zh-CN"/>
                    </w:rPr>
                  </w:pPr>
                  <w:r>
                    <w:rPr>
                      <w:rFonts w:hint="eastAsia"/>
                      <w:b/>
                      <w:bCs/>
                      <w:color w:val="auto"/>
                      <w:lang w:val="en-US" w:eastAsia="zh-CN"/>
                    </w:rPr>
                    <w:t>颗粒物、氨、臭气浓度、甲醛、非甲烷总烃</w:t>
                  </w:r>
                </w:p>
              </w:tc>
              <w:tc>
                <w:tcPr>
                  <w:tcW w:w="899" w:type="dxa"/>
                  <w:tcBorders>
                    <w:bottom w:val="single" w:sz="4" w:space="0" w:color="auto"/>
                  </w:tcBorders>
                  <w:vAlign w:val="center"/>
                </w:tcPr>
                <w:p>
                  <w:pPr>
                    <w:pStyle w:val="39"/>
                    <w:rPr>
                      <w:rFonts w:hint="eastAsia"/>
                      <w:b/>
                      <w:bCs/>
                      <w:color w:val="auto"/>
                      <w:lang w:val="en-US" w:eastAsia="zh-CN"/>
                    </w:rPr>
                  </w:pPr>
                  <w:r>
                    <w:rPr>
                      <w:rFonts w:hint="eastAsia"/>
                      <w:b/>
                      <w:bCs/>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b/>
                      <w:bCs/>
                      <w:color w:val="auto"/>
                      <w:lang w:val="en-US" w:eastAsia="zh-CN"/>
                    </w:rPr>
                  </w:pPr>
                  <w:r>
                    <w:rPr>
                      <w:rFonts w:hint="eastAsia"/>
                      <w:b/>
                      <w:bCs/>
                      <w:color w:val="auto"/>
                      <w:lang w:val="en-US" w:eastAsia="zh-CN"/>
                    </w:rPr>
                    <w:t>G14</w:t>
                  </w:r>
                </w:p>
              </w:tc>
              <w:tc>
                <w:tcPr>
                  <w:tcW w:w="1468" w:type="dxa"/>
                  <w:tcBorders>
                    <w:bottom w:val="single" w:sz="4" w:space="0" w:color="auto"/>
                  </w:tcBorders>
                  <w:vAlign w:val="center"/>
                </w:tcPr>
                <w:p>
                  <w:pPr>
                    <w:pStyle w:val="39"/>
                    <w:rPr>
                      <w:b/>
                      <w:bCs/>
                      <w:color w:val="auto"/>
                      <w:lang w:val="en-US" w:eastAsia="zh-CN"/>
                    </w:rPr>
                  </w:pPr>
                  <w:r>
                    <w:rPr>
                      <w:rFonts w:hint="eastAsia"/>
                      <w:b/>
                      <w:bCs/>
                      <w:color w:val="auto"/>
                      <w:lang w:val="en-US" w:eastAsia="zh-CN"/>
                    </w:rPr>
                    <w:t>铺粉废气</w:t>
                  </w:r>
                </w:p>
              </w:tc>
              <w:tc>
                <w:tcPr>
                  <w:tcW w:w="1670" w:type="dxa"/>
                  <w:tcBorders>
                    <w:bottom w:val="single" w:sz="4" w:space="0" w:color="auto"/>
                  </w:tcBorders>
                  <w:vAlign w:val="center"/>
                </w:tcPr>
                <w:p>
                  <w:pPr>
                    <w:pStyle w:val="39"/>
                    <w:rPr>
                      <w:rFonts w:hint="eastAsia"/>
                      <w:b/>
                      <w:bCs/>
                      <w:color w:val="auto"/>
                      <w:lang w:val="en-US" w:eastAsia="zh-CN"/>
                    </w:rPr>
                  </w:pPr>
                  <w:r>
                    <w:rPr>
                      <w:rFonts w:hint="eastAsia"/>
                      <w:b/>
                      <w:bCs/>
                      <w:color w:val="auto"/>
                      <w:lang w:val="en-US" w:eastAsia="zh-CN"/>
                    </w:rPr>
                    <w:t>颗粒物、氨、臭气浓度、甲醛、非甲烷总烃</w:t>
                  </w:r>
                </w:p>
              </w:tc>
              <w:tc>
                <w:tcPr>
                  <w:tcW w:w="899" w:type="dxa"/>
                  <w:tcBorders>
                    <w:bottom w:val="single" w:sz="4" w:space="0" w:color="auto"/>
                  </w:tcBorders>
                  <w:vAlign w:val="center"/>
                </w:tcPr>
                <w:p>
                  <w:pPr>
                    <w:pStyle w:val="39"/>
                    <w:rPr>
                      <w:rFonts w:hint="eastAsia"/>
                      <w:b/>
                      <w:bCs/>
                      <w:color w:val="auto"/>
                      <w:lang w:val="en-US" w:eastAsia="zh-CN"/>
                    </w:rPr>
                  </w:pPr>
                  <w:r>
                    <w:rPr>
                      <w:rFonts w:hint="eastAsia"/>
                      <w:b/>
                      <w:bCs/>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G15</w:t>
                  </w:r>
                </w:p>
              </w:tc>
              <w:tc>
                <w:tcPr>
                  <w:tcW w:w="1468" w:type="dxa"/>
                  <w:tcBorders>
                    <w:bottom w:val="single" w:sz="4" w:space="0" w:color="auto"/>
                  </w:tcBorders>
                  <w:vAlign w:val="center"/>
                </w:tcPr>
                <w:p>
                  <w:pPr>
                    <w:pStyle w:val="39"/>
                    <w:rPr>
                      <w:rFonts w:hint="eastAsia"/>
                      <w:color w:val="auto"/>
                      <w:lang w:val="en-US" w:eastAsia="zh-CN"/>
                    </w:rPr>
                  </w:pPr>
                  <w:r>
                    <w:rPr>
                      <w:rFonts w:hint="eastAsia"/>
                      <w:color w:val="auto"/>
                      <w:lang w:val="en-US" w:eastAsia="zh-CN"/>
                    </w:rPr>
                    <w:t>抛光工序废气</w:t>
                  </w:r>
                </w:p>
              </w:tc>
              <w:tc>
                <w:tcPr>
                  <w:tcW w:w="1670" w:type="dxa"/>
                  <w:tcBorders>
                    <w:bottom w:val="single" w:sz="4" w:space="0" w:color="auto"/>
                  </w:tcBorders>
                  <w:vAlign w:val="center"/>
                </w:tcPr>
                <w:p>
                  <w:pPr>
                    <w:pStyle w:val="39"/>
                    <w:rPr>
                      <w:rFonts w:hint="eastAsia"/>
                      <w:b/>
                      <w:bCs/>
                      <w:color w:val="auto"/>
                      <w:lang w:val="en-US" w:eastAsia="zh-CN"/>
                    </w:rPr>
                  </w:pPr>
                  <w:r>
                    <w:rPr>
                      <w:rFonts w:hint="eastAsia"/>
                      <w:b/>
                      <w:bCs/>
                      <w:color w:val="auto"/>
                      <w:lang w:val="en-US" w:eastAsia="zh-CN"/>
                    </w:rPr>
                    <w:t>颗粒物、氨、臭气浓度、甲醛、非甲烷总烃</w:t>
                  </w:r>
                </w:p>
              </w:tc>
              <w:tc>
                <w:tcPr>
                  <w:tcW w:w="899" w:type="dxa"/>
                  <w:tcBorders>
                    <w:bottom w:val="single" w:sz="4" w:space="0" w:color="auto"/>
                  </w:tcBorders>
                  <w:vAlign w:val="center"/>
                </w:tcPr>
                <w:p>
                  <w:pPr>
                    <w:pStyle w:val="39"/>
                    <w:rPr>
                      <w:rFonts w:hint="eastAsia"/>
                      <w:color w:val="auto"/>
                      <w:lang w:val="en-US" w:eastAsia="zh-CN"/>
                    </w:rPr>
                  </w:pPr>
                  <w:r>
                    <w:rPr>
                      <w:rFonts w:hint="eastAsia"/>
                      <w:color w:val="auto"/>
                      <w:lang w:val="en-US" w:eastAsia="zh-CN"/>
                    </w:rPr>
                    <w:t>连续</w:t>
                  </w: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tcBorders>
                    <w:left w:val="single" w:sz="6" w:space="0" w:color="000000"/>
                  </w:tcBorders>
                  <w:vAlign w:val="center"/>
                </w:tcPr>
                <w:p>
                  <w:pPr>
                    <w:pStyle w:val="39"/>
                    <w:rPr>
                      <w:rFonts w:eastAsia="宋体"/>
                      <w:color w:val="auto"/>
                      <w:lang w:val="en-US" w:eastAsia="zh-CN"/>
                    </w:rPr>
                  </w:pPr>
                  <w:r>
                    <w:rPr>
                      <w:rFonts w:hint="eastAsia"/>
                      <w:color w:val="auto"/>
                      <w:lang w:val="en-US" w:eastAsia="zh-CN"/>
                    </w:rPr>
                    <w:t>G16</w:t>
                  </w:r>
                </w:p>
              </w:tc>
              <w:tc>
                <w:tcPr>
                  <w:tcW w:w="1468" w:type="dxa"/>
                  <w:tcBorders>
                    <w:bottom w:val="single" w:sz="4" w:space="0" w:color="auto"/>
                  </w:tcBorders>
                  <w:vAlign w:val="center"/>
                </w:tcPr>
                <w:p>
                  <w:pPr>
                    <w:pStyle w:val="39"/>
                    <w:rPr>
                      <w:rFonts w:hint="eastAsia"/>
                      <w:color w:val="auto"/>
                      <w:lang w:val="en-US" w:eastAsia="zh-CN"/>
                    </w:rPr>
                  </w:pPr>
                  <w:r>
                    <w:rPr>
                      <w:rFonts w:hint="eastAsia"/>
                      <w:color w:val="auto"/>
                      <w:lang w:val="en-US" w:eastAsia="zh-CN"/>
                    </w:rPr>
                    <w:t>装袋工序废气</w:t>
                  </w:r>
                </w:p>
              </w:tc>
              <w:tc>
                <w:tcPr>
                  <w:tcW w:w="1670" w:type="dxa"/>
                  <w:tcBorders>
                    <w:bottom w:val="single" w:sz="4" w:space="0" w:color="auto"/>
                  </w:tcBorders>
                  <w:vAlign w:val="center"/>
                </w:tcPr>
                <w:p>
                  <w:pPr>
                    <w:pStyle w:val="39"/>
                    <w:rPr>
                      <w:b/>
                      <w:bCs/>
                      <w:color w:val="auto"/>
                      <w:lang w:val="en-US" w:eastAsia="zh-CN"/>
                    </w:rPr>
                  </w:pPr>
                  <w:r>
                    <w:rPr>
                      <w:rFonts w:hint="eastAsia"/>
                      <w:b/>
                      <w:bCs/>
                      <w:color w:val="auto"/>
                      <w:lang w:val="en-US" w:eastAsia="zh-CN"/>
                    </w:rPr>
                    <w:t>颗粒物、氨、臭气浓度、甲醛、非甲烷总烃</w:t>
                  </w:r>
                </w:p>
              </w:tc>
              <w:tc>
                <w:tcPr>
                  <w:tcW w:w="899" w:type="dxa"/>
                  <w:tcBorders>
                    <w:bottom w:val="single" w:sz="4" w:space="0" w:color="auto"/>
                  </w:tcBorders>
                  <w:vAlign w:val="center"/>
                </w:tcPr>
                <w:p>
                  <w:pPr>
                    <w:pStyle w:val="39"/>
                    <w:rPr>
                      <w:rFonts w:hint="eastAsia"/>
                      <w:color w:val="auto"/>
                      <w:lang w:val="en-US" w:eastAsia="zh-CN"/>
                    </w:rPr>
                  </w:pPr>
                  <w:r>
                    <w:rPr>
                      <w:rFonts w:hint="eastAsia"/>
                      <w:color w:val="auto"/>
                      <w:lang w:val="en-US" w:eastAsia="zh-CN"/>
                    </w:rPr>
                    <w:t>连续</w:t>
                  </w:r>
                </w:p>
              </w:tc>
              <w:tc>
                <w:tcPr>
                  <w:tcW w:w="2943" w:type="dxa"/>
                  <w:vMerge/>
                  <w:tcBorders>
                    <w:bottom w:val="single" w:sz="4" w:space="0" w:color="auto"/>
                  </w:tcBorders>
                  <w:vAlign w:val="center"/>
                </w:tcPr>
                <w:p/>
              </w:tc>
            </w:tr>
            <w:tr>
              <w:trPr>
                <w:trHeight w:val="23"/>
              </w:trPr>
              <w:tc>
                <w:tcPr>
                  <w:tcW w:w="667" w:type="dxa"/>
                  <w:vAlign w:val="center"/>
                </w:tcPr>
                <w:p>
                  <w:pPr>
                    <w:pStyle w:val="39"/>
                    <w:rPr>
                      <w:color w:val="auto"/>
                      <w:kern w:val="2"/>
                      <w:szCs w:val="21"/>
                    </w:rPr>
                  </w:pPr>
                  <w:r>
                    <w:rPr>
                      <w:rFonts w:hint="eastAsia"/>
                      <w:color w:val="auto"/>
                    </w:rPr>
                    <w:t>噪声</w:t>
                  </w:r>
                </w:p>
              </w:tc>
              <w:tc>
                <w:tcPr>
                  <w:tcW w:w="710" w:type="dxa"/>
                  <w:tcBorders>
                    <w:left w:val="single" w:sz="6" w:space="0" w:color="000000"/>
                  </w:tcBorders>
                  <w:vAlign w:val="center"/>
                </w:tcPr>
                <w:p>
                  <w:pPr>
                    <w:pStyle w:val="39"/>
                    <w:rPr>
                      <w:rFonts w:eastAsia="宋体"/>
                      <w:color w:val="auto"/>
                      <w:kern w:val="2"/>
                      <w:szCs w:val="21"/>
                      <w:lang w:val="en-US" w:eastAsia="zh-CN"/>
                    </w:rPr>
                  </w:pPr>
                  <w:r>
                    <w:rPr>
                      <w:rFonts w:hint="eastAsia"/>
                      <w:color w:val="auto"/>
                    </w:rPr>
                    <w:t>N</w:t>
                  </w:r>
                </w:p>
              </w:tc>
              <w:tc>
                <w:tcPr>
                  <w:tcW w:w="1468" w:type="dxa"/>
                  <w:tcBorders>
                    <w:left w:val="single" w:sz="6" w:space="0" w:color="000000"/>
                  </w:tcBorders>
                  <w:vAlign w:val="center"/>
                </w:tcPr>
                <w:p>
                  <w:pPr>
                    <w:pStyle w:val="39"/>
                    <w:rPr>
                      <w:rFonts w:eastAsia="宋体"/>
                      <w:color w:val="auto"/>
                      <w:kern w:val="2"/>
                      <w:szCs w:val="21"/>
                      <w:lang w:val="en-US" w:eastAsia="zh-CN"/>
                    </w:rPr>
                  </w:pPr>
                  <w:r>
                    <w:rPr>
                      <w:rFonts w:hint="eastAsia"/>
                      <w:color w:val="auto"/>
                      <w:kern w:val="2"/>
                      <w:szCs w:val="21"/>
                      <w:lang w:val="en-US" w:eastAsia="zh-CN"/>
                    </w:rPr>
                    <w:t>皮带输送机、提升机、密闭式破碎机、密闭式混合后送料机、密闭式喂料机、密闭式颗粒挤压机、密闭式筛分机、密闭式烘干机、密闭抛光机、密闭式颗粒整形机等生产设备</w:t>
                  </w:r>
                </w:p>
              </w:tc>
              <w:tc>
                <w:tcPr>
                  <w:tcW w:w="1670" w:type="dxa"/>
                  <w:tcBorders>
                    <w:left w:val="single" w:sz="6" w:space="0" w:color="000000"/>
                  </w:tcBorders>
                  <w:vAlign w:val="center"/>
                </w:tcPr>
                <w:p>
                  <w:pPr>
                    <w:pStyle w:val="39"/>
                    <w:rPr>
                      <w:color w:val="auto"/>
                      <w:kern w:val="2"/>
                      <w:szCs w:val="21"/>
                    </w:rPr>
                  </w:pPr>
                  <w:r>
                    <w:rPr>
                      <w:rFonts w:hint="eastAsia"/>
                      <w:color w:val="auto"/>
                    </w:rPr>
                    <w:t>等效A声级</w:t>
                  </w:r>
                </w:p>
              </w:tc>
              <w:tc>
                <w:tcPr>
                  <w:tcW w:w="899" w:type="dxa"/>
                  <w:tcBorders>
                    <w:left w:val="single" w:sz="6" w:space="0" w:color="000000"/>
                  </w:tcBorders>
                  <w:vAlign w:val="center"/>
                </w:tcPr>
                <w:p>
                  <w:pPr>
                    <w:pStyle w:val="39"/>
                    <w:rPr>
                      <w:color w:val="auto"/>
                      <w:kern w:val="2"/>
                      <w:szCs w:val="21"/>
                    </w:rPr>
                  </w:pPr>
                  <w:r>
                    <w:rPr>
                      <w:rFonts w:hint="eastAsia"/>
                      <w:color w:val="auto"/>
                      <w:lang w:val="en-US" w:eastAsia="zh-CN"/>
                    </w:rPr>
                    <w:t>间歇</w:t>
                  </w:r>
                </w:p>
              </w:tc>
              <w:tc>
                <w:tcPr>
                  <w:tcW w:w="2943" w:type="dxa"/>
                  <w:tcBorders>
                    <w:left w:val="single" w:sz="6" w:space="0" w:color="000000"/>
                  </w:tcBorders>
                  <w:vAlign w:val="center"/>
                </w:tcPr>
                <w:p>
                  <w:pPr>
                    <w:pStyle w:val="39"/>
                    <w:rPr>
                      <w:color w:val="auto"/>
                      <w:kern w:val="2"/>
                      <w:szCs w:val="21"/>
                    </w:rPr>
                  </w:pPr>
                  <w:r>
                    <w:rPr>
                      <w:rFonts w:hint="eastAsia"/>
                      <w:color w:val="auto"/>
                    </w:rPr>
                    <w:t>项目生产设备置于生产车间内，采用低噪声设备，同时采取基础减振、厂房隔声、设备定期维护和保养等措施</w:t>
                  </w:r>
                </w:p>
              </w:tc>
            </w:tr>
            <w:tr>
              <w:trPr>
                <w:trHeight w:val="23"/>
              </w:trPr>
              <w:tc>
                <w:tcPr>
                  <w:tcW w:w="667" w:type="dxa"/>
                  <w:vMerge w:val="restart"/>
                  <w:vAlign w:val="center"/>
                </w:tcPr>
                <w:p>
                  <w:pPr>
                    <w:spacing w:line="240" w:lineRule="auto"/>
                    <w:ind w:firstLineChars="0" w:firstLine="0"/>
                    <w:jc w:val="center"/>
                    <w:rPr>
                      <w:color w:val="auto"/>
                      <w:sz w:val="21"/>
                      <w:szCs w:val="21"/>
                    </w:rPr>
                  </w:pPr>
                  <w:r>
                    <w:rPr>
                      <w:rFonts w:hint="eastAsia"/>
                      <w:color w:val="auto"/>
                      <w:sz w:val="21"/>
                      <w:szCs w:val="21"/>
                    </w:rPr>
                    <w:t>固体废物</w:t>
                  </w:r>
                </w:p>
              </w:tc>
              <w:tc>
                <w:tcPr>
                  <w:tcW w:w="710" w:type="dxa"/>
                  <w:tcBorders>
                    <w:left w:val="single" w:sz="6" w:space="0" w:color="000000"/>
                  </w:tcBorders>
                  <w:vAlign w:val="center"/>
                </w:tcPr>
                <w:p>
                  <w:pPr>
                    <w:spacing w:line="240" w:lineRule="auto"/>
                    <w:ind w:firstLineChars="0" w:firstLine="0"/>
                    <w:jc w:val="center"/>
                    <w:rPr>
                      <w:rFonts w:eastAsia="宋体" w:hint="eastAsia"/>
                      <w:color w:val="auto"/>
                      <w:sz w:val="21"/>
                      <w:szCs w:val="21"/>
                      <w:lang w:val="en-US" w:eastAsia="zh-CN"/>
                    </w:rPr>
                  </w:pPr>
                  <w:r>
                    <w:rPr>
                      <w:rFonts w:hint="eastAsia"/>
                      <w:color w:val="auto"/>
                      <w:sz w:val="21"/>
                      <w:szCs w:val="21"/>
                    </w:rPr>
                    <w:t>S</w:t>
                  </w:r>
                  <w:r>
                    <w:rPr>
                      <w:rFonts w:hint="eastAsia"/>
                      <w:color w:val="auto"/>
                      <w:sz w:val="21"/>
                      <w:szCs w:val="21"/>
                      <w:lang w:val="en-US" w:eastAsia="zh-CN"/>
                    </w:rPr>
                    <w:t>1</w:t>
                  </w:r>
                </w:p>
              </w:tc>
              <w:tc>
                <w:tcPr>
                  <w:tcW w:w="1468" w:type="dxa"/>
                  <w:tcBorders>
                    <w:top w:val="single" w:sz="4" w:space="0" w:color="auto"/>
                  </w:tcBorders>
                  <w:vAlign w:val="center"/>
                </w:tcPr>
                <w:p>
                  <w:pPr>
                    <w:pStyle w:val="39"/>
                    <w:rPr>
                      <w:rFonts w:eastAsia="宋体"/>
                      <w:color w:val="auto"/>
                      <w:kern w:val="2"/>
                      <w:szCs w:val="21"/>
                      <w:lang w:val="en-US" w:eastAsia="zh-CN"/>
                    </w:rPr>
                  </w:pPr>
                  <w:r>
                    <w:rPr>
                      <w:rFonts w:hint="eastAsia"/>
                      <w:color w:val="auto"/>
                      <w:kern w:val="2"/>
                      <w:szCs w:val="21"/>
                      <w:lang w:val="en-US" w:eastAsia="zh-CN"/>
                    </w:rPr>
                    <w:t>化验室</w:t>
                  </w:r>
                </w:p>
              </w:tc>
              <w:tc>
                <w:tcPr>
                  <w:tcW w:w="1670" w:type="dxa"/>
                  <w:tcBorders>
                    <w:top w:val="single" w:sz="4" w:space="0" w:color="auto"/>
                  </w:tcBorders>
                  <w:vAlign w:val="center"/>
                </w:tcPr>
                <w:p>
                  <w:pPr>
                    <w:pStyle w:val="39"/>
                    <w:rPr>
                      <w:rFonts w:eastAsia="宋体"/>
                      <w:color w:val="auto"/>
                      <w:kern w:val="2"/>
                      <w:szCs w:val="21"/>
                      <w:lang w:val="en-US" w:eastAsia="zh-CN"/>
                    </w:rPr>
                  </w:pPr>
                  <w:r>
                    <w:rPr>
                      <w:rFonts w:hint="eastAsia"/>
                      <w:color w:val="auto"/>
                      <w:kern w:val="2"/>
                      <w:szCs w:val="21"/>
                      <w:lang w:val="en-US" w:eastAsia="zh-CN"/>
                    </w:rPr>
                    <w:t>化验室废液</w:t>
                  </w:r>
                </w:p>
              </w:tc>
              <w:tc>
                <w:tcPr>
                  <w:tcW w:w="899" w:type="dxa"/>
                  <w:vMerge w:val="restart"/>
                  <w:tcBorders>
                    <w:top w:val="single" w:sz="4" w:space="0" w:color="auto"/>
                  </w:tcBorders>
                  <w:vAlign w:val="center"/>
                </w:tcPr>
                <w:p>
                  <w:pPr>
                    <w:pStyle w:val="39"/>
                    <w:rPr>
                      <w:color w:val="auto"/>
                      <w:kern w:val="2"/>
                      <w:szCs w:val="21"/>
                    </w:rPr>
                  </w:pPr>
                  <w:r>
                    <w:rPr>
                      <w:rFonts w:hint="eastAsia"/>
                      <w:color w:val="auto"/>
                      <w:kern w:val="2"/>
                      <w:szCs w:val="21"/>
                    </w:rPr>
                    <w:t>间歇</w:t>
                  </w:r>
                </w:p>
              </w:tc>
              <w:tc>
                <w:tcPr>
                  <w:tcW w:w="2943" w:type="dxa"/>
                  <w:vMerge w:val="restart"/>
                  <w:tcBorders>
                    <w:top w:val="single" w:sz="4" w:space="0" w:color="auto"/>
                  </w:tcBorders>
                  <w:vAlign w:val="center"/>
                </w:tcPr>
                <w:p>
                  <w:pPr>
                    <w:pStyle w:val="39"/>
                    <w:rPr>
                      <w:color w:val="auto"/>
                      <w:kern w:val="2"/>
                      <w:szCs w:val="21"/>
                    </w:rPr>
                  </w:pPr>
                  <w:r>
                    <w:rPr>
                      <w:rFonts w:hint="eastAsia"/>
                      <w:color w:val="auto"/>
                      <w:kern w:val="2"/>
                      <w:szCs w:val="21"/>
                      <w:lang w:val="en-US" w:eastAsia="zh-CN"/>
                    </w:rPr>
                    <w:t>分类密闭收集后暂存于危废间，定期交有资质单位处置</w:t>
                  </w:r>
                </w:p>
              </w:tc>
            </w:tr>
            <w:tr>
              <w:trPr>
                <w:trHeight w:val="90"/>
              </w:trPr>
              <w:tc>
                <w:tcPr>
                  <w:tcW w:w="667" w:type="dxa"/>
                  <w:vMerge/>
                  <w:vAlign w:val="center"/>
                </w:tcPr>
                <w:p/>
              </w:tc>
              <w:tc>
                <w:tcPr>
                  <w:tcW w:w="710" w:type="dxa"/>
                  <w:tcBorders>
                    <w:left w:val="single" w:sz="6" w:space="0" w:color="000000"/>
                  </w:tcBorders>
                  <w:vAlign w:val="center"/>
                </w:tcPr>
                <w:p>
                  <w:pPr>
                    <w:spacing w:line="240" w:lineRule="auto"/>
                    <w:ind w:firstLineChars="0" w:firstLine="0"/>
                    <w:jc w:val="center"/>
                    <w:rPr>
                      <w:color w:val="auto"/>
                      <w:sz w:val="21"/>
                      <w:szCs w:val="21"/>
                    </w:rPr>
                  </w:pPr>
                  <w:r>
                    <w:rPr>
                      <w:rFonts w:hint="eastAsia"/>
                      <w:color w:val="auto"/>
                      <w:sz w:val="21"/>
                      <w:szCs w:val="21"/>
                    </w:rPr>
                    <w:t>S2</w:t>
                  </w:r>
                </w:p>
              </w:tc>
              <w:tc>
                <w:tcPr>
                  <w:tcW w:w="1468" w:type="dxa"/>
                  <w:tcBorders>
                    <w:top w:val="single" w:sz="4" w:space="0" w:color="auto"/>
                  </w:tcBorders>
                  <w:vAlign w:val="center"/>
                </w:tcPr>
                <w:p>
                  <w:pPr>
                    <w:pStyle w:val="39"/>
                    <w:rPr>
                      <w:rFonts w:eastAsia="宋体" w:hint="eastAsia"/>
                      <w:color w:val="auto"/>
                      <w:kern w:val="2"/>
                      <w:szCs w:val="21"/>
                      <w:lang w:val="en-US" w:eastAsia="zh-CN"/>
                    </w:rPr>
                  </w:pPr>
                  <w:r>
                    <w:rPr>
                      <w:rFonts w:hint="eastAsia"/>
                      <w:color w:val="auto"/>
                      <w:kern w:val="2"/>
                      <w:szCs w:val="21"/>
                      <w:lang w:val="en-US" w:eastAsia="zh-CN"/>
                    </w:rPr>
                    <w:t>化验室</w:t>
                  </w:r>
                </w:p>
              </w:tc>
              <w:tc>
                <w:tcPr>
                  <w:tcW w:w="1670" w:type="dxa"/>
                  <w:tcBorders>
                    <w:top w:val="single" w:sz="4" w:space="0" w:color="auto"/>
                  </w:tcBorders>
                  <w:vAlign w:val="center"/>
                </w:tcPr>
                <w:p>
                  <w:pPr>
                    <w:pStyle w:val="39"/>
                    <w:rPr>
                      <w:color w:val="auto"/>
                      <w:kern w:val="2"/>
                      <w:szCs w:val="21"/>
                      <w:lang w:val="en-US"/>
                    </w:rPr>
                  </w:pPr>
                  <w:r>
                    <w:rPr>
                      <w:rFonts w:hint="eastAsia"/>
                      <w:color w:val="auto"/>
                      <w:kern w:val="2"/>
                      <w:szCs w:val="21"/>
                      <w:lang w:val="en-US" w:eastAsia="zh-CN"/>
                    </w:rPr>
                    <w:t>化验室废包装</w:t>
                  </w:r>
                </w:p>
              </w:tc>
              <w:tc>
                <w:tcPr>
                  <w:tcW w:w="899" w:type="dxa"/>
                  <w:vMerge/>
                  <w:tcBorders>
                    <w:left w:val="single" w:sz="6" w:space="0" w:color="000000"/>
                  </w:tcBorders>
                  <w:vAlign w:val="center"/>
                </w:tcPr>
                <w:p/>
              </w:tc>
              <w:tc>
                <w:tcPr>
                  <w:tcW w:w="2943" w:type="dxa"/>
                  <w:vMerge/>
                  <w:tcBorders>
                    <w:left w:val="single" w:sz="6" w:space="0" w:color="000000"/>
                  </w:tcBorders>
                  <w:vAlign w:val="center"/>
                </w:tcPr>
                <w:p/>
              </w:tc>
            </w:tr>
            <w:tr>
              <w:trPr>
                <w:trHeight w:val="249"/>
              </w:trPr>
              <w:tc>
                <w:tcPr>
                  <w:tcW w:w="667" w:type="dxa"/>
                  <w:vMerge/>
                  <w:vAlign w:val="center"/>
                </w:tcPr>
                <w:p/>
              </w:tc>
              <w:tc>
                <w:tcPr>
                  <w:tcW w:w="710" w:type="dxa"/>
                  <w:vMerge w:val="restart"/>
                  <w:tcBorders>
                    <w:left w:val="single" w:sz="6" w:space="0" w:color="000000"/>
                  </w:tcBorders>
                  <w:vAlign w:val="center"/>
                </w:tcPr>
                <w:p>
                  <w:pPr>
                    <w:spacing w:line="240" w:lineRule="auto"/>
                    <w:ind w:firstLineChars="0" w:firstLine="0"/>
                    <w:jc w:val="center"/>
                    <w:rPr>
                      <w:rFonts w:eastAsia="宋体"/>
                      <w:color w:val="auto"/>
                      <w:sz w:val="21"/>
                      <w:szCs w:val="21"/>
                      <w:lang w:val="en-US" w:eastAsia="zh-CN"/>
                    </w:rPr>
                  </w:pPr>
                  <w:r>
                    <w:rPr>
                      <w:rFonts w:hint="eastAsia"/>
                      <w:color w:val="auto"/>
                      <w:sz w:val="21"/>
                      <w:szCs w:val="21"/>
                      <w:lang w:val="en-US" w:eastAsia="zh-CN"/>
                    </w:rPr>
                    <w:t>S3</w:t>
                  </w:r>
                </w:p>
              </w:tc>
              <w:tc>
                <w:tcPr>
                  <w:tcW w:w="1468" w:type="dxa"/>
                  <w:vMerge w:val="restart"/>
                  <w:tcBorders>
                    <w:top w:val="single" w:sz="4" w:space="0" w:color="auto"/>
                  </w:tcBorders>
                  <w:vAlign w:val="center"/>
                </w:tcPr>
                <w:p>
                  <w:pPr>
                    <w:pStyle w:val="39"/>
                    <w:rPr>
                      <w:color w:val="auto"/>
                      <w:kern w:val="2"/>
                      <w:szCs w:val="21"/>
                    </w:rPr>
                  </w:pPr>
                  <w:r>
                    <w:rPr>
                      <w:rFonts w:hint="eastAsia"/>
                      <w:color w:val="auto"/>
                      <w:kern w:val="2"/>
                      <w:szCs w:val="21"/>
                    </w:rPr>
                    <w:t>设备维护</w:t>
                  </w:r>
                </w:p>
              </w:tc>
              <w:tc>
                <w:tcPr>
                  <w:tcW w:w="1670" w:type="dxa"/>
                  <w:tcBorders>
                    <w:top w:val="single" w:sz="4" w:space="0" w:color="auto"/>
                  </w:tcBorders>
                  <w:vAlign w:val="center"/>
                </w:tcPr>
                <w:p>
                  <w:pPr>
                    <w:pStyle w:val="39"/>
                    <w:rPr>
                      <w:color w:val="auto"/>
                      <w:kern w:val="2"/>
                      <w:szCs w:val="21"/>
                    </w:rPr>
                  </w:pPr>
                  <w:r>
                    <w:rPr>
                      <w:rFonts w:hint="eastAsia"/>
                      <w:color w:val="auto"/>
                      <w:kern w:val="2"/>
                      <w:szCs w:val="21"/>
                    </w:rPr>
                    <w:t>废润滑油</w:t>
                  </w:r>
                </w:p>
              </w:tc>
              <w:tc>
                <w:tcPr>
                  <w:tcW w:w="899" w:type="dxa"/>
                  <w:vMerge/>
                  <w:tcBorders>
                    <w:left w:val="single" w:sz="6" w:space="0" w:color="000000"/>
                  </w:tcBorders>
                  <w:vAlign w:val="center"/>
                </w:tcP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vMerge/>
                  <w:tcBorders>
                    <w:left w:val="single" w:sz="6" w:space="0" w:color="000000"/>
                  </w:tcBorders>
                  <w:vAlign w:val="center"/>
                </w:tcPr>
                <w:p/>
              </w:tc>
              <w:tc>
                <w:tcPr>
                  <w:tcW w:w="1468" w:type="dxa"/>
                  <w:vMerge/>
                  <w:tcBorders>
                    <w:left w:val="single" w:sz="6" w:space="0" w:color="000000"/>
                  </w:tcBorders>
                  <w:vAlign w:val="center"/>
                </w:tcPr>
                <w:p/>
              </w:tc>
              <w:tc>
                <w:tcPr>
                  <w:tcW w:w="1670" w:type="dxa"/>
                  <w:tcBorders>
                    <w:left w:val="single" w:sz="6" w:space="0" w:color="000000"/>
                  </w:tcBorders>
                  <w:vAlign w:val="center"/>
                </w:tcPr>
                <w:p>
                  <w:pPr>
                    <w:pStyle w:val="39"/>
                    <w:rPr>
                      <w:rFonts w:eastAsia="宋体" w:hint="eastAsia"/>
                      <w:color w:val="auto"/>
                      <w:kern w:val="2"/>
                      <w:szCs w:val="21"/>
                      <w:lang w:eastAsia="zh-CN"/>
                    </w:rPr>
                  </w:pPr>
                  <w:r>
                    <w:rPr>
                      <w:rFonts w:hint="eastAsia"/>
                      <w:color w:val="auto"/>
                      <w:kern w:val="2"/>
                      <w:szCs w:val="21"/>
                    </w:rPr>
                    <w:t>废</w:t>
                  </w:r>
                  <w:r>
                    <w:rPr>
                      <w:rFonts w:hint="eastAsia"/>
                      <w:color w:val="auto"/>
                      <w:kern w:val="2"/>
                      <w:szCs w:val="21"/>
                      <w:lang w:val="en-US" w:eastAsia="zh-CN"/>
                    </w:rPr>
                    <w:t>机油</w:t>
                  </w:r>
                </w:p>
              </w:tc>
              <w:tc>
                <w:tcPr>
                  <w:tcW w:w="899" w:type="dxa"/>
                  <w:vMerge/>
                  <w:tcBorders>
                    <w:left w:val="single" w:sz="6" w:space="0" w:color="000000"/>
                  </w:tcBorders>
                  <w:vAlign w:val="center"/>
                </w:tcP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vMerge/>
                  <w:tcBorders>
                    <w:left w:val="single" w:sz="6" w:space="0" w:color="000000"/>
                  </w:tcBorders>
                  <w:vAlign w:val="center"/>
                </w:tcPr>
                <w:p/>
              </w:tc>
              <w:tc>
                <w:tcPr>
                  <w:tcW w:w="1468" w:type="dxa"/>
                  <w:vMerge/>
                  <w:tcBorders>
                    <w:left w:val="single" w:sz="6" w:space="0" w:color="000000"/>
                  </w:tcBorders>
                  <w:vAlign w:val="center"/>
                </w:tcPr>
                <w:p/>
              </w:tc>
              <w:tc>
                <w:tcPr>
                  <w:tcW w:w="1670" w:type="dxa"/>
                  <w:tcBorders>
                    <w:left w:val="single" w:sz="6" w:space="0" w:color="000000"/>
                  </w:tcBorders>
                  <w:vAlign w:val="center"/>
                </w:tcPr>
                <w:p>
                  <w:pPr>
                    <w:pStyle w:val="39"/>
                    <w:rPr>
                      <w:rFonts w:eastAsia="宋体" w:hint="eastAsia"/>
                      <w:color w:val="auto"/>
                      <w:kern w:val="2"/>
                      <w:szCs w:val="21"/>
                      <w:lang w:val="en-US" w:eastAsia="zh-CN"/>
                    </w:rPr>
                  </w:pPr>
                  <w:r>
                    <w:rPr>
                      <w:rFonts w:hint="eastAsia"/>
                      <w:color w:val="auto"/>
                      <w:kern w:val="2"/>
                      <w:szCs w:val="21"/>
                      <w:lang w:val="en-US" w:eastAsia="zh-CN"/>
                    </w:rPr>
                    <w:t>废油桶</w:t>
                  </w:r>
                </w:p>
              </w:tc>
              <w:tc>
                <w:tcPr>
                  <w:tcW w:w="899" w:type="dxa"/>
                  <w:vMerge/>
                  <w:tcBorders>
                    <w:left w:val="single" w:sz="6" w:space="0" w:color="000000"/>
                  </w:tcBorders>
                  <w:vAlign w:val="center"/>
                </w:tcPr>
                <w:p/>
              </w:tc>
              <w:tc>
                <w:tcPr>
                  <w:tcW w:w="2943" w:type="dxa"/>
                  <w:vMerge/>
                  <w:tcBorders>
                    <w:left w:val="single" w:sz="6" w:space="0" w:color="000000"/>
                  </w:tcBorders>
                  <w:vAlign w:val="center"/>
                </w:tcPr>
                <w:p/>
              </w:tc>
            </w:tr>
            <w:tr>
              <w:trPr>
                <w:trHeight w:val="23"/>
              </w:trPr>
              <w:tc>
                <w:tcPr>
                  <w:tcW w:w="667" w:type="dxa"/>
                  <w:vMerge/>
                  <w:vAlign w:val="center"/>
                </w:tcPr>
                <w:p/>
              </w:tc>
              <w:tc>
                <w:tcPr>
                  <w:tcW w:w="710" w:type="dxa"/>
                  <w:vMerge w:val="restart"/>
                  <w:tcBorders>
                    <w:left w:val="single" w:sz="6" w:space="0" w:color="000000"/>
                  </w:tcBorders>
                  <w:vAlign w:val="center"/>
                </w:tcPr>
                <w:p>
                  <w:pPr>
                    <w:spacing w:line="240" w:lineRule="auto"/>
                    <w:ind w:firstLineChars="0" w:firstLine="0"/>
                    <w:jc w:val="center"/>
                    <w:rPr>
                      <w:rFonts w:eastAsia="宋体"/>
                      <w:color w:val="auto"/>
                      <w:sz w:val="21"/>
                      <w:szCs w:val="21"/>
                      <w:lang w:val="en-US" w:eastAsia="zh-CN"/>
                    </w:rPr>
                  </w:pPr>
                  <w:r>
                    <w:rPr>
                      <w:rFonts w:hint="eastAsia"/>
                      <w:color w:val="auto"/>
                      <w:sz w:val="21"/>
                      <w:szCs w:val="21"/>
                      <w:lang w:val="en-US" w:eastAsia="zh-CN"/>
                    </w:rPr>
                    <w:t>S4</w:t>
                  </w:r>
                </w:p>
              </w:tc>
              <w:tc>
                <w:tcPr>
                  <w:tcW w:w="1468" w:type="dxa"/>
                  <w:vMerge w:val="restart"/>
                  <w:tcBorders>
                    <w:left w:val="single" w:sz="6" w:space="0" w:color="000000"/>
                  </w:tcBorders>
                  <w:vAlign w:val="center"/>
                </w:tcPr>
                <w:p>
                  <w:pPr>
                    <w:pStyle w:val="39"/>
                    <w:rPr>
                      <w:color w:val="auto"/>
                      <w:kern w:val="2"/>
                      <w:szCs w:val="21"/>
                    </w:rPr>
                  </w:pPr>
                  <w:r>
                    <w:rPr>
                      <w:rFonts w:hint="eastAsia"/>
                      <w:color w:val="auto"/>
                      <w:kern w:val="2"/>
                      <w:szCs w:val="21"/>
                    </w:rPr>
                    <w:t>环保设施</w:t>
                  </w:r>
                </w:p>
              </w:tc>
              <w:tc>
                <w:tcPr>
                  <w:tcW w:w="1670" w:type="dxa"/>
                  <w:tcBorders>
                    <w:left w:val="single" w:sz="6" w:space="0" w:color="000000"/>
                  </w:tcBorders>
                  <w:vAlign w:val="center"/>
                </w:tcPr>
                <w:p>
                  <w:pPr>
                    <w:pStyle w:val="39"/>
                    <w:rPr>
                      <w:rFonts w:eastAsia="宋体" w:hint="eastAsia"/>
                      <w:color w:val="auto"/>
                      <w:kern w:val="2"/>
                      <w:szCs w:val="21"/>
                      <w:lang w:val="en-US" w:eastAsia="zh-CN"/>
                    </w:rPr>
                  </w:pPr>
                  <w:r>
                    <w:rPr>
                      <w:rFonts w:hint="eastAsia"/>
                      <w:color w:val="auto"/>
                      <w:kern w:val="2"/>
                      <w:szCs w:val="21"/>
                      <w:lang w:val="en-US" w:eastAsia="zh-CN"/>
                    </w:rPr>
                    <w:t>除尘灰</w:t>
                  </w:r>
                </w:p>
              </w:tc>
              <w:tc>
                <w:tcPr>
                  <w:tcW w:w="899" w:type="dxa"/>
                  <w:vMerge/>
                  <w:tcBorders>
                    <w:left w:val="single" w:sz="6" w:space="0" w:color="000000"/>
                  </w:tcBorders>
                  <w:vAlign w:val="center"/>
                </w:tcPr>
                <w:p/>
              </w:tc>
              <w:tc>
                <w:tcPr>
                  <w:tcW w:w="2943" w:type="dxa"/>
                  <w:tcBorders>
                    <w:top w:val="single" w:sz="4" w:space="0" w:color="auto"/>
                    <w:bottom w:val="single" w:sz="4" w:space="0" w:color="auto"/>
                  </w:tcBorders>
                  <w:vAlign w:val="center"/>
                </w:tcPr>
                <w:p>
                  <w:pPr>
                    <w:pStyle w:val="39"/>
                    <w:rPr>
                      <w:rFonts w:eastAsia="宋体"/>
                      <w:color w:val="auto"/>
                      <w:kern w:val="2"/>
                      <w:szCs w:val="21"/>
                      <w:lang w:val="en-US" w:eastAsia="zh-CN"/>
                    </w:rPr>
                  </w:pPr>
                  <w:r>
                    <w:rPr>
                      <w:rFonts w:hint="eastAsia"/>
                      <w:color w:val="auto"/>
                      <w:kern w:val="2"/>
                      <w:szCs w:val="21"/>
                      <w:lang w:val="en-US" w:eastAsia="zh-CN"/>
                    </w:rPr>
                    <w:t>回用于生产</w:t>
                  </w:r>
                </w:p>
              </w:tc>
            </w:tr>
            <w:tr>
              <w:trPr>
                <w:trHeight w:val="23"/>
              </w:trPr>
              <w:tc>
                <w:tcPr>
                  <w:tcW w:w="667" w:type="dxa"/>
                  <w:vMerge/>
                  <w:vAlign w:val="center"/>
                </w:tcPr>
                <w:p/>
              </w:tc>
              <w:tc>
                <w:tcPr>
                  <w:tcW w:w="710" w:type="dxa"/>
                  <w:vMerge/>
                  <w:tcBorders>
                    <w:left w:val="single" w:sz="6" w:space="0" w:color="000000"/>
                  </w:tcBorders>
                  <w:vAlign w:val="center"/>
                </w:tcPr>
                <w:p/>
              </w:tc>
              <w:tc>
                <w:tcPr>
                  <w:tcW w:w="1468" w:type="dxa"/>
                  <w:vMerge/>
                  <w:tcBorders>
                    <w:bottom w:val="single" w:sz="4" w:space="0" w:color="auto"/>
                  </w:tcBorders>
                  <w:vAlign w:val="center"/>
                </w:tcPr>
                <w:p/>
              </w:tc>
              <w:tc>
                <w:tcPr>
                  <w:tcW w:w="1670" w:type="dxa"/>
                  <w:tcBorders>
                    <w:left w:val="single" w:sz="6" w:space="0" w:color="000000"/>
                  </w:tcBorders>
                  <w:vAlign w:val="center"/>
                </w:tcPr>
                <w:p>
                  <w:pPr>
                    <w:pStyle w:val="39"/>
                    <w:rPr>
                      <w:color w:val="auto"/>
                      <w:kern w:val="2"/>
                      <w:szCs w:val="21"/>
                      <w:lang w:val="en-US" w:eastAsia="zh-CN"/>
                    </w:rPr>
                  </w:pPr>
                  <w:r>
                    <w:rPr>
                      <w:rFonts w:hint="eastAsia"/>
                      <w:color w:val="auto"/>
                      <w:kern w:val="2"/>
                      <w:szCs w:val="21"/>
                      <w:lang w:val="en-US" w:eastAsia="zh-CN"/>
                    </w:rPr>
                    <w:t>废活性炭</w:t>
                  </w:r>
                </w:p>
              </w:tc>
              <w:tc>
                <w:tcPr>
                  <w:tcW w:w="899" w:type="dxa"/>
                  <w:vMerge/>
                  <w:tcBorders>
                    <w:left w:val="single" w:sz="6" w:space="0" w:color="000000"/>
                  </w:tcBorders>
                  <w:vAlign w:val="center"/>
                </w:tcPr>
                <w:p/>
              </w:tc>
              <w:tc>
                <w:tcPr>
                  <w:tcW w:w="2943" w:type="dxa"/>
                  <w:tcBorders>
                    <w:top w:val="single" w:sz="4" w:space="0" w:color="auto"/>
                    <w:bottom w:val="single" w:sz="4" w:space="0" w:color="auto"/>
                  </w:tcBorders>
                  <w:vAlign w:val="center"/>
                </w:tcPr>
                <w:p>
                  <w:pPr>
                    <w:pStyle w:val="39"/>
                    <w:rPr>
                      <w:color w:val="auto"/>
                      <w:kern w:val="2"/>
                      <w:szCs w:val="21"/>
                      <w:lang w:val="en-US" w:eastAsia="zh-CN"/>
                    </w:rPr>
                  </w:pPr>
                  <w:r>
                    <w:rPr>
                      <w:rFonts w:hint="eastAsia"/>
                      <w:color w:val="auto"/>
                      <w:kern w:val="2"/>
                      <w:szCs w:val="21"/>
                      <w:lang w:val="en-US" w:eastAsia="zh-CN"/>
                    </w:rPr>
                    <w:t>厂商定期更换</w:t>
                  </w:r>
                </w:p>
              </w:tc>
            </w:tr>
            <w:tr>
              <w:trPr>
                <w:trHeight w:val="23"/>
              </w:trPr>
              <w:tc>
                <w:tcPr>
                  <w:tcW w:w="667" w:type="dxa"/>
                  <w:vMerge/>
                  <w:vAlign w:val="center"/>
                </w:tcPr>
                <w:p/>
              </w:tc>
              <w:tc>
                <w:tcPr>
                  <w:tcW w:w="710" w:type="dxa"/>
                  <w:tcBorders>
                    <w:left w:val="single" w:sz="6" w:space="0" w:color="000000"/>
                  </w:tcBorders>
                  <w:vAlign w:val="center"/>
                </w:tcPr>
                <w:p>
                  <w:pPr>
                    <w:spacing w:line="240" w:lineRule="auto"/>
                    <w:ind w:firstLineChars="0" w:firstLine="0"/>
                    <w:jc w:val="center"/>
                    <w:rPr>
                      <w:rFonts w:eastAsia="宋体"/>
                      <w:color w:val="auto"/>
                      <w:sz w:val="21"/>
                      <w:szCs w:val="21"/>
                      <w:lang w:val="en-US" w:eastAsia="zh-CN"/>
                    </w:rPr>
                  </w:pPr>
                  <w:r>
                    <w:rPr>
                      <w:rFonts w:hint="eastAsia"/>
                      <w:color w:val="auto"/>
                      <w:sz w:val="21"/>
                      <w:szCs w:val="21"/>
                      <w:lang w:val="en-US" w:eastAsia="zh-CN"/>
                    </w:rPr>
                    <w:t>S5</w:t>
                  </w:r>
                </w:p>
              </w:tc>
              <w:tc>
                <w:tcPr>
                  <w:tcW w:w="1468" w:type="dxa"/>
                  <w:tcBorders>
                    <w:top w:val="single" w:sz="4" w:space="0" w:color="auto"/>
                    <w:bottom w:val="single" w:sz="4" w:space="0" w:color="auto"/>
                  </w:tcBorders>
                  <w:vAlign w:val="center"/>
                </w:tcPr>
                <w:p>
                  <w:pPr>
                    <w:pStyle w:val="39"/>
                    <w:rPr>
                      <w:rFonts w:eastAsia="宋体" w:hint="eastAsia"/>
                      <w:color w:val="auto"/>
                      <w:kern w:val="2"/>
                      <w:szCs w:val="21"/>
                      <w:lang w:val="en-US" w:eastAsia="zh-CN"/>
                    </w:rPr>
                  </w:pPr>
                  <w:r>
                    <w:rPr>
                      <w:rFonts w:hint="eastAsia"/>
                      <w:color w:val="auto"/>
                      <w:kern w:val="2"/>
                      <w:szCs w:val="21"/>
                      <w:lang w:val="en-US" w:eastAsia="zh-CN"/>
                    </w:rPr>
                    <w:t>原料</w:t>
                  </w:r>
                </w:p>
              </w:tc>
              <w:tc>
                <w:tcPr>
                  <w:tcW w:w="1670" w:type="dxa"/>
                  <w:tcBorders>
                    <w:left w:val="single" w:sz="6" w:space="0" w:color="000000"/>
                  </w:tcBorders>
                  <w:vAlign w:val="center"/>
                </w:tcPr>
                <w:p>
                  <w:pPr>
                    <w:pStyle w:val="39"/>
                    <w:rPr>
                      <w:color w:val="auto"/>
                      <w:kern w:val="2"/>
                      <w:szCs w:val="21"/>
                      <w:lang w:val="en-US" w:eastAsia="zh-CN"/>
                    </w:rPr>
                  </w:pPr>
                  <w:r>
                    <w:rPr>
                      <w:rFonts w:hint="eastAsia"/>
                      <w:color w:val="auto"/>
                      <w:kern w:val="2"/>
                      <w:szCs w:val="21"/>
                      <w:lang w:val="en-US" w:eastAsia="zh-CN"/>
                    </w:rPr>
                    <w:t>废包装袋</w:t>
                  </w:r>
                </w:p>
              </w:tc>
              <w:tc>
                <w:tcPr>
                  <w:tcW w:w="899" w:type="dxa"/>
                  <w:vMerge/>
                  <w:tcBorders>
                    <w:left w:val="single" w:sz="6" w:space="0" w:color="000000"/>
                  </w:tcBorders>
                  <w:vAlign w:val="center"/>
                </w:tcPr>
                <w:p/>
              </w:tc>
              <w:tc>
                <w:tcPr>
                  <w:tcW w:w="2943" w:type="dxa"/>
                  <w:tcBorders>
                    <w:top w:val="single" w:sz="4" w:space="0" w:color="auto"/>
                    <w:bottom w:val="single" w:sz="4" w:space="0" w:color="auto"/>
                  </w:tcBorders>
                  <w:vAlign w:val="center"/>
                </w:tcPr>
                <w:p>
                  <w:pPr>
                    <w:pStyle w:val="39"/>
                    <w:rPr>
                      <w:color w:val="auto"/>
                      <w:kern w:val="2"/>
                      <w:szCs w:val="21"/>
                    </w:rPr>
                  </w:pPr>
                  <w:r>
                    <w:rPr>
                      <w:rFonts w:hint="eastAsia"/>
                      <w:color w:val="auto"/>
                      <w:kern w:val="2"/>
                      <w:szCs w:val="21"/>
                      <w:lang w:val="en-US" w:eastAsia="zh-CN"/>
                    </w:rPr>
                    <w:t>统一收集后外售</w:t>
                  </w:r>
                </w:p>
              </w:tc>
            </w:tr>
          </w:tbl>
          <w:p>
            <w:pPr>
              <w:rPr>
                <w:rFonts w:ascii="Times New Roman" w:eastAsia="宋体" w:hAnsi="Times New Roman"/>
                <w:bCs/>
                <w:color w:val="auto"/>
                <w:szCs w:val="21"/>
                <w:lang w:val="en-US" w:eastAsia="zh-CN"/>
              </w:rPr>
            </w:pPr>
            <w:r>
              <w:rPr>
                <w:rFonts w:ascii="Times New Roman" w:eastAsia="宋体" w:hAnsi="Times New Roman" w:hint="eastAsia"/>
                <w:bCs/>
                <w:color w:val="auto"/>
                <w:szCs w:val="21"/>
                <w:lang w:val="en-US" w:eastAsia="zh-CN"/>
              </w:rPr>
              <w:t>本次技改</w:t>
            </w:r>
            <w:r>
              <w:rPr>
                <w:rFonts w:hint="eastAsia"/>
                <w:bCs/>
                <w:color w:val="auto"/>
                <w:szCs w:val="21"/>
                <w:lang w:val="en-US" w:eastAsia="zh-CN"/>
              </w:rPr>
              <w:t>不涉及复混肥生产线，复混肥生产线工艺不变，</w:t>
            </w:r>
            <w:r>
              <w:rPr>
                <w:rFonts w:hint="eastAsia"/>
                <w:bCs/>
                <w:color w:val="auto"/>
                <w:szCs w:val="21"/>
                <w:lang w:val="en-US" w:eastAsia="zh-CN"/>
                <w:highlight w:val="none"/>
              </w:rPr>
              <w:t>复混肥生产线投料工序废气和包装工序废气与挤压造粒生产线废气共用一套治理设施和排气筒P2，</w:t>
            </w:r>
            <w:r>
              <w:rPr>
                <w:rFonts w:hint="eastAsia"/>
                <w:bCs/>
                <w:color w:val="auto"/>
                <w:szCs w:val="21"/>
                <w:lang w:val="en-US" w:eastAsia="zh-CN"/>
              </w:rPr>
              <w:t>仅对复混肥生产线污染物排放因子重新识别。</w:t>
            </w: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rFonts w:ascii="Times New Roman" w:eastAsia="宋体" w:hAnsi="Times New Roman" w:hint="eastAsia"/>
                <w:bCs/>
                <w:color w:val="auto"/>
                <w:szCs w:val="21"/>
                <w:lang w:val="en-US" w:eastAsia="zh-CN"/>
              </w:rPr>
            </w:pPr>
          </w:p>
          <w:p>
            <w:pPr>
              <w:rPr>
                <w:color w:val="auto"/>
              </w:rPr>
            </w:pPr>
            <w:r>
              <w:rPr>
                <w:rFonts w:ascii="Times New Roman" w:eastAsia="宋体" w:hAnsi="Times New Roman" w:hint="eastAsia"/>
                <w:bCs/>
                <w:color w:val="auto"/>
                <w:szCs w:val="21"/>
                <w:lang w:val="en-US" w:eastAsia="zh-CN"/>
              </w:rPr>
              <w:t>复混肥生产线：</w:t>
            </w:r>
            <w:r>
              <w:rPr>
                <w:sz w:val="21"/>
              </w:rPr>
              <mc:AlternateContent>
                <mc:Choice Requires="wps">
                  <w:drawing>
                    <wp:anchor distT="0" distB="0" distL="114300" distR="114300" simplePos="0" relativeHeight="680" behindDoc="0" locked="0" layoutInCell="1" hidden="0" allowOverlap="1">
                      <wp:simplePos x="0" y="0"/>
                      <wp:positionH relativeFrom="column">
                        <wp:posOffset>1654810</wp:posOffset>
                      </wp:positionH>
                      <wp:positionV relativeFrom="paragraph">
                        <wp:posOffset>52070</wp:posOffset>
                      </wp:positionV>
                      <wp:extent cx="2754630" cy="2657521"/>
                      <wp:wrapNone/>
                      <wp:docPr id="1045" name="组合 1045"/>
                      <wp:cNvGraphicFramePr>
                        <a:graphicFrameLocks noChangeAspect="0"/>
                      </wp:cNvGraphicFramePr>
                      <a:graphic>
                        <a:graphicData uri="http://schemas.microsoft.com/office/word/2010/wordprocessingGroup">
                          <wpg:wgp>
                            <wpg:cNvPr id="253" name="组合 253"/>
                            <wpg:cNvGrpSpPr/>
                            <wpg:grpSpPr>
                              <a:xfrm rot="0">
                                <a:off x="0" y="0"/>
                                <a:ext cx="2754630" cy="2657521"/>
                                <a:chOff x="0" y="0"/>
                                <a:chExt cx="2754630" cy="2657521"/>
                              </a:xfrm>
                              <a:prstGeom prst="rect"/>
                              <a:solidFill>
                                <a:srgbClr val="FFFFFF"/>
                              </a:solidFill>
                              <a:ln w="9525" cmpd="sng" cap="flat">
                                <a:solidFill>
                                  <a:srgbClr val="000000"/>
                                </a:solidFill>
                                <a:prstDash val="solid"/>
                                <a:miter/>
                              </a:ln>
                            </wpg:grpSpPr>
                            <wps:wsp>
                              <wps:cNvPr id="254" name="文本框 27 254"/>
                              <wps:cNvSpPr/>
                              <wps:spPr>
                                <a:xfrm rot="0">
                                  <a:off x="480694" y="95244"/>
                                  <a:ext cx="477520" cy="271797"/>
                                </a:xfrm>
                                <a:prstGeom prst="rect"/>
                                <a:noFill/>
                                <a:ln w="6350" cmpd="sng" cap="flat">
                                  <a:noFill/>
                                  <a:prstDash val="solid"/>
                                  <a:round/>
                                </a:ln>
                              </wps:spPr>
                              <wps:txbx id="255">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wps:txbx>
                              <wps:bodyPr vert="horz" wrap="square" lIns="91440" tIns="45720" rIns="91440" bIns="45720" anchor="t" anchorCtr="0" upright="0">
                                <a:noAutofit/>
                              </wps:bodyPr>
                            </wps:wsp>
                            <wps:wsp>
                              <wps:cNvPr id="256" name="直接箭头连接符 38 256"/>
                              <wps:cNvSpPr/>
                              <wps:spPr>
                                <a:xfrm rot="0">
                                  <a:off x="798195" y="2115865"/>
                                  <a:ext cx="8254" cy="309867"/>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57" name="直接箭头连接符 28 257"/>
                              <wps:cNvSpPr/>
                              <wps:spPr>
                                <a:xfrm flipV="1" rot="21600000">
                                  <a:off x="899160" y="262890"/>
                                  <a:ext cx="368935" cy="382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58" name="文本框 29 258"/>
                              <wps:cNvSpPr/>
                              <wps:spPr>
                                <a:xfrm rot="0">
                                  <a:off x="1254760" y="144158"/>
                                  <a:ext cx="477520" cy="271797"/>
                                </a:xfrm>
                                <a:prstGeom prst="rect"/>
                                <a:noFill/>
                                <a:ln w="6350" cmpd="sng" cap="flat">
                                  <a:noFill/>
                                  <a:prstDash val="solid"/>
                                  <a:round/>
                                </a:ln>
                              </wps:spPr>
                              <wps:txbx id="259">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wps:txbx>
                              <wps:bodyPr vert="horz" wrap="square" lIns="91440" tIns="45720" rIns="91440" bIns="45720" anchor="t" anchorCtr="0" upright="0">
                                <a:noAutofit/>
                              </wps:bodyPr>
                            </wps:wsp>
                            <wps:wsp>
                              <wps:cNvPr id="260" name="直接箭头连接符 30 260"/>
                              <wps:cNvSpPr/>
                              <wps:spPr>
                                <a:xfrm rot="0">
                                  <a:off x="714374" y="346091"/>
                                  <a:ext cx="8254" cy="309867"/>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61" name="文本框 31 261"/>
                              <wps:cNvSpPr/>
                              <wps:spPr>
                                <a:xfrm rot="0">
                                  <a:off x="361315" y="642622"/>
                                  <a:ext cx="775970" cy="271797"/>
                                </a:xfrm>
                                <a:prstGeom prst="rect"/>
                                <a:noFill/>
                                <a:ln w="6350" cmpd="sng" cap="flat">
                                  <a:solidFill>
                                    <a:srgbClr val="000000"/>
                                  </a:solidFill>
                                  <a:prstDash val="solid"/>
                                  <a:round/>
                                </a:ln>
                              </wps:spPr>
                              <wps:txbx id="262">
                                <w:txbxContent>
                                  <w:p>
                                    <w:pPr>
                                      <w:ind w:left="0" w:firstLineChars="0" w:firstLine="0"/>
                                      <w:rPr>
                                        <w:rFonts w:eastAsia="宋体"/>
                                        <w:sz w:val="21"/>
                                        <w:szCs w:val="21"/>
                                        <w:lang w:val="en-US" w:eastAsia="zh-CN"/>
                                      </w:rPr>
                                    </w:pPr>
                                    <w:r>
                                      <w:rPr>
                                        <w:rFonts w:eastAsia="宋体" w:hint="eastAsia"/>
                                        <w:sz w:val="21"/>
                                        <w:szCs w:val="21"/>
                                        <w:lang w:val="en-US" w:eastAsia="zh-CN"/>
                                      </w:rPr>
                                      <w:t>称量投料</w:t>
                                    </w:r>
                                  </w:p>
                                </w:txbxContent>
                              </wps:txbx>
                              <wps:bodyPr vert="horz" wrap="square" lIns="91440" tIns="45720" rIns="91440" bIns="45720" anchor="t" anchorCtr="0" upright="0">
                                <a:noAutofit/>
                              </wps:bodyPr>
                            </wps:wsp>
                            <wps:wsp>
                              <wps:cNvPr id="263" name="直接箭头连接符 32 263"/>
                              <wps:cNvSpPr/>
                              <wps:spPr>
                                <a:xfrm rot="0">
                                  <a:off x="742314" y="923925"/>
                                  <a:ext cx="8255" cy="309867"/>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64" name="文本框 36 264"/>
                              <wps:cNvSpPr/>
                              <wps:spPr>
                                <a:xfrm rot="0">
                                  <a:off x="394969" y="1233193"/>
                                  <a:ext cx="730250" cy="271797"/>
                                </a:xfrm>
                                <a:prstGeom prst="rect"/>
                                <a:noFill/>
                                <a:ln w="6350" cmpd="sng" cap="flat">
                                  <a:solidFill>
                                    <a:srgbClr val="000000"/>
                                  </a:solidFill>
                                  <a:prstDash val="solid"/>
                                  <a:round/>
                                </a:ln>
                              </wps:spPr>
                              <wps:txbx id="265">
                                <w:txbxContent>
                                  <w:p>
                                    <w:pPr>
                                      <w:ind w:left="0" w:firstLineChars="0" w:firstLine="0"/>
                                      <w:rPr>
                                        <w:rFonts w:eastAsia="宋体"/>
                                        <w:sz w:val="21"/>
                                        <w:szCs w:val="21"/>
                                        <w:lang w:val="en-US" w:eastAsia="zh-CN"/>
                                      </w:rPr>
                                    </w:pPr>
                                    <w:r>
                                      <w:rPr>
                                        <w:rFonts w:eastAsia="宋体" w:hint="eastAsia"/>
                                        <w:sz w:val="21"/>
                                        <w:szCs w:val="21"/>
                                        <w:lang w:val="en-US" w:eastAsia="zh-CN"/>
                                      </w:rPr>
                                      <w:t>混合搅拌</w:t>
                                    </w:r>
                                  </w:p>
                                </w:txbxContent>
                              </wps:txbx>
                              <wps:bodyPr vert="horz" wrap="square" lIns="91440" tIns="45720" rIns="91440" bIns="45720" anchor="t" anchorCtr="0" upright="0">
                                <a:noAutofit/>
                              </wps:bodyPr>
                            </wps:wsp>
                            <wps:wsp>
                              <wps:cNvPr id="266" name="直接箭头连接符 37 266"/>
                              <wps:cNvSpPr/>
                              <wps:spPr>
                                <a:xfrm rot="0">
                                  <a:off x="775970" y="1522110"/>
                                  <a:ext cx="8254" cy="309867"/>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67" name="文本框 39 267"/>
                              <wps:cNvSpPr/>
                              <wps:spPr>
                                <a:xfrm rot="0">
                                  <a:off x="525779" y="1825009"/>
                                  <a:ext cx="482599" cy="271797"/>
                                </a:xfrm>
                                <a:prstGeom prst="rect"/>
                                <a:noFill/>
                                <a:ln w="6350" cmpd="sng" cap="flat">
                                  <a:solidFill>
                                    <a:srgbClr val="000000"/>
                                  </a:solidFill>
                                  <a:prstDash val="solid"/>
                                  <a:round/>
                                </a:ln>
                              </wps:spPr>
                              <wps:txbx id="268">
                                <w:txbxContent>
                                  <w:p>
                                    <w:pPr>
                                      <w:ind w:left="0" w:firstLineChars="0" w:firstLine="0"/>
                                      <w:rPr>
                                        <w:rFonts w:eastAsia="宋体"/>
                                        <w:sz w:val="21"/>
                                        <w:szCs w:val="21"/>
                                        <w:lang w:val="en-US" w:eastAsia="zh-CN"/>
                                      </w:rPr>
                                    </w:pPr>
                                    <w:r>
                                      <w:rPr>
                                        <w:rFonts w:eastAsia="宋体" w:hint="eastAsia"/>
                                        <w:sz w:val="21"/>
                                        <w:szCs w:val="21"/>
                                        <w:lang w:val="en-US" w:eastAsia="zh-CN"/>
                                      </w:rPr>
                                      <w:t>包装</w:t>
                                    </w:r>
                                  </w:p>
                                </w:txbxContent>
                              </wps:txbx>
                              <wps:bodyPr vert="horz" wrap="square" lIns="91440" tIns="45720" rIns="91440" bIns="45720" anchor="t" anchorCtr="0" upright="0">
                                <a:noAutofit/>
                              </wps:bodyPr>
                            </wps:wsp>
                            <wps:wsp>
                              <wps:cNvPr id="269" name="文本框 40 269"/>
                              <wps:cNvSpPr/>
                              <wps:spPr>
                                <a:xfrm rot="0">
                                  <a:off x="426084" y="2385724"/>
                                  <a:ext cx="893445" cy="271797"/>
                                </a:xfrm>
                                <a:prstGeom prst="rect"/>
                                <a:noFill/>
                                <a:ln w="6350" cmpd="sng" cap="flat">
                                  <a:noFill/>
                                  <a:prstDash val="solid"/>
                                  <a:round/>
                                </a:ln>
                              </wps:spPr>
                              <wps:txbx id="270">
                                <w:txbxContent>
                                  <w:p>
                                    <w:pPr>
                                      <w:ind w:left="0" w:firstLineChars="0" w:firstLine="0"/>
                                      <w:rPr>
                                        <w:rFonts w:eastAsia="宋体"/>
                                        <w:sz w:val="21"/>
                                        <w:szCs w:val="21"/>
                                        <w:lang w:val="en-US" w:eastAsia="zh-CN"/>
                                      </w:rPr>
                                    </w:pPr>
                                    <w:r>
                                      <w:rPr>
                                        <w:rFonts w:eastAsia="宋体" w:hint="eastAsia"/>
                                        <w:sz w:val="21"/>
                                        <w:szCs w:val="21"/>
                                        <w:lang w:val="en-US" w:eastAsia="zh-CN"/>
                                      </w:rPr>
                                      <w:t>入库、待售</w:t>
                                    </w:r>
                                  </w:p>
                                </w:txbxContent>
                              </wps:txbx>
                              <wps:bodyPr vert="horz" wrap="square" lIns="91440" tIns="45720" rIns="91440" bIns="45720" anchor="t" anchorCtr="0" upright="0">
                                <a:noAutofit/>
                              </wps:bodyPr>
                            </wps:wsp>
                            <wps:wsp>
                              <wps:cNvPr id="271" name="直接箭头连接符 41 271"/>
                              <wps:cNvSpPr/>
                              <wps:spPr>
                                <a:xfrm flipV="1" rot="21600000">
                                  <a:off x="1165225" y="1953248"/>
                                  <a:ext cx="431164" cy="442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272" name="文本框 42 272"/>
                              <wps:cNvSpPr/>
                              <wps:spPr>
                                <a:xfrm rot="0">
                                  <a:off x="1561464" y="1819887"/>
                                  <a:ext cx="477520" cy="271797"/>
                                </a:xfrm>
                                <a:prstGeom prst="rect"/>
                                <a:noFill/>
                                <a:ln w="6350" cmpd="sng" cap="flat">
                                  <a:noFill/>
                                  <a:prstDash val="solid"/>
                                  <a:round/>
                                </a:ln>
                              </wps:spPr>
                              <wps:txbx id="273">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wps:txbx>
                              <wps:bodyPr vert="horz" wrap="square" lIns="91440" tIns="45720" rIns="91440" bIns="45720" anchor="t" anchorCtr="0" upright="0">
                                <a:noAutofit/>
                              </wps:bodyPr>
                            </wps:wsp>
                            <wps:wsp>
                              <wps:cNvPr id="274" name="文本框 43 274"/>
                              <wps:cNvSpPr/>
                              <wps:spPr>
                                <a:xfrm rot="0">
                                  <a:off x="1017269" y="1701847"/>
                                  <a:ext cx="726440" cy="271797"/>
                                </a:xfrm>
                                <a:prstGeom prst="rect"/>
                                <a:noFill/>
                                <a:ln w="6350" cmpd="sng" cap="flat">
                                  <a:noFill/>
                                  <a:prstDash val="solid"/>
                                  <a:round/>
                                </a:ln>
                              </wps:spPr>
                              <wps:txbx id="275">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wps:txbx>
                              <wps:bodyPr vert="horz" wrap="square" lIns="91440" tIns="45720" rIns="91440" bIns="45720" anchor="t" anchorCtr="0" upright="0">
                                <a:noAutofit/>
                              </wps:bodyPr>
                            </wps:wsp>
                            <wps:wsp>
                              <wps:cNvPr id="276" name="文本框 44 276"/>
                              <wps:cNvSpPr/>
                              <wps:spPr>
                                <a:xfrm rot="0">
                                  <a:off x="789305" y="0"/>
                                  <a:ext cx="726439" cy="271797"/>
                                </a:xfrm>
                                <a:prstGeom prst="rect"/>
                                <a:noFill/>
                                <a:ln w="6350" cmpd="sng" cap="flat">
                                  <a:noFill/>
                                  <a:prstDash val="solid"/>
                                  <a:round/>
                                </a:ln>
                              </wps:spPr>
                              <wps:txbx id="277">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wps:txbx>
                              <wps:bodyPr vert="horz" wrap="square" lIns="91440" tIns="45720" rIns="91440" bIns="45720" anchor="t" anchorCtr="0" upright="0">
                                <a:noAutofit/>
                              </wps:bodyPr>
                            </wps:wsp>
                            <wps:wsp>
                              <wps:cNvPr id="278" name="文本框 45 278"/>
                              <wps:cNvSpPr/>
                              <wps:spPr>
                                <a:xfrm rot="0">
                                  <a:off x="1570989" y="130776"/>
                                  <a:ext cx="924559" cy="271797"/>
                                </a:xfrm>
                                <a:prstGeom prst="rect"/>
                                <a:noFill/>
                                <a:ln w="6350" cmpd="sng" cap="flat">
                                  <a:noFill/>
                                  <a:prstDash val="solid"/>
                                  <a:round/>
                                </a:ln>
                              </wps:spPr>
                              <wps:txbx id="279">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wps:txbx>
                              <wps:bodyPr vert="horz" wrap="square" lIns="91440" tIns="45720" rIns="91440" bIns="45720" anchor="t" anchorCtr="0" upright="0">
                                <a:noAutofit/>
                              </wps:bodyPr>
                            </wps:wsp>
                            <wps:wsp>
                              <wps:cNvPr id="280" name="文本框 46 280"/>
                              <wps:cNvSpPr/>
                              <wps:spPr>
                                <a:xfrm rot="0">
                                  <a:off x="1115060" y="641976"/>
                                  <a:ext cx="829945" cy="271797"/>
                                </a:xfrm>
                                <a:prstGeom prst="rect"/>
                                <a:noFill/>
                                <a:ln w="6350" cmpd="sng" cap="flat">
                                  <a:noFill/>
                                  <a:prstDash val="solid"/>
                                  <a:round/>
                                </a:ln>
                              </wps:spPr>
                              <wps:txbx id="281">
                                <w:txbxContent>
                                  <w:p>
                                    <w:pPr>
                                      <w:ind w:left="0" w:firstLineChars="0" w:firstLine="0"/>
                                      <w:rPr>
                                        <w:rFonts w:eastAsia="宋体"/>
                                        <w:sz w:val="21"/>
                                        <w:szCs w:val="21"/>
                                        <w:lang w:val="en-US" w:eastAsia="zh-CN"/>
                                      </w:rPr>
                                    </w:pPr>
                                    <w:r>
                                      <w:rPr>
                                        <w:rFonts w:eastAsia="宋体" w:hint="eastAsia"/>
                                        <w:sz w:val="21"/>
                                        <w:szCs w:val="21"/>
                                        <w:lang w:val="en-US" w:eastAsia="zh-CN"/>
                                      </w:rPr>
                                      <w:t>G2、S3、N</w:t>
                                    </w:r>
                                  </w:p>
                                </w:txbxContent>
                              </wps:txbx>
                              <wps:bodyPr vert="horz" wrap="square" lIns="91440" tIns="45720" rIns="91440" bIns="45720" anchor="t" anchorCtr="0" upright="0">
                                <a:noAutofit/>
                              </wps:bodyPr>
                            </wps:wsp>
                            <wps:wsp>
                              <wps:cNvPr id="282" name="文本框 48 282"/>
                              <wps:cNvSpPr/>
                              <wps:spPr>
                                <a:xfrm rot="0">
                                  <a:off x="1917065" y="1825009"/>
                                  <a:ext cx="837564" cy="271797"/>
                                </a:xfrm>
                                <a:prstGeom prst="rect"/>
                                <a:noFill/>
                                <a:ln w="6350" cmpd="sng" cap="flat">
                                  <a:noFill/>
                                  <a:prstDash val="solid"/>
                                  <a:round/>
                                </a:ln>
                              </wps:spPr>
                              <wps:txbx id="283">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wps:txbx>
                              <wps:bodyPr vert="horz" wrap="square" lIns="91440" tIns="45720" rIns="91440" bIns="45720" anchor="t" anchorCtr="0" upright="0">
                                <a:noAutofit/>
                              </wps:bodyPr>
                            </wps:wsp>
                            <wps:wsp>
                              <wps:cNvPr id="284" name="文本框 49 284"/>
                              <wps:cNvSpPr/>
                              <wps:spPr>
                                <a:xfrm rot="0">
                                  <a:off x="1068705" y="1263003"/>
                                  <a:ext cx="302259" cy="271797"/>
                                </a:xfrm>
                                <a:prstGeom prst="rect"/>
                                <a:noFill/>
                                <a:ln w="6350" cmpd="sng" cap="flat">
                                  <a:noFill/>
                                  <a:prstDash val="solid"/>
                                  <a:round/>
                                </a:ln>
                              </wps:spPr>
                              <wps:txbx id="285">
                                <w:txbxContent>
                                  <w:p>
                                    <w:pPr>
                                      <w:ind w:left="0" w:firstLineChars="0" w:firstLine="0"/>
                                      <w:rPr>
                                        <w:rFonts w:eastAsia="宋体"/>
                                        <w:sz w:val="21"/>
                                        <w:szCs w:val="21"/>
                                        <w:lang w:val="en-US" w:eastAsia="zh-CN"/>
                                      </w:rPr>
                                    </w:pPr>
                                    <w:r>
                                      <w:rPr>
                                        <w:rFonts w:eastAsia="宋体" w:hint="eastAsia"/>
                                        <w:sz w:val="21"/>
                                        <w:szCs w:val="21"/>
                                        <w:lang w:val="en-US" w:eastAsia="zh-CN"/>
                                      </w:rPr>
                                      <w:t>N</w:t>
                                    </w:r>
                                  </w:p>
                                </w:txbxContent>
                              </wps:txbx>
                              <wps:bodyPr vert="horz" wrap="square" lIns="91440" tIns="45720" rIns="91440" bIns="45720" anchor="t" anchorCtr="0" upright="0">
                                <a:noAutofit/>
                              </wps:bodyPr>
                            </wps:wsp>
                            <wps:wsp>
                              <wps:cNvPr id="286" name="文本框 52 286"/>
                              <wps:cNvSpPr/>
                              <wps:spPr>
                                <a:xfrm rot="0">
                                  <a:off x="0" y="1841483"/>
                                  <a:ext cx="610235" cy="271797"/>
                                </a:xfrm>
                                <a:prstGeom prst="rect"/>
                                <a:noFill/>
                                <a:ln w="6350" cmpd="sng" cap="flat">
                                  <a:noFill/>
                                  <a:prstDash val="solid"/>
                                  <a:round/>
                                </a:ln>
                              </wps:spPr>
                              <wps:txbx id="287">
                                <w:txbxContent>
                                  <w:p>
                                    <w:pPr>
                                      <w:ind w:left="0" w:firstLineChars="0" w:firstLine="0"/>
                                      <w:rPr>
                                        <w:rFonts w:eastAsia="宋体"/>
                                        <w:sz w:val="21"/>
                                        <w:szCs w:val="21"/>
                                        <w:lang w:val="en-US" w:eastAsia="zh-CN"/>
                                      </w:rPr>
                                    </w:pPr>
                                    <w:r>
                                      <w:rPr>
                                        <w:rFonts w:eastAsia="宋体" w:hint="eastAsia"/>
                                        <w:sz w:val="21"/>
                                        <w:szCs w:val="21"/>
                                        <w:lang w:val="en-US" w:eastAsia="zh-CN"/>
                                      </w:rPr>
                                      <w:t>G3、N</w:t>
                                    </w:r>
                                  </w:p>
                                </w:txbxContent>
                              </wps:txbx>
                              <wps:bodyPr vert="horz" wrap="square" lIns="91440" tIns="45720" rIns="91440" bIns="45720" anchor="t" anchorCtr="0" upright="0">
                                <a:noAutofit/>
                              </wps:bodyPr>
                            </wps:wsp>
                            <wps:bodyPr vert="horz" wrap="square" lIns="91440" tIns="45720" rIns="91440" bIns="45720" anchor="t" anchorCtr="0" upright="1">
                              <a:noAutofit/>
                            </wps:bodyPr>
                          </wpg:wgp>
                        </a:graphicData>
                      </a:graphic>
                    </wp:anchor>
                  </w:drawing>
                </mc:Choice>
                <mc:Fallback>
                  <w:pict>
                    <v:group type="#_x0000_t1" id="组合 1045" o:spid="_x0000_s288" coordorigin="4654,10611" coordsize="4338,4185" style="position:absolute;margin-left:130.3pt;margin-top:4.1000004pt;width:216.90001pt;height:209.25363pt;z-index:680;mso-position-horizontal:absolute;mso-position-vertical:absolute;">
                      <v:rect type="#_x0000_t1" id="_s289" o:spid="_x0000_s289" style="position:absolute;left:5411;top:10761;width:752;height:428;mso-wrap-style:square;" filled="f" stroked="f" strokeweight="0.5pt">
                        <v:textbox id="907"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v:textbox>
                        <v:stroke/>
                      </v:rect>
                      <v:shape type="#_x0000_t32" id="直接箭头连接符 38 256" o:spid="_x0000_s290" style="position:absolute;left:5911;top:13943;width:13;height:488;" filled="f" stroked="t">
                        <v:stroke color="#000000" endarrow="open"/>
                      </v:shape>
                      <v:shape type="#_x0000_t32" id="直接箭头连接符 28 257" o:spid="_x0000_s291" style="position:absolute;left:6070;top:11025;width:581;height:6;flip:y;" filled="f" stroked="t">
                        <v:stroke color="#000000" endarrow="open"/>
                      </v:shape>
                      <v:rect type="#_x0000_t1" id="_s292" o:spid="_x0000_s292" style="position:absolute;left:6630;top:10838;width:752;height:428;mso-wrap-style:square;" filled="f" stroked="f" strokeweight="0.5pt">
                        <v:textbox id="908"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v:textbox>
                        <v:stroke/>
                      </v:rect>
                      <v:shape type="#_x0000_t32" id="直接箭头连接符 30 260" o:spid="_x0000_s293" style="position:absolute;left:5779;top:11156;width:13;height:488;" filled="f" stroked="t">
                        <v:stroke color="#000000" endarrow="open"/>
                      </v:shape>
                      <v:rect type="#_x0000_t1" id="_s294" o:spid="_x0000_s294" style="position:absolute;left:5223;top:11623;width:1222;height:428;mso-wrap-style:square;" filled="f" stroked="t" strokeweight="0.5pt">
                        <v:textbox id="909"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称量投料</w:t>
                              </w:r>
                            </w:p>
                          </w:txbxContent>
                        </v:textbox>
                        <v:stroke color="#000000"/>
                      </v:rect>
                      <v:shape type="#_x0000_t32" id="直接箭头连接符 32 263" o:spid="_x0000_s295" style="position:absolute;left:5823;top:12066;width:13;height:488;" filled="f" stroked="t">
                        <v:stroke color="#000000" endarrow="open"/>
                      </v:shape>
                      <v:rect type="#_x0000_t1" id="_s296" o:spid="_x0000_s296" style="position:absolute;left:5276;top:12553;width:1150;height:428;mso-wrap-style:square;" filled="f" stroked="t" strokeweight="0.5pt">
                        <v:textbox id="910"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混合搅拌</w:t>
                              </w:r>
                            </w:p>
                          </w:txbxContent>
                        </v:textbox>
                        <v:stroke color="#000000"/>
                      </v:rect>
                      <v:shape type="#_x0000_t32" id="直接箭头连接符 37 266" o:spid="_x0000_s297" style="position:absolute;left:5876;top:13008;width:13;height:488;" filled="f" stroked="t">
                        <v:stroke color="#000000" endarrow="open"/>
                      </v:shape>
                      <v:rect type="#_x0000_t1" id="_s298" o:spid="_x0000_s298" style="position:absolute;left:5482;top:13485;width:759;height:428;mso-wrap-style:square;" filled="f" stroked="t" strokeweight="0.5pt">
                        <v:textbox id="911"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包装</w:t>
                              </w:r>
                            </w:p>
                          </w:txbxContent>
                        </v:textbox>
                        <v:stroke color="#000000"/>
                      </v:rect>
                      <v:rect type="#_x0000_t1" id="_s299" o:spid="_x0000_s299" style="position:absolute;left:5325;top:14368;width:1406;height:428;mso-wrap-style:square;" filled="f" stroked="f" strokeweight="0.5pt">
                        <v:textbox id="912"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入库、待售</w:t>
                              </w:r>
                            </w:p>
                          </w:txbxContent>
                        </v:textbox>
                        <v:stroke/>
                      </v:rect>
                      <v:shape type="#_x0000_t32" id="直接箭头连接符 41 271" o:spid="_x0000_s300" style="position:absolute;left:6489;top:13687;width:679;height:7;flip:y;" filled="f" stroked="t">
                        <v:stroke color="#000000" endarrow="open"/>
                      </v:shape>
                      <v:rect type="#_x0000_t1" id="_s301" o:spid="_x0000_s301" style="position:absolute;left:7113;top:13477;width:752;height:428;mso-wrap-style:square;" filled="f" stroked="f" strokeweight="0.5pt">
                        <v:textbox id="913"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v:textbox>
                        <v:stroke/>
                      </v:rect>
                      <v:rect type="#_x0000_t1" id="_s302" o:spid="_x0000_s302" style="position:absolute;left:6256;top:13291;width:1144;height:428;mso-wrap-style:square;" filled="f" stroked="f" strokeweight="0.5pt">
                        <v:textbox id="914"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v:textbox>
                        <v:stroke/>
                      </v:rect>
                      <v:rect type="#_x0000_t1" id="_s303" o:spid="_x0000_s303" style="position:absolute;left:5897;top:10611;width:1144;height:428;mso-wrap-style:square;" filled="f" stroked="f" strokeweight="0.5pt">
                        <v:textbox id="915"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v:textbox>
                        <v:stroke/>
                      </v:rect>
                      <v:rect type="#_x0000_t1" id="_s304" o:spid="_x0000_s304" style="position:absolute;left:7128;top:10817;width:1455;height:428;mso-wrap-style:square;" filled="f" stroked="f" strokeweight="0.5pt">
                        <v:textbox id="916"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v:textbox>
                        <v:stroke/>
                      </v:rect>
                      <v:rect type="#_x0000_t1" id="_s305" o:spid="_x0000_s305" style="position:absolute;left:6410;top:11622;width:1307;height:428;mso-wrap-style:square;" filled="f" stroked="f" strokeweight="0.5pt">
                        <v:textbox id="917"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G2、S3、N</w:t>
                              </w:r>
                            </w:p>
                          </w:txbxContent>
                        </v:textbox>
                        <v:stroke/>
                      </v:rect>
                      <v:rect type="#_x0000_t1" id="_s306" o:spid="_x0000_s306" style="position:absolute;left:7673;top:13485;width:1319;height:428;mso-wrap-style:square;" filled="f" stroked="f" strokeweight="0.5pt">
                        <v:textbox id="918"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v:textbox>
                        <v:stroke/>
                      </v:rect>
                      <v:rect type="#_x0000_t1" id="_s307" o:spid="_x0000_s307" style="position:absolute;left:6337;top:12600;width:475;height:428;mso-wrap-style:square;" filled="f" stroked="f" strokeweight="0.5pt">
                        <v:textbox id="919"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N</w:t>
                              </w:r>
                            </w:p>
                          </w:txbxContent>
                        </v:textbox>
                        <v:stroke/>
                      </v:rect>
                      <v:rect type="#_x0000_t1" id="_s308" o:spid="_x0000_s308" style="position:absolute;left:4654;top:13511;width:961;height:428;mso-wrap-style:square;" filled="f" stroked="f" strokeweight="0.5pt">
                        <v:textbox id="920"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G3、N</w:t>
                              </w:r>
                            </w:p>
                          </w:txbxContent>
                        </v:textbox>
                        <v:stroke/>
                      </v:rect>
                    </v:group>
                  </w:pict>
                </mc:Fallback>
              </mc:AlternateContent>
            </w: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right"/>
              <w:rPr>
                <w:color w:val="auto"/>
              </w:rPr>
            </w:pPr>
            <w:r>
              <w:rPr>
                <w:rFonts w:hint="eastAsia"/>
                <w:b w:val="0"/>
                <w:bCs/>
                <w:color w:val="auto"/>
                <w:lang w:val="en-US" w:eastAsia="zh-CN"/>
              </w:rPr>
              <w:t>图例：G 废气、N 噪声、S 固体废物</w:t>
            </w:r>
          </w:p>
          <w:p>
            <w:pPr>
              <w:rPr>
                <w:rFonts w:hint="eastAsia"/>
                <w:bCs/>
                <w:color w:val="auto"/>
                <w:szCs w:val="21"/>
                <w:lang w:val="en-US" w:eastAsia="zh-CN"/>
              </w:rPr>
            </w:pPr>
            <w:r>
              <w:rPr>
                <w:rFonts w:ascii="Times New Roman" w:eastAsia="宋体" w:hAnsi="Times New Roman" w:hint="eastAsia"/>
                <w:bCs/>
                <w:color w:val="auto"/>
                <w:szCs w:val="21"/>
                <w:lang w:val="en-US" w:eastAsia="zh-CN"/>
              </w:rPr>
              <w:t xml:space="preserve">（1）原料抽样检测 </w:t>
            </w:r>
          </w:p>
          <w:p>
            <w:pPr>
              <w:rPr>
                <w:rFonts w:hint="eastAsia"/>
                <w:bCs/>
                <w:color w:val="auto"/>
                <w:szCs w:val="21"/>
                <w:lang w:val="en-US" w:eastAsia="zh-CN"/>
              </w:rPr>
            </w:pPr>
            <w:r>
              <w:rPr>
                <w:rFonts w:ascii="Times New Roman" w:eastAsia="宋体" w:hAnsi="Times New Roman" w:hint="eastAsia"/>
                <w:bCs/>
                <w:color w:val="auto"/>
                <w:szCs w:val="21"/>
                <w:lang w:val="en-US" w:eastAsia="zh-CN"/>
              </w:rPr>
              <w:t>外购颗粒状原料抽样送至厂区化验室检测主要元素含量是否达到产品标准和生产要求。</w:t>
            </w:r>
          </w:p>
          <w:p>
            <w:pPr>
              <w:rPr>
                <w:rFonts w:hint="eastAsia"/>
                <w:bCs/>
                <w:color w:val="auto"/>
                <w:szCs w:val="21"/>
                <w:lang w:val="en-US" w:eastAsia="zh-CN"/>
              </w:rPr>
            </w:pPr>
            <w:r>
              <w:rPr>
                <w:rFonts w:ascii="Times New Roman" w:eastAsia="宋体" w:hAnsi="Times New Roman" w:hint="eastAsia"/>
                <w:bCs/>
                <w:color w:val="auto"/>
                <w:szCs w:val="21"/>
                <w:lang w:val="en-US" w:eastAsia="zh-CN"/>
              </w:rPr>
              <w:t xml:space="preserve">（2）混合搅拌 </w:t>
            </w:r>
          </w:p>
          <w:p>
            <w:pPr>
              <w:rPr>
                <w:rFonts w:hint="eastAsia"/>
                <w:bCs/>
                <w:color w:val="auto"/>
                <w:szCs w:val="21"/>
                <w:lang w:val="en-US" w:eastAsia="zh-CN"/>
              </w:rPr>
            </w:pPr>
            <w:r>
              <w:rPr>
                <w:rFonts w:ascii="Times New Roman" w:eastAsia="宋体" w:hAnsi="Times New Roman" w:hint="eastAsia"/>
                <w:bCs/>
                <w:color w:val="auto"/>
                <w:szCs w:val="21"/>
                <w:lang w:val="en-US" w:eastAsia="zh-CN"/>
              </w:rPr>
              <w:t>将外购的原辅材料和准备好的中微量元素由工人投入投料口。原辅材料按电脑配料控制系统称量一定的比例后经密闭的传送带装置传送至密闭的提升机将原料提升至密闭式混料机中搅拌，搅拌均匀的物料即为掺混肥产品。</w:t>
            </w:r>
          </w:p>
          <w:p>
            <w:pPr>
              <w:rPr>
                <w:rFonts w:hint="eastAsia"/>
                <w:bCs/>
                <w:color w:val="auto"/>
                <w:szCs w:val="21"/>
                <w:lang w:val="en-US" w:eastAsia="zh-CN"/>
              </w:rPr>
            </w:pPr>
            <w:r>
              <w:rPr>
                <w:rFonts w:ascii="Times New Roman" w:eastAsia="宋体" w:hAnsi="Times New Roman" w:hint="eastAsia"/>
                <w:bCs/>
                <w:color w:val="auto"/>
                <w:szCs w:val="21"/>
                <w:lang w:val="en-US" w:eastAsia="zh-CN"/>
              </w:rPr>
              <w:t xml:space="preserve">（3）装袋、入库 </w:t>
            </w:r>
          </w:p>
          <w:p>
            <w:pPr>
              <w:rPr>
                <w:rFonts w:hint="eastAsia"/>
                <w:bCs/>
                <w:color w:val="auto"/>
                <w:szCs w:val="21"/>
                <w:lang w:val="en-US" w:eastAsia="zh-CN"/>
              </w:rPr>
            </w:pPr>
            <w:r>
              <w:rPr>
                <w:rFonts w:ascii="Times New Roman" w:eastAsia="宋体" w:hAnsi="Times New Roman" w:hint="eastAsia"/>
                <w:bCs/>
                <w:color w:val="auto"/>
                <w:szCs w:val="21"/>
                <w:lang w:val="en-US" w:eastAsia="zh-CN"/>
              </w:rPr>
              <w:t>混合均匀的产品经定量电子计量包装称称量后，从密闭式混料机出料口出料进行装袋处理。产品包装过程中会抽样送至化验室化验处理，产品包装完成入库待售。</w:t>
            </w:r>
          </w:p>
          <w:p>
            <w:pPr>
              <w:widowControl w:val="0"/>
              <w:spacing w:line="240" w:lineRule="auto"/>
              <w:ind w:firstLineChars="0" w:firstLine="0"/>
              <w:jc w:val="center"/>
              <w:rPr>
                <w:rFonts w:ascii="Times New Roman" w:eastAsia="宋体" w:cs="Times New Roman" w:hAnsi="Times New Roman"/>
                <w:b/>
                <w:color w:val="auto"/>
                <w:kern w:val="2"/>
                <w:sz w:val="24"/>
                <w:szCs w:val="21"/>
                <w:lang w:val="en-US" w:eastAsia="zh-CN" w:bidi="ar-SA"/>
              </w:rPr>
            </w:pPr>
            <w:r>
              <w:rPr>
                <w:rFonts w:ascii="Times New Roman" w:eastAsia="宋体" w:cs="Times New Roman" w:hAnsi="Times New Roman"/>
                <w:b/>
                <w:color w:val="auto"/>
                <w:kern w:val="2"/>
                <w:sz w:val="24"/>
                <w:szCs w:val="21"/>
                <w:lang w:val="en-US" w:eastAsia="zh-CN" w:bidi="ar-SA"/>
              </w:rPr>
              <w:t>表2-</w:t>
            </w:r>
            <w:r>
              <w:rPr>
                <w:rFonts w:ascii="Times New Roman" w:eastAsia="宋体" w:cs="Times New Roman" w:hAnsi="Times New Roman" w:hint="eastAsia"/>
                <w:b/>
                <w:color w:val="auto"/>
                <w:kern w:val="2"/>
                <w:sz w:val="24"/>
                <w:szCs w:val="21"/>
                <w:lang w:val="en-US" w:eastAsia="zh-CN" w:bidi="ar-SA"/>
              </w:rPr>
              <w:t>1</w:t>
            </w:r>
            <w:r>
              <w:rPr>
                <w:rFonts w:cs="Times New Roman" w:hint="eastAsia"/>
                <w:b/>
                <w:color w:val="auto"/>
                <w:kern w:val="2"/>
                <w:sz w:val="24"/>
                <w:szCs w:val="21"/>
                <w:lang w:val="en-US" w:eastAsia="zh-CN" w:bidi="ar-SA"/>
              </w:rPr>
              <w:t>1</w:t>
            </w:r>
            <w:r>
              <w:rPr>
                <w:rFonts w:ascii="Times New Roman" w:eastAsia="宋体" w:cs="Times New Roman" w:hAnsi="Times New Roman"/>
                <w:b/>
                <w:color w:val="auto"/>
                <w:kern w:val="2"/>
                <w:sz w:val="24"/>
                <w:szCs w:val="21"/>
                <w:lang w:val="en-US" w:eastAsia="zh-CN" w:bidi="ar-SA"/>
              </w:rPr>
              <w:t xml:space="preserve"> </w:t>
            </w:r>
            <w:r>
              <w:rPr>
                <w:rFonts w:ascii="Times New Roman" w:eastAsia="宋体" w:cs="Times New Roman" w:hAnsi="Times New Roman" w:hint="eastAsia"/>
                <w:b/>
                <w:color w:val="auto"/>
                <w:kern w:val="2"/>
                <w:sz w:val="24"/>
                <w:szCs w:val="21"/>
                <w:lang w:val="en-US" w:eastAsia="zh-CN" w:bidi="ar-SA"/>
              </w:rPr>
              <w:t xml:space="preserve"> 排污</w:t>
            </w:r>
            <w:r>
              <w:rPr>
                <w:rFonts w:ascii="Times New Roman" w:eastAsia="宋体" w:cs="Times New Roman" w:hAnsi="Times New Roman"/>
                <w:b/>
                <w:color w:val="auto"/>
                <w:kern w:val="2"/>
                <w:sz w:val="24"/>
                <w:szCs w:val="21"/>
                <w:lang w:val="en-US" w:eastAsia="zh-CN" w:bidi="ar-SA"/>
              </w:rPr>
              <w:t>节点及处理方式一览表</w:t>
            </w:r>
          </w:p>
          <w:tbl>
            <w:tblPr>
              <w:tblpPr w:leftFromText="180" w:rightFromText="180" w:vertAnchor="text" w:tblpXSpec="left" w:tblpY="1"/>
              <w:tblOverlap w:val="never"/>
              <w:tblW w:w="8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668"/>
              <w:gridCol w:w="843"/>
              <w:gridCol w:w="1337"/>
              <w:gridCol w:w="1672"/>
              <w:gridCol w:w="901"/>
              <w:gridCol w:w="2936"/>
            </w:tblGrid>
            <w:tr>
              <w:trPr>
                <w:trHeight w:val="23"/>
              </w:trPr>
              <w:tc>
                <w:tcPr>
                  <w:tcW w:w="668"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项目</w:t>
                  </w:r>
                </w:p>
              </w:tc>
              <w:tc>
                <w:tcPr>
                  <w:tcW w:w="843"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序号</w:t>
                  </w:r>
                </w:p>
              </w:tc>
              <w:tc>
                <w:tcPr>
                  <w:tcW w:w="1337"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污染源</w:t>
                  </w:r>
                </w:p>
              </w:tc>
              <w:tc>
                <w:tcPr>
                  <w:tcW w:w="1672"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污染物</w:t>
                  </w:r>
                </w:p>
              </w:tc>
              <w:tc>
                <w:tcPr>
                  <w:tcW w:w="901"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排放</w:t>
                  </w:r>
                </w:p>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特征</w:t>
                  </w:r>
                </w:p>
              </w:tc>
              <w:tc>
                <w:tcPr>
                  <w:tcW w:w="2936"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治理措施</w:t>
                  </w:r>
                </w:p>
              </w:tc>
            </w:tr>
            <w:tr>
              <w:trPr>
                <w:trHeight w:val="23"/>
              </w:trPr>
              <w:tc>
                <w:tcPr>
                  <w:tcW w:w="668" w:type="dxa"/>
                  <w:vMerge w:val="restart"/>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废气</w:t>
                  </w: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G1</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化验室废气</w:t>
                  </w:r>
                </w:p>
              </w:tc>
              <w:tc>
                <w:tcPr>
                  <w:tcW w:w="1672" w:type="dxa"/>
                  <w:tcBorders>
                    <w:bottom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硫酸雾、氯化氢、氮氧化物、非甲烷总烃</w:t>
                  </w:r>
                </w:p>
              </w:tc>
              <w:tc>
                <w:tcPr>
                  <w:tcW w:w="901" w:type="dxa"/>
                  <w:tcBorders>
                    <w:bottom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间歇</w:t>
                  </w:r>
                </w:p>
              </w:tc>
              <w:tc>
                <w:tcPr>
                  <w:tcW w:w="2936"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废气经集气罩收集+二级活性炭吸附装置TA001+干式酸雾净化器+15m排气筒P4</w:t>
                  </w:r>
                </w:p>
              </w:tc>
            </w:tr>
            <w:tr>
              <w:trPr>
                <w:trHeight w:val="23"/>
              </w:trPr>
              <w:tc>
                <w:tcPr>
                  <w:tcW w:w="668" w:type="dxa"/>
                  <w:vMerge/>
                  <w:vAlign w:val="center"/>
                </w:tcP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w:t>
                  </w:r>
                  <w:r>
                    <w:rPr>
                      <w:rFonts w:cs="Times New Roman" w:hint="eastAsia"/>
                      <w:color w:val="auto"/>
                      <w:kern w:val="0"/>
                      <w:sz w:val="21"/>
                      <w:szCs w:val="24"/>
                      <w:lang w:val="en-US" w:eastAsia="zh-CN" w:bidi="ar-SA"/>
                    </w:rPr>
                    <w:t>2</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投料废气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r>
                    <w:rPr>
                      <w:rFonts w:ascii="Times New Roman" w:eastAsia="宋体" w:cs="Times New Roman" w:hAnsi="Times New Roman" w:hint="eastAsia"/>
                      <w:color w:val="auto"/>
                      <w:kern w:val="0"/>
                      <w:sz w:val="21"/>
                      <w:szCs w:val="24"/>
                      <w:lang w:val="en-US" w:eastAsia="zh-CN" w:bidi="ar-SA"/>
                    </w:rPr>
                    <w:t>、氨、臭气浓度</w:t>
                  </w:r>
                  <w:r>
                    <w:rPr>
                      <w:rFonts w:cs="Times New Roman" w:hint="eastAsia"/>
                      <w:color w:val="auto"/>
                      <w:kern w:val="0"/>
                      <w:sz w:val="21"/>
                      <w:szCs w:val="24"/>
                      <w:lang w:val="en-US" w:eastAsia="zh-CN" w:bidi="ar-SA"/>
                    </w:rPr>
                    <w:t>、甲醛、非甲烷总烃</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间歇</w:t>
                  </w:r>
                </w:p>
              </w:tc>
              <w:tc>
                <w:tcPr>
                  <w:tcW w:w="2936" w:type="dxa"/>
                  <w:vMerge w:val="restart"/>
                  <w:tcBorders>
                    <w:left w:val="single" w:sz="6" w:space="0" w:color="000000"/>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由集气罩+管道收集经旋风除尘器TA001+袋式除尘器TA002+二级活性炭吸附装置TA002+15m排气筒P2</w:t>
                  </w:r>
                </w:p>
              </w:tc>
            </w:tr>
            <w:tr>
              <w:trPr>
                <w:trHeight w:val="23"/>
              </w:trPr>
              <w:tc>
                <w:tcPr>
                  <w:tcW w:w="668" w:type="dxa"/>
                  <w:vMerge/>
                  <w:vAlign w:val="center"/>
                </w:tcP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w:t>
                  </w:r>
                  <w:r>
                    <w:rPr>
                      <w:rFonts w:cs="Times New Roman" w:hint="eastAsia"/>
                      <w:color w:val="auto"/>
                      <w:kern w:val="0"/>
                      <w:sz w:val="21"/>
                      <w:szCs w:val="24"/>
                      <w:lang w:val="en-US" w:eastAsia="zh-CN" w:bidi="ar-SA"/>
                    </w:rPr>
                    <w:t>3</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包装废气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r>
                    <w:rPr>
                      <w:rFonts w:ascii="Times New Roman" w:eastAsia="宋体" w:cs="Times New Roman" w:hAnsi="Times New Roman" w:hint="eastAsia"/>
                      <w:color w:val="auto"/>
                      <w:kern w:val="0"/>
                      <w:sz w:val="21"/>
                      <w:szCs w:val="24"/>
                      <w:lang w:val="en-US" w:eastAsia="zh-CN" w:bidi="ar-SA"/>
                    </w:rPr>
                    <w:t>、氨、臭气浓度</w:t>
                  </w:r>
                  <w:r>
                    <w:rPr>
                      <w:rFonts w:cs="Times New Roman" w:hint="eastAsia"/>
                      <w:color w:val="auto"/>
                      <w:kern w:val="0"/>
                      <w:sz w:val="21"/>
                      <w:szCs w:val="24"/>
                      <w:lang w:val="en-US" w:eastAsia="zh-CN" w:bidi="ar-SA"/>
                    </w:rPr>
                    <w:t>、</w:t>
                  </w:r>
                  <w:r>
                    <w:rPr>
                      <w:rFonts w:ascii="Times New Roman" w:eastAsia="宋体" w:cs="Times New Roman" w:hAnsi="Times New Roman" w:hint="eastAsia"/>
                      <w:color w:val="auto"/>
                      <w:kern w:val="0"/>
                      <w:sz w:val="21"/>
                      <w:szCs w:val="24"/>
                      <w:lang w:val="en-US" w:eastAsia="zh-CN" w:bidi="ar-SA"/>
                    </w:rPr>
                    <w:t>甲醛、非甲烷总烃</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连续</w:t>
                  </w:r>
                </w:p>
              </w:tc>
              <w:tc>
                <w:tcPr>
                  <w:tcW w:w="2936" w:type="dxa"/>
                  <w:vMerge/>
                  <w:tcBorders>
                    <w:left w:val="single" w:sz="6" w:space="0" w:color="000000"/>
                  </w:tcBorders>
                  <w:vAlign w:val="center"/>
                </w:tcPr>
                <w:p/>
              </w:tc>
            </w:tr>
            <w:tr>
              <w:trPr>
                <w:trHeight w:val="23"/>
              </w:trPr>
              <w:tc>
                <w:tcPr>
                  <w:tcW w:w="668"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噪声</w:t>
                  </w: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N</w:t>
                  </w:r>
                </w:p>
              </w:tc>
              <w:tc>
                <w:tcPr>
                  <w:tcW w:w="1337"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密闭筛分机、皮带输送机、提升机、密闭式混料机、包装封口机等生产设备</w:t>
                  </w:r>
                </w:p>
              </w:tc>
              <w:tc>
                <w:tcPr>
                  <w:tcW w:w="1672"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噪声</w:t>
                  </w:r>
                </w:p>
              </w:tc>
              <w:tc>
                <w:tcPr>
                  <w:tcW w:w="901"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间歇</w:t>
                  </w:r>
                </w:p>
              </w:tc>
              <w:tc>
                <w:tcPr>
                  <w:tcW w:w="2936"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厂房隔声、选用低噪声设备，采取基础减振等措施</w:t>
                  </w:r>
                </w:p>
              </w:tc>
            </w:tr>
            <w:tr>
              <w:trPr>
                <w:trHeight w:val="23"/>
              </w:trPr>
              <w:tc>
                <w:tcPr>
                  <w:tcW w:w="668" w:type="dxa"/>
                  <w:vMerge w:val="restart"/>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固体废物</w:t>
                  </w:r>
                </w:p>
              </w:tc>
              <w:tc>
                <w:tcPr>
                  <w:tcW w:w="843" w:type="dxa"/>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S1</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化验室废液</w:t>
                  </w:r>
                </w:p>
              </w:tc>
              <w:tc>
                <w:tcPr>
                  <w:tcW w:w="901"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2936"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分类密闭收集后暂存于危废间，定期交有资质单位处置</w:t>
                  </w:r>
                </w:p>
              </w:tc>
            </w:tr>
            <w:tr>
              <w:trPr>
                <w:trHeight w:val="524"/>
              </w:trPr>
              <w:tc>
                <w:tcPr>
                  <w:tcW w:w="668" w:type="dxa"/>
                  <w:vMerge/>
                  <w:vAlign w:val="center"/>
                </w:tcPr>
                <w:p/>
              </w:tc>
              <w:tc>
                <w:tcPr>
                  <w:tcW w:w="843" w:type="dxa"/>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S2</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化验室废包装</w:t>
                  </w:r>
                </w:p>
              </w:tc>
              <w:tc>
                <w:tcPr>
                  <w:tcW w:w="901" w:type="dxa"/>
                  <w:vMerge/>
                  <w:tcBorders>
                    <w:left w:val="single" w:sz="6" w:space="0" w:color="000000"/>
                  </w:tcBorders>
                  <w:vAlign w:val="center"/>
                </w:tcPr>
                <w:p/>
              </w:tc>
              <w:tc>
                <w:tcPr>
                  <w:tcW w:w="2936" w:type="dxa"/>
                  <w:vMerge/>
                  <w:tcBorders>
                    <w:bottom w:val="single" w:sz="4" w:space="0" w:color="auto"/>
                  </w:tcBorders>
                  <w:vAlign w:val="center"/>
                </w:tcPr>
                <w:p/>
              </w:tc>
            </w:tr>
            <w:tr>
              <w:trPr>
                <w:trHeight w:val="23"/>
              </w:trPr>
              <w:tc>
                <w:tcPr>
                  <w:tcW w:w="668" w:type="dxa"/>
                  <w:vMerge/>
                  <w:vAlign w:val="center"/>
                </w:tcPr>
                <w:p/>
              </w:tc>
              <w:tc>
                <w:tcPr>
                  <w:tcW w:w="843" w:type="dxa"/>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lang w:val="en-US" w:eastAsia="zh-CN"/>
                    </w:rPr>
                  </w:pPr>
                  <w:r>
                    <w:rPr>
                      <w:rFonts w:ascii="Times New Roman" w:eastAsia="宋体" w:cs="Times New Roman" w:hAnsi="Times New Roman" w:hint="eastAsia"/>
                      <w:color w:val="auto"/>
                      <w:sz w:val="21"/>
                      <w:szCs w:val="21"/>
                      <w:lang w:val="en-US" w:eastAsia="zh-CN"/>
                    </w:rPr>
                    <w:t>S</w:t>
                  </w:r>
                  <w:r>
                    <w:rPr>
                      <w:rFonts w:cs="Times New Roman" w:hint="eastAsia"/>
                      <w:color w:val="auto"/>
                      <w:sz w:val="21"/>
                      <w:szCs w:val="21"/>
                      <w:lang w:val="en-US" w:eastAsia="zh-CN"/>
                    </w:rPr>
                    <w:t>3</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cs="Times New Roman" w:hint="eastAsia"/>
                      <w:color w:val="auto"/>
                      <w:kern w:val="2"/>
                      <w:sz w:val="21"/>
                      <w:szCs w:val="21"/>
                      <w:lang w:val="en-US" w:eastAsia="zh-CN" w:bidi="ar-SA"/>
                    </w:rPr>
                    <w:t>原料</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废包装</w:t>
                  </w:r>
                  <w:r>
                    <w:rPr>
                      <w:rFonts w:cs="Times New Roman" w:hint="eastAsia"/>
                      <w:color w:val="auto"/>
                      <w:kern w:val="2"/>
                      <w:sz w:val="21"/>
                      <w:szCs w:val="21"/>
                      <w:lang w:val="en-US" w:eastAsia="zh-CN" w:bidi="ar-SA"/>
                    </w:rPr>
                    <w:t>袋</w:t>
                  </w:r>
                </w:p>
              </w:tc>
              <w:tc>
                <w:tcPr>
                  <w:tcW w:w="901" w:type="dxa"/>
                  <w:vMerge/>
                  <w:tcBorders>
                    <w:left w:val="single" w:sz="6" w:space="0" w:color="000000"/>
                  </w:tcBorders>
                  <w:vAlign w:val="center"/>
                </w:tcPr>
                <w:p/>
              </w:tc>
              <w:tc>
                <w:tcPr>
                  <w:tcW w:w="2936" w:type="dxa"/>
                  <w:tcBorders>
                    <w:top w:val="single" w:sz="4" w:space="0" w:color="auto"/>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统一收集后外售</w:t>
                  </w:r>
                </w:p>
              </w:tc>
            </w:tr>
            <w:tr>
              <w:trPr>
                <w:trHeight w:val="103"/>
              </w:trPr>
              <w:tc>
                <w:tcPr>
                  <w:tcW w:w="668" w:type="dxa"/>
                  <w:vMerge/>
                  <w:vAlign w:val="center"/>
                </w:tcPr>
                <w:p/>
              </w:tc>
              <w:tc>
                <w:tcPr>
                  <w:tcW w:w="843" w:type="dxa"/>
                  <w:vMerge w:val="restart"/>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kern w:val="2"/>
                      <w:sz w:val="21"/>
                      <w:szCs w:val="21"/>
                      <w:lang w:val="en-US" w:eastAsia="zh-CN" w:bidi="ar-SA"/>
                    </w:rPr>
                  </w:pPr>
                  <w:r>
                    <w:rPr>
                      <w:rFonts w:cs="Times New Roman" w:hint="eastAsia"/>
                      <w:color w:val="auto"/>
                      <w:sz w:val="21"/>
                      <w:szCs w:val="21"/>
                      <w:lang w:val="en-US" w:eastAsia="zh-CN"/>
                    </w:rPr>
                    <w:t>/</w:t>
                  </w:r>
                </w:p>
              </w:tc>
              <w:tc>
                <w:tcPr>
                  <w:tcW w:w="1337"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设备维护</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废润滑油、废机油</w:t>
                  </w:r>
                </w:p>
              </w:tc>
              <w:tc>
                <w:tcPr>
                  <w:tcW w:w="901" w:type="dxa"/>
                  <w:vMerge/>
                  <w:tcBorders>
                    <w:left w:val="single" w:sz="6" w:space="0" w:color="000000"/>
                  </w:tcBorders>
                  <w:vAlign w:val="center"/>
                </w:tcPr>
                <w:p/>
              </w:tc>
              <w:tc>
                <w:tcPr>
                  <w:tcW w:w="2936"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分类密闭收集后暂存于危废间，定期交有资质单位处置</w:t>
                  </w:r>
                </w:p>
              </w:tc>
            </w:tr>
            <w:tr>
              <w:trPr>
                <w:trHeight w:val="249"/>
              </w:trPr>
              <w:tc>
                <w:tcPr>
                  <w:tcW w:w="668" w:type="dxa"/>
                  <w:vMerge/>
                  <w:vAlign w:val="center"/>
                </w:tcPr>
                <w:p/>
              </w:tc>
              <w:tc>
                <w:tcPr>
                  <w:tcW w:w="843" w:type="dxa"/>
                  <w:vMerge/>
                  <w:tcBorders>
                    <w:left w:val="single" w:sz="6" w:space="0" w:color="000000"/>
                  </w:tcBorders>
                  <w:shd w:val="clear" w:color="auto" w:fill="auto"/>
                  <w:vAlign w:val="center"/>
                </w:tcPr>
                <w:p/>
              </w:tc>
              <w:tc>
                <w:tcPr>
                  <w:tcW w:w="1337" w:type="dxa"/>
                  <w:vMerge/>
                  <w:tcBorders>
                    <w:left w:val="single" w:sz="6" w:space="0" w:color="000000"/>
                  </w:tcBorders>
                  <w:shd w:val="clear" w:color="auto" w:fill="auto"/>
                  <w:vAlign w:val="center"/>
                </w:tcPr>
                <w:p/>
              </w:tc>
              <w:tc>
                <w:tcPr>
                  <w:tcW w:w="1672" w:type="dxa"/>
                  <w:tcBorders>
                    <w:top w:val="single" w:sz="4" w:space="0" w:color="auto"/>
                    <w:bottom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废油桶</w:t>
                  </w:r>
                </w:p>
              </w:tc>
              <w:tc>
                <w:tcPr>
                  <w:tcW w:w="901" w:type="dxa"/>
                  <w:vMerge/>
                  <w:tcBorders>
                    <w:left w:val="single" w:sz="6" w:space="0" w:color="000000"/>
                  </w:tcBorders>
                  <w:vAlign w:val="center"/>
                </w:tcPr>
                <w:p/>
              </w:tc>
              <w:tc>
                <w:tcPr>
                  <w:tcW w:w="2936" w:type="dxa"/>
                  <w:vMerge/>
                  <w:tcBorders>
                    <w:bottom w:val="single" w:sz="4" w:space="0" w:color="auto"/>
                  </w:tcBorders>
                  <w:vAlign w:val="center"/>
                </w:tcPr>
                <w:p/>
              </w:tc>
            </w:tr>
            <w:tr>
              <w:trPr>
                <w:trHeight w:val="249"/>
              </w:trPr>
              <w:tc>
                <w:tcPr>
                  <w:tcW w:w="668" w:type="dxa"/>
                  <w:vMerge/>
                  <w:vAlign w:val="center"/>
                </w:tcPr>
                <w:p/>
              </w:tc>
              <w:tc>
                <w:tcPr>
                  <w:tcW w:w="843" w:type="dxa"/>
                  <w:vMerge w:val="restart"/>
                  <w:tcBorders>
                    <w:left w:val="single" w:sz="6" w:space="0" w:color="000000"/>
                  </w:tcBorders>
                  <w:shd w:val="clear" w:color="auto" w:fill="auto"/>
                  <w:vAlign w:val="center"/>
                </w:tcPr>
                <w:p>
                  <w:pPr>
                    <w:spacing w:line="240" w:lineRule="auto"/>
                    <w:ind w:firstLineChars="0" w:firstLine="0"/>
                    <w:jc w:val="center"/>
                    <w:rPr>
                      <w:rFonts w:cs="Times New Roman"/>
                      <w:color w:val="auto"/>
                      <w:kern w:val="2"/>
                      <w:sz w:val="21"/>
                      <w:szCs w:val="21"/>
                      <w:lang w:val="en-US" w:eastAsia="zh-CN" w:bidi="ar-SA"/>
                    </w:rPr>
                  </w:pPr>
                  <w:r>
                    <w:rPr>
                      <w:rFonts w:cs="Times New Roman" w:hint="eastAsia"/>
                      <w:color w:val="auto"/>
                      <w:kern w:val="2"/>
                      <w:sz w:val="21"/>
                      <w:szCs w:val="21"/>
                      <w:lang w:val="en-US" w:eastAsia="zh-CN" w:bidi="ar-SA"/>
                    </w:rPr>
                    <w:t>/</w:t>
                  </w:r>
                </w:p>
              </w:tc>
              <w:tc>
                <w:tcPr>
                  <w:tcW w:w="1337" w:type="dxa"/>
                  <w:vMerge w:val="restart"/>
                  <w:tcBorders>
                    <w:left w:val="single" w:sz="6" w:space="0" w:color="000000"/>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环保设施</w:t>
                  </w:r>
                </w:p>
              </w:tc>
              <w:tc>
                <w:tcPr>
                  <w:tcW w:w="1672" w:type="dxa"/>
                  <w:tcBorders>
                    <w:top w:val="single" w:sz="4" w:space="0" w:color="auto"/>
                    <w:bottom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cs="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除尘灰</w:t>
                  </w:r>
                </w:p>
              </w:tc>
              <w:tc>
                <w:tcPr>
                  <w:tcW w:w="901"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p>
              </w:tc>
              <w:tc>
                <w:tcPr>
                  <w:tcW w:w="2936" w:type="dxa"/>
                  <w:tcBorders>
                    <w:top w:val="single" w:sz="4" w:space="0" w:color="auto"/>
                    <w:bottom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2"/>
                      <w:sz w:val="21"/>
                      <w:szCs w:val="21"/>
                      <w:lang w:val="en-US" w:eastAsia="zh-CN" w:bidi="ar-SA"/>
                    </w:rPr>
                  </w:pPr>
                  <w:r>
                    <w:rPr>
                      <w:rFonts w:hint="eastAsia"/>
                      <w:color w:val="auto"/>
                      <w:kern w:val="2"/>
                      <w:szCs w:val="21"/>
                      <w:lang w:val="en-US" w:eastAsia="zh-CN"/>
                    </w:rPr>
                    <w:t>回用于生产</w:t>
                  </w:r>
                </w:p>
              </w:tc>
            </w:tr>
            <w:tr>
              <w:trPr>
                <w:trHeight w:val="249"/>
              </w:trPr>
              <w:tc>
                <w:tcPr>
                  <w:tcW w:w="668" w:type="dxa"/>
                  <w:vMerge/>
                  <w:vAlign w:val="center"/>
                </w:tcPr>
                <w:p/>
              </w:tc>
              <w:tc>
                <w:tcPr>
                  <w:tcW w:w="843" w:type="dxa"/>
                  <w:vMerge/>
                  <w:tcBorders>
                    <w:left w:val="single" w:sz="6" w:space="0" w:color="000000"/>
                  </w:tcBorders>
                  <w:shd w:val="clear" w:color="auto" w:fill="auto"/>
                  <w:vAlign w:val="center"/>
                </w:tcPr>
                <w:p/>
              </w:tc>
              <w:tc>
                <w:tcPr>
                  <w:tcW w:w="1337" w:type="dxa"/>
                  <w:vMerge/>
                  <w:tcBorders>
                    <w:left w:val="single" w:sz="6" w:space="0" w:color="000000"/>
                  </w:tcBorders>
                  <w:shd w:val="clear" w:color="auto" w:fill="auto"/>
                  <w:vAlign w:val="center"/>
                </w:tcPr>
                <w:p/>
              </w:tc>
              <w:tc>
                <w:tcPr>
                  <w:tcW w:w="1672" w:type="dxa"/>
                  <w:tcBorders>
                    <w:top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cs="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废活性炭</w:t>
                  </w:r>
                </w:p>
              </w:tc>
              <w:tc>
                <w:tcPr>
                  <w:tcW w:w="901"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p>
              </w:tc>
              <w:tc>
                <w:tcPr>
                  <w:tcW w:w="2936" w:type="dxa"/>
                  <w:tcBorders>
                    <w:top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2"/>
                      <w:sz w:val="21"/>
                      <w:szCs w:val="21"/>
                      <w:lang w:val="en-US" w:eastAsia="zh-CN" w:bidi="ar-SA"/>
                    </w:rPr>
                  </w:pPr>
                  <w:r>
                    <w:rPr>
                      <w:rFonts w:hint="eastAsia"/>
                      <w:color w:val="auto"/>
                      <w:kern w:val="2"/>
                      <w:szCs w:val="21"/>
                      <w:lang w:val="en-US" w:eastAsia="zh-CN"/>
                    </w:rPr>
                    <w:t>厂商定期更换</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firstLineChars="0" w:firstLine="0"/>
              <w:textAlignment w:val="auto"/>
              <w:rPr>
                <w:rFonts w:ascii="Times New Roman" w:eastAsia="宋体" w:cs="Times New Roman" w:hAnsi="Times New Roman"/>
                <w:color w:val="auto"/>
                <w:sz w:val="24"/>
                <w:szCs w:val="24"/>
                <w:lang w:val="en-US" w:eastAsia="zh-CN"/>
                <w:highlight w:val="none"/>
              </w:rPr>
            </w:pPr>
            <w:r>
              <w:rPr>
                <w:color w:val="auto"/>
              </w:rPr>
              <mc:AlternateContent>
                <mc:Choice Requires="wps">
                  <w:drawing>
                    <wp:anchor distT="0" distB="0" distL="114300" distR="114300" simplePos="0" relativeHeight="684" behindDoc="0" locked="0" layoutInCell="1" hidden="0" allowOverlap="1">
                      <wp:simplePos x="0" y="0"/>
                      <wp:positionH relativeFrom="column">
                        <wp:posOffset>1666239</wp:posOffset>
                      </wp:positionH>
                      <wp:positionV relativeFrom="paragraph">
                        <wp:posOffset>3173095</wp:posOffset>
                      </wp:positionV>
                      <wp:extent cx="1884045" cy="483281"/>
                      <wp:wrapNone/>
                      <wp:docPr id="1046" name="组合 1046"/>
                      <wp:cNvGraphicFramePr>
                        <a:graphicFrameLocks noChangeAspect="0"/>
                      </wp:cNvGraphicFramePr>
                      <a:graphic>
                        <a:graphicData uri="http://schemas.microsoft.com/office/word/2010/wordprocessingGroup">
                          <wpg:wgp>
                            <wpg:cNvPr id="309" name="组合 309"/>
                            <wpg:cNvGrpSpPr/>
                            <wpg:grpSpPr>
                              <a:xfrm rot="0">
                                <a:off x="0" y="0"/>
                                <a:ext cx="1884045" cy="483281"/>
                                <a:chOff x="0" y="0"/>
                                <a:chExt cx="1884045" cy="483281"/>
                              </a:xfrm>
                              <a:prstGeom prst="rect"/>
                              <a:solidFill>
                                <a:srgbClr val="FFFFFF"/>
                              </a:solidFill>
                              <a:ln w="9525" cmpd="sng" cap="flat">
                                <a:solidFill>
                                  <a:srgbClr val="000000"/>
                                </a:solidFill>
                                <a:prstDash val="solid"/>
                                <a:miter/>
                              </a:ln>
                            </wpg:grpSpPr>
                            <wps:wsp>
                              <wps:cNvPr id="310" name="文本框 34 310"/>
                              <wps:cNvSpPr/>
                              <wps:spPr>
                                <a:xfrm rot="0">
                                  <a:off x="0" y="189196"/>
                                  <a:ext cx="791845" cy="271796"/>
                                </a:xfrm>
                                <a:prstGeom prst="rect"/>
                                <a:noFill/>
                                <a:ln w="6350" cmpd="sng" cap="flat">
                                  <a:noFill/>
                                  <a:prstDash val="solid"/>
                                  <a:round/>
                                </a:ln>
                              </wps:spPr>
                              <wps:txbx id="311">
                                <w:txbxContent>
                                  <w:p>
                                    <w:pPr>
                                      <w:ind w:left="0" w:firstLineChars="0" w:firstLine="0"/>
                                      <w:rPr>
                                        <w:rFonts w:eastAsia="宋体"/>
                                        <w:sz w:val="21"/>
                                        <w:szCs w:val="21"/>
                                        <w:lang w:val="en-US" w:eastAsia="zh-CN"/>
                                      </w:rPr>
                                    </w:pPr>
                                    <w:r>
                                      <w:rPr>
                                        <w:rFonts w:eastAsia="宋体" w:hint="eastAsia"/>
                                        <w:sz w:val="21"/>
                                        <w:szCs w:val="21"/>
                                        <w:lang w:val="en-US" w:eastAsia="zh-CN"/>
                                      </w:rPr>
                                      <w:t>抽样样品</w:t>
                                    </w:r>
                                  </w:p>
                                </w:txbxContent>
                              </wps:txbx>
                              <wps:bodyPr vert="horz" wrap="square" lIns="91440" tIns="45720" rIns="91440" bIns="45720" anchor="t" anchorCtr="0" upright="0">
                                <a:noAutofit/>
                              </wps:bodyPr>
                            </wps:wsp>
                            <wps:wsp>
                              <wps:cNvPr id="312" name="直接箭头连接符 73 312"/>
                              <wps:cNvSpPr/>
                              <wps:spPr>
                                <a:xfrm flipV="1" rot="21600000">
                                  <a:off x="733424" y="335292"/>
                                  <a:ext cx="368935" cy="382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313" name="文本框 143 313"/>
                              <wps:cNvSpPr/>
                              <wps:spPr>
                                <a:xfrm rot="0">
                                  <a:off x="1122045" y="211484"/>
                                  <a:ext cx="653415" cy="271796"/>
                                </a:xfrm>
                                <a:prstGeom prst="rect"/>
                                <a:noFill/>
                                <a:ln w="6350" cmpd="sng" cap="flat">
                                  <a:noFill/>
                                  <a:prstDash val="solid"/>
                                  <a:round/>
                                </a:ln>
                              </wps:spPr>
                              <wps:txbx id="314">
                                <w:txbxContent>
                                  <w:p>
                                    <w:pPr>
                                      <w:ind w:left="0" w:firstLineChars="0" w:firstLine="0"/>
                                      <w:rPr>
                                        <w:rFonts w:eastAsia="宋体"/>
                                        <w:sz w:val="21"/>
                                        <w:szCs w:val="21"/>
                                        <w:lang w:val="en-US" w:eastAsia="zh-CN"/>
                                      </w:rPr>
                                    </w:pPr>
                                    <w:r>
                                      <w:rPr>
                                        <w:rFonts w:eastAsia="宋体" w:hint="eastAsia"/>
                                        <w:sz w:val="21"/>
                                        <w:szCs w:val="21"/>
                                        <w:lang w:val="en-US" w:eastAsia="zh-CN"/>
                                      </w:rPr>
                                      <w:t>检测</w:t>
                                    </w:r>
                                  </w:p>
                                </w:txbxContent>
                              </wps:txbx>
                              <wps:bodyPr vert="horz" wrap="square" lIns="91440" tIns="45720" rIns="91440" bIns="45720" anchor="t" anchorCtr="0" upright="0">
                                <a:noAutofit/>
                              </wps:bodyPr>
                            </wps:wsp>
                            <wps:wsp>
                              <wps:cNvPr id="315" name="文本框 144 315"/>
                              <wps:cNvSpPr/>
                              <wps:spPr>
                                <a:xfrm rot="0">
                                  <a:off x="1075055" y="0"/>
                                  <a:ext cx="808990" cy="271796"/>
                                </a:xfrm>
                                <a:prstGeom prst="rect"/>
                                <a:noFill/>
                                <a:ln w="6350" cmpd="sng" cap="flat">
                                  <a:noFill/>
                                  <a:prstDash val="solid"/>
                                  <a:round/>
                                </a:ln>
                              </wps:spPr>
                              <wps:txbx id="316">
                                <w:txbxContent>
                                  <w:p>
                                    <w:pPr>
                                      <w:ind w:left="0" w:firstLineChars="0" w:firstLine="0"/>
                                      <w:rPr>
                                        <w:rFonts w:eastAsia="宋体"/>
                                        <w:sz w:val="21"/>
                                        <w:szCs w:val="21"/>
                                        <w:lang w:val="en-US" w:eastAsia="zh-CN"/>
                                      </w:rPr>
                                    </w:pPr>
                                    <w:r>
                                      <w:rPr>
                                        <w:rFonts w:eastAsia="宋体" w:hint="eastAsia"/>
                                        <w:sz w:val="21"/>
                                        <w:szCs w:val="21"/>
                                        <w:lang w:val="en-US" w:eastAsia="zh-CN"/>
                                      </w:rPr>
                                      <w:t>G、S</w:t>
                                    </w:r>
                                  </w:p>
                                </w:txbxContent>
                              </wps:txbx>
                              <wps:bodyPr vert="horz" wrap="square" lIns="91440" tIns="45720" rIns="91440" bIns="45720" anchor="t" anchorCtr="0" upright="0">
                                <a:noAutofit/>
                              </wps:bodyPr>
                            </wps:wsp>
                            <wps:bodyPr vert="horz" wrap="square" lIns="91440" tIns="45720" rIns="91440" bIns="45720" anchor="t" anchorCtr="0" upright="1">
                              <a:noAutofit/>
                            </wps:bodyPr>
                          </wpg:wgp>
                        </a:graphicData>
                      </a:graphic>
                    </wp:anchor>
                  </w:drawing>
                </mc:Choice>
                <mc:Fallback>
                  <w:pict>
                    <v:group type="#_x0000_t1" id="组合 1046" o:spid="_x0000_s317" coordorigin="4672,11893" coordsize="2966,761" style="position:absolute;margin-left:131.2pt;margin-top:249.85002pt;width:148.34999pt;height:38.053642pt;z-index:684;mso-position-horizontal:absolute;mso-position-vertical:absolute;">
                      <v:rect type="#_x0000_t1" id="_s318" o:spid="_x0000_s318" style="position:absolute;left:4672;top:12191;width:1247;height:428;mso-wrap-style:square;" filled="f" stroked="f" strokeweight="0.5pt">
                        <v:textbox id="921"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抽样样品</w:t>
                              </w:r>
                            </w:p>
                          </w:txbxContent>
                        </v:textbox>
                        <v:stroke/>
                      </v:rect>
                      <v:shape type="#_x0000_t32" id="直接箭头连接符 73 312" o:spid="_x0000_s319" style="position:absolute;left:5827;top:12421;width:581;height:6;flip:y;" filled="f" stroked="t">
                        <v:stroke color="#000000" endarrow="open"/>
                      </v:shape>
                      <v:rect type="#_x0000_t1" id="_s320" o:spid="_x0000_s320" style="position:absolute;left:6439;top:12226;width:1029;height:428;mso-wrap-style:square;" filled="f" stroked="f" strokeweight="0.5pt">
                        <v:textbox id="922"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检测</w:t>
                              </w:r>
                            </w:p>
                          </w:txbxContent>
                        </v:textbox>
                        <v:stroke/>
                      </v:rect>
                      <v:rect type="#_x0000_t1" id="_s321" o:spid="_x0000_s321" style="position:absolute;left:6365;top:11893;width:1274;height:428;mso-wrap-style:square;" filled="f" stroked="f" strokeweight="0.5pt">
                        <v:textbox id="923"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G、S</w:t>
                              </w:r>
                            </w:p>
                          </w:txbxContent>
                        </v:textbox>
                        <v:stroke/>
                      </v:rect>
                    </v:group>
                  </w:pict>
                </mc:Fallback>
              </mc:AlternateContent>
            </w:r>
            <w:r>
              <w:rPr>
                <w:rFonts w:ascii="Times New Roman" w:eastAsia="宋体" w:cs="Times New Roman" w:hAnsi="Times New Roman" w:hint="eastAsia"/>
                <w:color w:val="auto"/>
                <w:sz w:val="24"/>
                <w:szCs w:val="24"/>
                <w:lang w:val="en-US" w:eastAsia="zh-CN"/>
                <w:highlight w:val="none"/>
              </w:rPr>
              <w:t>化验室检测：</w:t>
            </w:r>
          </w:p>
          <w:p>
            <w:pPr>
              <w:pStyle w:val="40"/>
              <w:jc w:val="both"/>
              <w:rPr>
                <w:color w:val="auto"/>
              </w:rPr>
            </w:pPr>
          </w:p>
          <w:p>
            <w:pPr>
              <w:pStyle w:val="40"/>
              <w:jc w:val="both"/>
              <w:rPr>
                <w:color w:val="auto"/>
              </w:rPr>
            </w:pPr>
          </w:p>
          <w:p>
            <w:pPr>
              <w:ind w:firstLineChars="1800" w:firstLine="4320"/>
              <w:rPr>
                <w:rFonts w:ascii="Times New Roman" w:eastAsia="宋体" w:cs="Times New Roman" w:hAnsi="Times New Roman" w:hint="eastAsia"/>
                <w:b/>
                <w:color w:val="auto"/>
                <w:kern w:val="2"/>
                <w:sz w:val="24"/>
                <w:szCs w:val="21"/>
                <w:lang w:val="en-US" w:eastAsia="zh-CN" w:bidi="ar-SA"/>
              </w:rPr>
            </w:pPr>
            <w:r>
              <w:rPr>
                <w:rFonts w:ascii="Times New Roman" w:eastAsia="宋体" w:cs="Times New Roman" w:hAnsi="Times New Roman" w:hint="eastAsia"/>
                <w:color w:val="auto"/>
                <w:lang w:val="en-US" w:eastAsia="zh-CN"/>
              </w:rPr>
              <w:t>图例：G 废气、N 噪声、S 固体废物</w:t>
            </w:r>
          </w:p>
          <w:p>
            <w:pPr>
              <w:widowControl w:val="0"/>
              <w:spacing w:line="240" w:lineRule="auto"/>
              <w:ind w:firstLineChars="0" w:firstLine="0"/>
              <w:jc w:val="center"/>
              <w:rPr>
                <w:color w:val="auto"/>
              </w:rPr>
            </w:pPr>
            <w:r>
              <w:rPr>
                <w:rFonts w:ascii="Times New Roman" w:eastAsia="宋体" w:cs="Times New Roman" w:hAnsi="Times New Roman" w:hint="eastAsia"/>
                <w:b/>
                <w:color w:val="auto"/>
                <w:kern w:val="2"/>
                <w:sz w:val="24"/>
                <w:szCs w:val="21"/>
                <w:lang w:val="en-US" w:eastAsia="zh-CN" w:bidi="ar-SA"/>
              </w:rPr>
              <w:t>图2-</w:t>
            </w:r>
            <w:r>
              <w:rPr>
                <w:rFonts w:cs="Times New Roman" w:hint="eastAsia"/>
                <w:b/>
                <w:color w:val="auto"/>
                <w:kern w:val="2"/>
                <w:sz w:val="24"/>
                <w:szCs w:val="21"/>
                <w:lang w:val="en-US" w:eastAsia="zh-CN" w:bidi="ar-SA"/>
              </w:rPr>
              <w:t xml:space="preserve">5 </w:t>
            </w:r>
            <w:r>
              <w:rPr>
                <w:rFonts w:ascii="Times New Roman" w:eastAsia="宋体" w:cs="Times New Roman" w:hAnsi="Times New Roman" w:hint="eastAsia"/>
                <w:b/>
                <w:color w:val="auto"/>
                <w:kern w:val="2"/>
                <w:sz w:val="24"/>
                <w:szCs w:val="21"/>
                <w:lang w:val="en-US" w:eastAsia="zh-CN" w:bidi="ar-SA"/>
              </w:rPr>
              <w:t xml:space="preserve"> 化验室流程及排污节点图</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生产过程中对原料和产品抽样进行物理性能检测、化学成分检测。企业化验室主要检测产品氮、磷、钾、水分、粒度；原料尿素、氯化铵、氯化钾、硫酸钾、磷酸一铵、磷酸二铵含量的检测。项目厂区化验室使用的试剂主要是外购纯水、硫酸铜、氢氧化钠、硫酸、盐酸、硝酸、丙酮、柠檬酸、四苯硼钠、乙二胺四乙酸二钠等。</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化验室产生污染物主要是化验室废气、化验室废液和主要是化验室废包装。</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jc w:val="center"/>
              <w:textAlignment w:val="auto"/>
              <w:rPr>
                <w:rFonts w:ascii="Times New Roman" w:eastAsia="宋体" w:cs="Times New Roman" w:hAnsi="Times New Roman"/>
                <w:b/>
                <w:bCs/>
                <w:color w:val="auto"/>
                <w:sz w:val="24"/>
                <w:szCs w:val="24"/>
                <w:lang w:val="en-US" w:eastAsia="zh-CN"/>
                <w:highlight w:val="none"/>
              </w:rPr>
            </w:pPr>
            <w:r>
              <w:rPr>
                <w:b/>
                <w:bCs/>
                <w:color w:val="auto"/>
              </w:rPr>
              <w:t>表2-</w:t>
            </w:r>
            <w:r>
              <w:rPr>
                <w:rFonts w:ascii="Times New Roman" w:eastAsia="宋体" w:hAnsi="Times New Roman" w:hint="eastAsia"/>
                <w:b/>
                <w:bCs/>
                <w:color w:val="auto"/>
                <w:lang w:val="en-US" w:eastAsia="zh-CN"/>
              </w:rPr>
              <w:t>1</w:t>
            </w:r>
            <w:r>
              <w:rPr>
                <w:rFonts w:hint="eastAsia"/>
                <w:b/>
                <w:bCs/>
                <w:color w:val="auto"/>
                <w:lang w:val="en-US" w:eastAsia="zh-CN"/>
              </w:rPr>
              <w:t>2</w:t>
            </w:r>
            <w:r>
              <w:rPr>
                <w:b/>
                <w:bCs/>
                <w:color w:val="auto"/>
              </w:rPr>
              <w:t xml:space="preserve"> </w:t>
            </w:r>
            <w:r>
              <w:rPr>
                <w:rFonts w:hint="eastAsia"/>
                <w:b/>
                <w:bCs/>
                <w:color w:val="auto"/>
              </w:rPr>
              <w:t xml:space="preserve"> 排污</w:t>
            </w:r>
            <w:r>
              <w:rPr>
                <w:b/>
                <w:bCs/>
                <w:color w:val="auto"/>
              </w:rPr>
              <w:t>节点及处理方式一览表</w:t>
            </w:r>
          </w:p>
          <w:tbl>
            <w:tblPr>
              <w:tblpPr w:leftFromText="180" w:rightFromText="180" w:vertAnchor="text" w:tblpXSpec="left" w:tblpY="1"/>
              <w:tblOverlap w:val="never"/>
              <w:tblW w:w="8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668"/>
              <w:gridCol w:w="843"/>
              <w:gridCol w:w="1337"/>
              <w:gridCol w:w="1672"/>
              <w:gridCol w:w="901"/>
              <w:gridCol w:w="2936"/>
            </w:tblGrid>
            <w:tr>
              <w:trPr>
                <w:trHeight w:val="23"/>
              </w:trPr>
              <w:tc>
                <w:tcPr>
                  <w:tcW w:w="668"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类型</w:t>
                  </w:r>
                </w:p>
              </w:tc>
              <w:tc>
                <w:tcPr>
                  <w:tcW w:w="843"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序号</w:t>
                  </w:r>
                </w:p>
              </w:tc>
              <w:tc>
                <w:tcPr>
                  <w:tcW w:w="1337"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产生工序</w:t>
                  </w:r>
                </w:p>
              </w:tc>
              <w:tc>
                <w:tcPr>
                  <w:tcW w:w="1672"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污染物</w:t>
                  </w:r>
                </w:p>
              </w:tc>
              <w:tc>
                <w:tcPr>
                  <w:tcW w:w="901"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排放</w:t>
                  </w:r>
                </w:p>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特征</w:t>
                  </w:r>
                </w:p>
              </w:tc>
              <w:tc>
                <w:tcPr>
                  <w:tcW w:w="2936"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治理措施</w:t>
                  </w:r>
                </w:p>
              </w:tc>
            </w:tr>
            <w:tr>
              <w:trPr>
                <w:trHeight w:val="23"/>
              </w:trPr>
              <w:tc>
                <w:tcPr>
                  <w:tcW w:w="668"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废气</w:t>
                  </w: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w:t>
                  </w:r>
                </w:p>
              </w:tc>
              <w:tc>
                <w:tcPr>
                  <w:tcW w:w="1337" w:type="dxa"/>
                  <w:tcBorders>
                    <w:bottom w:val="single" w:sz="4" w:space="0" w:color="auto"/>
                  </w:tcBorders>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化验室</w:t>
                  </w:r>
                </w:p>
              </w:tc>
              <w:tc>
                <w:tcPr>
                  <w:tcW w:w="1672" w:type="dxa"/>
                  <w:tcBorders>
                    <w:bottom w:val="single" w:sz="4" w:space="0" w:color="auto"/>
                  </w:tcBorders>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硫酸雾、氯化氢、氮氧化物、非甲烷总烃</w:t>
                  </w:r>
                </w:p>
              </w:tc>
              <w:tc>
                <w:tcPr>
                  <w:tcW w:w="901" w:type="dxa"/>
                  <w:tcBorders>
                    <w:bottom w:val="single" w:sz="4" w:space="0" w:color="auto"/>
                  </w:tcBorders>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间歇</w:t>
                  </w:r>
                </w:p>
              </w:tc>
              <w:tc>
                <w:tcPr>
                  <w:tcW w:w="2936" w:type="dxa"/>
                  <w:tcBorders>
                    <w:bottom w:val="single" w:sz="4" w:space="0" w:color="auto"/>
                  </w:tcBorders>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废气经集气罩收集+二级活性炭吸附装置TA001+干式酸雾净化器+15m排气筒P4</w:t>
                  </w:r>
                </w:p>
              </w:tc>
            </w:tr>
            <w:tr>
              <w:trPr>
                <w:trHeight w:val="23"/>
              </w:trPr>
              <w:tc>
                <w:tcPr>
                  <w:tcW w:w="668" w:type="dxa"/>
                  <w:vMerge w:val="restart"/>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固体废物</w:t>
                  </w:r>
                </w:p>
              </w:tc>
              <w:tc>
                <w:tcPr>
                  <w:tcW w:w="843" w:type="dxa"/>
                  <w:vMerge w:val="restart"/>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S</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化验室废液</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化验室废液</w:t>
                  </w:r>
                </w:p>
              </w:tc>
              <w:tc>
                <w:tcPr>
                  <w:tcW w:w="901"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间断</w:t>
                  </w:r>
                </w:p>
              </w:tc>
              <w:tc>
                <w:tcPr>
                  <w:tcW w:w="2936"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分类收集后暂存于危废间，定期交有资质单位处置</w:t>
                  </w:r>
                </w:p>
              </w:tc>
            </w:tr>
            <w:tr>
              <w:trPr>
                <w:trHeight w:val="524"/>
              </w:trPr>
              <w:tc>
                <w:tcPr>
                  <w:tcW w:w="668" w:type="dxa"/>
                  <w:vMerge/>
                  <w:vAlign w:val="center"/>
                </w:tcPr>
                <w:p/>
              </w:tc>
              <w:tc>
                <w:tcPr>
                  <w:tcW w:w="843" w:type="dxa"/>
                  <w:vMerge/>
                  <w:tcBorders>
                    <w:left w:val="single" w:sz="6" w:space="0" w:color="000000"/>
                  </w:tcBorders>
                  <w:vAlign w:val="center"/>
                </w:tcP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化验室废包装</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化验室废包装</w:t>
                  </w: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bl>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r>
              <w:rPr>
                <w:sz w:val="24"/>
              </w:rPr>
              <mc:AlternateContent>
                <mc:Choice Requires="wps">
                  <w:drawing>
                    <wp:anchor distT="0" distB="0" distL="114300" distR="114300" simplePos="0" relativeHeight="686" behindDoc="0" locked="0" layoutInCell="1" hidden="0" allowOverlap="1">
                      <wp:simplePos x="0" y="0"/>
                      <wp:positionH relativeFrom="column">
                        <wp:posOffset>29844</wp:posOffset>
                      </wp:positionH>
                      <wp:positionV relativeFrom="paragraph">
                        <wp:posOffset>21590</wp:posOffset>
                      </wp:positionV>
                      <wp:extent cx="1759585" cy="391795"/>
                      <wp:effectExtent l="4444" t="4444" r="7620" b="22860"/>
                      <wp:wrapNone/>
                      <wp:docPr id="331" name="文本框 331"/>
                      <wp:cNvGraphicFramePr>
                        <a:graphicFrameLocks noChangeAspect="0"/>
                      </wp:cNvGraphicFramePr>
                      <a:graphic>
                        <a:graphicData uri="http://schemas.microsoft.com/office/word/2010/wordprocessingShape">
                          <wps:wsp>
                            <wps:cNvSpPr/>
                            <wps:spPr>
                              <a:xfrm rot="0">
                                <a:off x="0" y="0"/>
                                <a:ext cx="1759585" cy="391795"/>
                              </a:xfrm>
                              <a:prstGeom prst="rect"/>
                              <a:noFill/>
                              <a:ln w="6350" cmpd="sng" cap="flat">
                                <a:solidFill>
                                  <a:srgbClr val="000000"/>
                                </a:solidFill>
                                <a:prstDash val="solid"/>
                                <a:round/>
                              </a:ln>
                            </wps:spPr>
                            <wps:txbx id="322">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中微量元素混合车间投料、破碎</w:t>
                                  </w:r>
                                </w:p>
                              </w:txbxContent>
                            </wps:txbx>
                            <wps:bodyPr vert="horz" wrap="square" lIns="91440" tIns="45720" rIns="91440" bIns="45720" anchor="t" anchorCtr="0" upright="0">
                              <a:noAutofit/>
                            </wps:bodyPr>
                          </wps:wsp>
                        </a:graphicData>
                      </a:graphic>
                    </wp:anchor>
                  </w:drawing>
                </mc:Choice>
                <mc:Fallback>
                  <w:pict>
                    <v:rect type="#_x0000_t1" id="文本框 331" o:spid="_x0000_s323" filled="f" stroked="t" strokeweight="0.5pt" style="position:absolute;margin-left:2.35pt;margin-top:1.7000002pt;width:138.55pt;height:30.85pt;z-index:686;mso-position-horizontal:absolute;mso-position-vertical:absolute;mso-wrap-style:square;">
                      <v:stroke color="#000000"/>
                      <v:textbox id="924"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中微量元素混合车间投料、破碎</w:t>
                            </w:r>
                          </w:p>
                        </w:txbxContent>
                      </v:textbox>
                    </v:rect>
                  </w:pict>
                </mc:Fallback>
              </mc:AlternateContent>
            </w:r>
            <w:r>
              <w:rPr>
                <w:sz w:val="24"/>
              </w:rPr>
              <mc:AlternateContent>
                <mc:Choice Requires="wps">
                  <w:drawing>
                    <wp:anchor distT="0" distB="0" distL="114300" distR="114300" simplePos="0" relativeHeight="692" behindDoc="0" locked="0" layoutInCell="1" hidden="0" allowOverlap="1">
                      <wp:simplePos x="0" y="0"/>
                      <wp:positionH relativeFrom="column">
                        <wp:posOffset>1761489</wp:posOffset>
                      </wp:positionH>
                      <wp:positionV relativeFrom="paragraph">
                        <wp:posOffset>4444</wp:posOffset>
                      </wp:positionV>
                      <wp:extent cx="941704" cy="262254"/>
                      <wp:wrapNone/>
                      <wp:docPr id="336" name="文本框 336"/>
                      <wp:cNvGraphicFramePr>
                        <a:graphicFrameLocks noChangeAspect="0"/>
                      </wp:cNvGraphicFramePr>
                      <a:graphic>
                        <a:graphicData uri="http://schemas.microsoft.com/office/word/2010/wordprocessingShape">
                          <wps:wsp>
                            <wps:cNvSpPr/>
                            <wps:spPr>
                              <a:xfrm rot="0">
                                <a:off x="0" y="0"/>
                                <a:ext cx="941704" cy="262254"/>
                              </a:xfrm>
                              <a:prstGeom prst="rect"/>
                              <a:noFill/>
                              <a:ln w="6350" cmpd="sng" cap="flat">
                                <a:noFill/>
                                <a:prstDash val="solid"/>
                                <a:round/>
                              </a:ln>
                            </wps:spPr>
                            <wps:txbx id="324">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type="#_x0000_t1" id="文本框 336" o:spid="_x0000_s325" filled="f" stroked="f" strokeweight="0.5pt" style="position:absolute;margin-left:138.7pt;margin-top:0.35pt;width:74.14999pt;height:20.65pt;z-index:692;mso-position-horizontal:absolute;mso-position-vertical:absolute;mso-wrap-style:square;">
                      <v:stroke/>
                      <v:textbox id="925"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04" behindDoc="0" locked="0" layoutInCell="1" hidden="0" allowOverlap="1">
                      <wp:simplePos x="0" y="0"/>
                      <wp:positionH relativeFrom="column">
                        <wp:posOffset>2916555</wp:posOffset>
                      </wp:positionH>
                      <wp:positionV relativeFrom="paragraph">
                        <wp:posOffset>76200</wp:posOffset>
                      </wp:positionV>
                      <wp:extent cx="1005840" cy="415290"/>
                      <wp:effectExtent l="4444" t="4444" r="18415" b="18415"/>
                      <wp:wrapNone/>
                      <wp:docPr id="343" name="文本框 343"/>
                      <wp:cNvGraphicFramePr>
                        <a:graphicFrameLocks noChangeAspect="0"/>
                      </wp:cNvGraphicFramePr>
                      <a:graphic>
                        <a:graphicData uri="http://schemas.microsoft.com/office/word/2010/wordprocessingShape">
                          <wps:wsp>
                            <wps:cNvSpPr/>
                            <wps:spPr>
                              <a:xfrm rot="0">
                                <a:off x="0" y="0"/>
                                <a:ext cx="1005840" cy="415290"/>
                              </a:xfrm>
                              <a:prstGeom prst="rect"/>
                              <a:noFill/>
                              <a:ln w="6350" cmpd="sng" cap="flat">
                                <a:solidFill>
                                  <a:srgbClr val="000000"/>
                                </a:solidFill>
                                <a:prstDash val="solid"/>
                                <a:round/>
                              </a:ln>
                            </wps:spPr>
                            <wps:txbx id="326">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sz w:val="21"/>
                                      <w:szCs w:val="21"/>
                                      <w:lang w:val="en-US" w:eastAsia="zh-CN"/>
                                    </w:rPr>
                                    <w:t>袋式除尘器TA001</w:t>
                                  </w:r>
                                </w:p>
                              </w:txbxContent>
                            </wps:txbx>
                            <wps:bodyPr vert="horz" wrap="square" lIns="91440" tIns="45720" rIns="91440" bIns="45720" anchor="t" anchorCtr="0" upright="0">
                              <a:noAutofit/>
                            </wps:bodyPr>
                          </wps:wsp>
                        </a:graphicData>
                      </a:graphic>
                    </wp:anchor>
                  </w:drawing>
                </mc:Choice>
                <mc:Fallback>
                  <w:pict>
                    <v:rect type="#_x0000_t1" id="文本框 343" o:spid="_x0000_s327" filled="f" stroked="t" strokeweight="0.5pt" style="position:absolute;margin-left:229.65001pt;margin-top:6.0pt;width:79.200005pt;height:32.7pt;z-index:704;mso-position-horizontal:absolute;mso-position-vertical:absolute;mso-wrap-style:square;">
                      <v:stroke color="#000000"/>
                      <v:textbox id="926"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sz w:val="21"/>
                                <w:szCs w:val="21"/>
                                <w:lang w:val="en-US" w:eastAsia="zh-CN"/>
                              </w:rPr>
                              <w:t>袋式除尘器TA001</w:t>
                            </w:r>
                          </w:p>
                        </w:txbxContent>
                      </v:textbox>
                    </v:rect>
                  </w:pict>
                </mc:Fallback>
              </mc:AlternateContent>
            </w:r>
            <w:r>
              <w:rPr>
                <w:sz w:val="24"/>
              </w:rPr>
              <mc:AlternateContent>
                <mc:Choice Requires="wps">
                  <w:drawing>
                    <wp:anchor distT="0" distB="0" distL="114300" distR="114300" simplePos="0" relativeHeight="694" behindDoc="0" locked="0" layoutInCell="1" hidden="0" allowOverlap="1">
                      <wp:simplePos x="0" y="0"/>
                      <wp:positionH relativeFrom="column">
                        <wp:posOffset>1789430</wp:posOffset>
                      </wp:positionH>
                      <wp:positionV relativeFrom="paragraph">
                        <wp:posOffset>42545</wp:posOffset>
                      </wp:positionV>
                      <wp:extent cx="873760" cy="0"/>
                      <wp:effectExtent l="0" t="6350" r="0" b="6350"/>
                      <wp:wrapNone/>
                      <wp:docPr id="338" name="直接连接符 338"/>
                      <wp:cNvGraphicFramePr>
                        <a:graphicFrameLocks noChangeAspect="0"/>
                      </wp:cNvGraphicFramePr>
                      <a:graphic>
                        <a:graphicData uri="http://schemas.microsoft.com/office/word/2010/wordprocessingShape">
                          <wps:wsp>
                            <wps:cNvSpPr/>
                            <wps:spPr>
                              <a:xfrm rot="0">
                                <a:off x="0" y="0"/>
                                <a:ext cx="873760" cy="0"/>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338" o:spid="_x0000_s328" from="140.9pt,3.35pt" to="209.7pt,3.35pt" filled="f" stroked="t" style="position:absolute;z-index:694;mso-position-horizontal:absolute;mso-position-vertical:absolute;visibility:visible;">
                      <v:stroke color="#000000"/>
                    </v:line>
                  </w:pict>
                </mc:Fallback>
              </mc:AlternateContent>
            </w:r>
          </w:p>
          <w:p>
            <w:pPr>
              <w:pStyle w:val="40"/>
              <w:jc w:val="both"/>
              <w:rPr>
                <w:color w:val="auto"/>
              </w:rPr>
            </w:pPr>
            <w:r>
              <w:rPr>
                <w:sz w:val="24"/>
              </w:rPr>
              <mc:AlternateContent>
                <mc:Choice Requires="wps">
                  <w:drawing>
                    <wp:anchor distT="0" distB="0" distL="114300" distR="114300" simplePos="0" relativeHeight="698" behindDoc="0" locked="0" layoutInCell="1" hidden="0" allowOverlap="1">
                      <wp:simplePos x="0" y="0"/>
                      <wp:positionH relativeFrom="column">
                        <wp:posOffset>1898650</wp:posOffset>
                      </wp:positionH>
                      <wp:positionV relativeFrom="paragraph">
                        <wp:posOffset>90805</wp:posOffset>
                      </wp:positionV>
                      <wp:extent cx="638175" cy="262254"/>
                      <wp:wrapNone/>
                      <wp:docPr id="340" name="文本框 340"/>
                      <wp:cNvGraphicFramePr>
                        <a:graphicFrameLocks noChangeAspect="0"/>
                      </wp:cNvGraphicFramePr>
                      <a:graphic>
                        <a:graphicData uri="http://schemas.microsoft.com/office/word/2010/wordprocessingShape">
                          <wps:wsp>
                            <wps:cNvSpPr/>
                            <wps:spPr>
                              <a:xfrm rot="0">
                                <a:off x="0" y="0"/>
                                <a:ext cx="638175" cy="262254"/>
                              </a:xfrm>
                              <a:prstGeom prst="rect"/>
                              <a:noFill/>
                              <a:ln w="6350" cmpd="sng" cap="flat">
                                <a:noFill/>
                                <a:prstDash val="solid"/>
                                <a:round/>
                              </a:ln>
                            </wps:spPr>
                            <wps:txbx id="329">
                              <w:txbxContent>
                                <w:p>
                                  <w:pPr>
                                    <w:ind w:left="0" w:firstLineChars="0" w:firstLine="0"/>
                                    <w:rPr>
                                      <w:rFonts w:eastAsia="宋体"/>
                                      <w:sz w:val="21"/>
                                      <w:szCs w:val="21"/>
                                      <w:lang w:val="en-US" w:eastAsia="zh-CN"/>
                                    </w:rPr>
                                  </w:pPr>
                                  <w:r>
                                    <w:rPr>
                                      <w:rFonts w:hint="eastAsia"/>
                                      <w:sz w:val="21"/>
                                      <w:szCs w:val="21"/>
                                      <w:lang w:val="en-US" w:eastAsia="zh-CN"/>
                                    </w:rPr>
                                    <w:t>管道</w:t>
                                  </w:r>
                                </w:p>
                              </w:txbxContent>
                            </wps:txbx>
                            <wps:bodyPr vert="horz" wrap="square" lIns="91440" tIns="45720" rIns="91440" bIns="45720" anchor="t" anchorCtr="0" upright="0">
                              <a:noAutofit/>
                            </wps:bodyPr>
                          </wps:wsp>
                        </a:graphicData>
                      </a:graphic>
                    </wp:anchor>
                  </w:drawing>
                </mc:Choice>
                <mc:Fallback>
                  <w:pict>
                    <v:rect type="#_x0000_t1" id="文本框 340" o:spid="_x0000_s330" filled="f" stroked="f" strokeweight="0.5pt" style="position:absolute;margin-left:149.5pt;margin-top:7.15pt;width:50.25pt;height:20.65pt;z-index:698;mso-position-horizontal:absolute;mso-position-vertical:absolute;mso-wrap-style:square;">
                      <v:stroke/>
                      <v:textbox id="927"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管道</w:t>
                            </w:r>
                          </w:p>
                        </w:txbxContent>
                      </v:textbox>
                    </v:rect>
                  </w:pict>
                </mc:Fallback>
              </mc:AlternateContent>
            </w:r>
            <w:r>
              <w:rPr>
                <w:sz w:val="24"/>
              </w:rPr>
              <mc:AlternateContent>
                <mc:Choice Requires="wps">
                  <w:drawing>
                    <wp:anchor distT="0" distB="0" distL="114300" distR="114300" simplePos="0" relativeHeight="710" behindDoc="0" locked="0" layoutInCell="1" hidden="0" allowOverlap="1">
                      <wp:simplePos x="0" y="0"/>
                      <wp:positionH relativeFrom="column">
                        <wp:posOffset>4182109</wp:posOffset>
                      </wp:positionH>
                      <wp:positionV relativeFrom="paragraph">
                        <wp:posOffset>5715</wp:posOffset>
                      </wp:positionV>
                      <wp:extent cx="1005839" cy="254000"/>
                      <wp:effectExtent l="4444" t="4444" r="18415" b="8255"/>
                      <wp:wrapNone/>
                      <wp:docPr id="345" name="文本框 345"/>
                      <wp:cNvGraphicFramePr>
                        <a:graphicFrameLocks noChangeAspect="0"/>
                      </wp:cNvGraphicFramePr>
                      <a:graphic>
                        <a:graphicData uri="http://schemas.microsoft.com/office/word/2010/wordprocessingShape">
                          <wps:wsp>
                            <wps:cNvSpPr/>
                            <wps:spPr>
                              <a:xfrm rot="0">
                                <a:off x="0" y="0"/>
                                <a:ext cx="1005839" cy="254000"/>
                              </a:xfrm>
                              <a:prstGeom prst="rect"/>
                              <a:noFill/>
                              <a:ln w="6350" cmpd="sng" cap="flat">
                                <a:solidFill>
                                  <a:srgbClr val="000000"/>
                                </a:solidFill>
                                <a:prstDash val="solid"/>
                                <a:round/>
                              </a:ln>
                            </wps:spPr>
                            <wps:txbx id="331">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15m排气筒P1</w:t>
                                  </w:r>
                                </w:p>
                              </w:txbxContent>
                            </wps:txbx>
                            <wps:bodyPr vert="horz" wrap="square" lIns="91440" tIns="45720" rIns="91440" bIns="45720" anchor="t" anchorCtr="0" upright="0">
                              <a:noAutofit/>
                            </wps:bodyPr>
                          </wps:wsp>
                        </a:graphicData>
                      </a:graphic>
                    </wp:anchor>
                  </w:drawing>
                </mc:Choice>
                <mc:Fallback>
                  <w:pict>
                    <v:rect type="#_x0000_t1" id="文本框 345" o:spid="_x0000_s332" filled="f" stroked="t" strokeweight="0.5pt" style="position:absolute;margin-left:329.3pt;margin-top:0.45000002pt;width:79.19998pt;height:20.0pt;z-index:710;mso-position-horizontal:absolute;mso-position-vertical:absolute;mso-wrap-style:square;">
                      <v:stroke color="#000000"/>
                      <v:textbox id="928"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15m排气筒P1</w:t>
                            </w:r>
                          </w:p>
                        </w:txbxContent>
                      </v:textbox>
                    </v:rect>
                  </w:pict>
                </mc:Fallback>
              </mc:AlternateContent>
            </w:r>
            <w:r>
              <w:rPr>
                <w:sz w:val="24"/>
              </w:rPr>
              <mc:AlternateContent>
                <mc:Choice Requires="wps">
                  <w:drawing>
                    <wp:anchor distT="0" distB="0" distL="114300" distR="114300" simplePos="0" relativeHeight="708" behindDoc="0" locked="0" layoutInCell="1" hidden="0" allowOverlap="1">
                      <wp:simplePos x="0" y="0"/>
                      <wp:positionH relativeFrom="column">
                        <wp:posOffset>3937635</wp:posOffset>
                      </wp:positionH>
                      <wp:positionV relativeFrom="paragraph">
                        <wp:posOffset>123825</wp:posOffset>
                      </wp:positionV>
                      <wp:extent cx="246379" cy="634"/>
                      <wp:effectExtent l="0" t="50800" r="1270" b="62865"/>
                      <wp:wrapNone/>
                      <wp:docPr id="344" name="直接箭头连接符 344"/>
                      <wp:cNvGraphicFramePr>
                        <a:graphicFrameLocks noChangeAspect="0"/>
                      </wp:cNvGraphicFramePr>
                      <a:graphic>
                        <a:graphicData uri="http://schemas.microsoft.com/office/word/2010/wordprocessingShape">
                          <wps:wsp>
                            <wps:cNvSpPr/>
                            <wps:spPr>
                              <a:xfrm flipV="1" rot="21600000">
                                <a:off x="0" y="0"/>
                                <a:ext cx="246379" cy="634"/>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44" o:spid="_x0000_s333" filled="f" stroked="t" style="position:absolute;margin-left:310.05pt;margin-top:9.75pt;width:19.399963pt;height:0.049987793pt;flip:y;z-index:708;mso-position-horizontal:absolute;mso-position-vertical:absolute;">
                      <v:stroke color="#000000" endarrow="open"/>
                    </v:shape>
                  </w:pict>
                </mc:Fallback>
              </mc:AlternateContent>
            </w:r>
            <w:r>
              <w:rPr>
                <w:sz w:val="24"/>
              </w:rPr>
              <mc:AlternateContent>
                <mc:Choice Requires="wps">
                  <w:drawing>
                    <wp:anchor distT="0" distB="0" distL="114300" distR="114300" simplePos="0" relativeHeight="690" behindDoc="0" locked="0" layoutInCell="1" hidden="0" allowOverlap="1">
                      <wp:simplePos x="0" y="0"/>
                      <wp:positionH relativeFrom="column">
                        <wp:posOffset>2654300</wp:posOffset>
                      </wp:positionH>
                      <wp:positionV relativeFrom="paragraph">
                        <wp:posOffset>107949</wp:posOffset>
                      </wp:positionV>
                      <wp:extent cx="246380" cy="635"/>
                      <wp:effectExtent l="0" t="50800" r="1270" b="62865"/>
                      <wp:wrapNone/>
                      <wp:docPr id="334" name="直接箭头连接符 334"/>
                      <wp:cNvGraphicFramePr>
                        <a:graphicFrameLocks noChangeAspect="0"/>
                      </wp:cNvGraphicFramePr>
                      <a:graphic>
                        <a:graphicData uri="http://schemas.microsoft.com/office/word/2010/wordprocessingShape">
                          <wps:wsp>
                            <wps:cNvSpPr/>
                            <wps:spPr>
                              <a:xfrm flipV="1" rot="21600000">
                                <a:off x="0" y="0"/>
                                <a:ext cx="246380" cy="63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34" o:spid="_x0000_s334" filled="f" stroked="t" style="position:absolute;margin-left:209.00002pt;margin-top:8.499985pt;width:19.399994pt;height:0.05003357pt;flip:y;z-index:690;mso-position-horizontal:absolute;mso-position-vertical:absolute;">
                      <v:stroke color="#000000" endarrow="open"/>
                    </v:shape>
                  </w:pict>
                </mc:Fallback>
              </mc:AlternateContent>
            </w:r>
            <w:r>
              <w:rPr>
                <w:sz w:val="24"/>
              </w:rPr>
              <mc:AlternateContent>
                <mc:Choice Requires="wps">
                  <w:drawing>
                    <wp:anchor distT="0" distB="0" distL="114300" distR="114300" simplePos="0" relativeHeight="688" behindDoc="0" locked="0" layoutInCell="1" hidden="0" allowOverlap="1">
                      <wp:simplePos x="0" y="0"/>
                      <wp:positionH relativeFrom="column">
                        <wp:posOffset>317500</wp:posOffset>
                      </wp:positionH>
                      <wp:positionV relativeFrom="paragraph">
                        <wp:posOffset>140970</wp:posOffset>
                      </wp:positionV>
                      <wp:extent cx="1434465" cy="262255"/>
                      <wp:effectExtent l="4444" t="4444" r="8889" b="19050"/>
                      <wp:wrapNone/>
                      <wp:docPr id="332" name="文本框 332"/>
                      <wp:cNvGraphicFramePr>
                        <a:graphicFrameLocks noChangeAspect="0"/>
                      </wp:cNvGraphicFramePr>
                      <a:graphic>
                        <a:graphicData uri="http://schemas.microsoft.com/office/word/2010/wordprocessingShape">
                          <wps:wsp>
                            <wps:cNvSpPr/>
                            <wps:spPr>
                              <a:xfrm rot="0">
                                <a:off x="0" y="0"/>
                                <a:ext cx="1434465" cy="262255"/>
                              </a:xfrm>
                              <a:prstGeom prst="rect"/>
                              <a:noFill/>
                              <a:ln w="6350" cmpd="sng" cap="flat">
                                <a:solidFill>
                                  <a:srgbClr val="000000"/>
                                </a:solidFill>
                                <a:prstDash val="solid"/>
                                <a:round/>
                              </a:ln>
                            </wps:spPr>
                            <wps:txbx id="335">
                              <w:txbxContent>
                                <w:p>
                                  <w:pPr>
                                    <w:ind w:left="0" w:firstLineChars="0" w:firstLine="0"/>
                                    <w:rPr>
                                      <w:rFonts w:eastAsia="宋体"/>
                                      <w:sz w:val="21"/>
                                      <w:szCs w:val="21"/>
                                      <w:lang w:val="en-US" w:eastAsia="zh-CN"/>
                                    </w:rPr>
                                  </w:pPr>
                                  <w:r>
                                    <w:rPr>
                                      <w:rFonts w:hint="eastAsia"/>
                                      <w:sz w:val="21"/>
                                      <w:szCs w:val="21"/>
                                      <w:lang w:val="en-US" w:eastAsia="zh-CN"/>
                                    </w:rPr>
                                    <w:t>中微量元素混合车间搅拌</w:t>
                                  </w:r>
                                </w:p>
                              </w:txbxContent>
                            </wps:txbx>
                            <wps:bodyPr vert="horz" wrap="square" lIns="91440" tIns="45720" rIns="91440" bIns="45720" anchor="t" anchorCtr="0" upright="0">
                              <a:noAutofit/>
                            </wps:bodyPr>
                          </wps:wsp>
                        </a:graphicData>
                      </a:graphic>
                    </wp:anchor>
                  </w:drawing>
                </mc:Choice>
                <mc:Fallback>
                  <w:pict>
                    <v:rect type="#_x0000_t1" id="文本框 332" o:spid="_x0000_s336" filled="f" stroked="t" strokeweight="0.5pt" style="position:absolute;margin-left:25.000002pt;margin-top:11.1pt;width:112.950005pt;height:20.65pt;z-index:688;mso-position-horizontal:absolute;mso-position-vertical:absolute;mso-wrap-style:square;">
                      <v:stroke color="#000000"/>
                      <v:textbox id="929"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中微量元素混合车间搅拌</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00" behindDoc="0" locked="0" layoutInCell="1" hidden="0" allowOverlap="1">
                      <wp:simplePos x="0" y="0"/>
                      <wp:positionH relativeFrom="column">
                        <wp:posOffset>2645410</wp:posOffset>
                      </wp:positionH>
                      <wp:positionV relativeFrom="paragraph">
                        <wp:posOffset>-307975</wp:posOffset>
                      </wp:positionV>
                      <wp:extent cx="0" cy="428625"/>
                      <wp:effectExtent l="6350" t="0" r="12700" b="9525"/>
                      <wp:wrapNone/>
                      <wp:docPr id="341" name="直接连接符 341"/>
                      <wp:cNvGraphicFramePr>
                        <a:graphicFrameLocks noChangeAspect="0"/>
                      </wp:cNvGraphicFramePr>
                      <a:graphic>
                        <a:graphicData uri="http://schemas.microsoft.com/office/word/2010/wordprocessingShape">
                          <wps:wsp>
                            <wps:cNvSpPr/>
                            <wps:spPr>
                              <a:xfrm rot="0">
                                <a:off x="0" y="0"/>
                                <a:ext cx="0" cy="428625"/>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341" o:spid="_x0000_s337" from="208.3pt,-24.250002pt" to="208.3pt,9.499998pt" filled="f" stroked="t" style="position:absolute;z-index:700;mso-position-horizontal:absolute;mso-position-vertical:absolute;visibility:visible;">
                      <v:stroke color="#000000"/>
                    </v:line>
                  </w:pict>
                </mc:Fallback>
              </mc:AlternateContent>
            </w:r>
            <w:r>
              <w:rPr>
                <w:sz w:val="24"/>
              </w:rPr>
              <mc:AlternateContent>
                <mc:Choice Requires="wps">
                  <w:drawing>
                    <wp:anchor distT="0" distB="0" distL="114300" distR="114300" simplePos="0" relativeHeight="696" behindDoc="0" locked="0" layoutInCell="1" hidden="0" allowOverlap="1">
                      <wp:simplePos x="0" y="0"/>
                      <wp:positionH relativeFrom="column">
                        <wp:posOffset>1763395</wp:posOffset>
                      </wp:positionH>
                      <wp:positionV relativeFrom="paragraph">
                        <wp:posOffset>117475</wp:posOffset>
                      </wp:positionV>
                      <wp:extent cx="873760" cy="0"/>
                      <wp:effectExtent l="0" t="6350" r="0" b="6350"/>
                      <wp:wrapNone/>
                      <wp:docPr id="339" name="直接连接符 339"/>
                      <wp:cNvGraphicFramePr>
                        <a:graphicFrameLocks noChangeAspect="0"/>
                      </wp:cNvGraphicFramePr>
                      <a:graphic>
                        <a:graphicData uri="http://schemas.microsoft.com/office/word/2010/wordprocessingShape">
                          <wps:wsp>
                            <wps:cNvSpPr/>
                            <wps:spPr>
                              <a:xfrm rot="0">
                                <a:off x="0" y="0"/>
                                <a:ext cx="873760" cy="0"/>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339" o:spid="_x0000_s338" from="138.85pt,9.25pt" to="207.65002pt,9.25pt" filled="f" stroked="t" style="position:absolute;z-index:696;mso-position-horizontal:absolute;mso-position-vertical:absolute;visibility:visible;">
                      <v:stroke color="#000000"/>
                    </v:line>
                  </w:pict>
                </mc:Fallback>
              </mc:AlternateContent>
            </w:r>
          </w:p>
          <w:p>
            <w:pPr>
              <w:pStyle w:val="40"/>
              <w:jc w:val="both"/>
              <w:rPr>
                <w:color w:val="auto"/>
              </w:rPr>
            </w:pPr>
          </w:p>
          <w:p>
            <w:pPr>
              <w:pStyle w:val="40"/>
              <w:jc w:val="both"/>
              <w:rPr>
                <w:color w:val="auto"/>
                <w:lang w:val="en-US"/>
              </w:rPr>
            </w:pPr>
            <w:r>
              <w:rPr>
                <w:sz w:val="24"/>
              </w:rPr>
              <mc:AlternateContent>
                <mc:Choice Requires="wps">
                  <w:drawing>
                    <wp:anchor distT="0" distB="0" distL="114300" distR="114300" simplePos="0" relativeHeight="714" behindDoc="0" locked="0" layoutInCell="1" hidden="0" allowOverlap="1">
                      <wp:simplePos x="0" y="0"/>
                      <wp:positionH relativeFrom="column">
                        <wp:posOffset>1581785</wp:posOffset>
                      </wp:positionH>
                      <wp:positionV relativeFrom="paragraph">
                        <wp:posOffset>79375</wp:posOffset>
                      </wp:positionV>
                      <wp:extent cx="941705" cy="262255"/>
                      <wp:wrapNone/>
                      <wp:docPr id="349" name="文本框 349"/>
                      <wp:cNvGraphicFramePr>
                        <a:graphicFrameLocks noChangeAspect="0"/>
                      </wp:cNvGraphicFramePr>
                      <a:graphic>
                        <a:graphicData uri="http://schemas.microsoft.com/office/word/2010/wordprocessingShape">
                          <wps:wsp>
                            <wps:cNvSpPr/>
                            <wps:spPr>
                              <a:xfrm rot="0">
                                <a:off x="0" y="0"/>
                                <a:ext cx="941705" cy="262255"/>
                              </a:xfrm>
                              <a:prstGeom prst="rect"/>
                              <a:noFill/>
                              <a:ln w="6350" cmpd="sng" cap="flat">
                                <a:noFill/>
                                <a:prstDash val="solid"/>
                                <a:round/>
                              </a:ln>
                            </wps:spPr>
                            <wps:txbx id="339">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type="#_x0000_t1" id="文本框 349" o:spid="_x0000_s340" filled="f" stroked="f" strokeweight="0.5pt" style="position:absolute;margin-left:124.55001pt;margin-top:6.2500005pt;width:74.15pt;height:20.65pt;z-index:714;mso-position-horizontal:absolute;mso-position-vertical:absolute;mso-wrap-style:square;">
                      <v:stroke/>
                      <v:textbox id="930"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76" behindDoc="0" locked="0" layoutInCell="1" hidden="0" allowOverlap="1">
                      <wp:simplePos x="0" y="0"/>
                      <wp:positionH relativeFrom="column">
                        <wp:posOffset>1429385</wp:posOffset>
                      </wp:positionH>
                      <wp:positionV relativeFrom="paragraph">
                        <wp:posOffset>131445</wp:posOffset>
                      </wp:positionV>
                      <wp:extent cx="1299209" cy="634"/>
                      <wp:wrapNone/>
                      <wp:docPr id="13" name="直接连接符 13"/>
                      <wp:cNvGraphicFramePr>
                        <a:graphicFrameLocks noChangeAspect="0"/>
                      </wp:cNvGraphicFramePr>
                      <a:graphic>
                        <a:graphicData uri="http://schemas.microsoft.com/office/word/2010/wordprocessingShape">
                          <wps:wsp>
                            <wps:cNvSpPr/>
                            <wps:spPr>
                              <a:xfrm rot="0">
                                <a:off x="0" y="0"/>
                                <a:ext cx="1299209" cy="634"/>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13" o:spid="_x0000_s341" from="112.55001pt,10.35pt" to="214.85pt,10.400001pt" filled="f" stroked="t" style="position:absolute;z-index:776;mso-position-horizontal:absolute;mso-position-vertical:absolute;visibility:visible;">
                      <v:stroke color="#000000"/>
                    </v:line>
                  </w:pict>
                </mc:Fallback>
              </mc:AlternateContent>
            </w:r>
            <w:r>
              <w:rPr>
                <w:sz w:val="24"/>
              </w:rPr>
              <mc:AlternateContent>
                <mc:Choice Requires="wps">
                  <w:drawing>
                    <wp:anchor distT="0" distB="0" distL="114300" distR="114300" simplePos="0" relativeHeight="712" behindDoc="0" locked="0" layoutInCell="1" hidden="0" allowOverlap="1">
                      <wp:simplePos x="0" y="0"/>
                      <wp:positionH relativeFrom="column">
                        <wp:posOffset>8889</wp:posOffset>
                      </wp:positionH>
                      <wp:positionV relativeFrom="paragraph">
                        <wp:posOffset>5715</wp:posOffset>
                      </wp:positionV>
                      <wp:extent cx="1403985" cy="262254"/>
                      <wp:effectExtent l="4444" t="4444" r="20320" b="19050"/>
                      <wp:wrapNone/>
                      <wp:docPr id="346" name="文本框 346"/>
                      <wp:cNvGraphicFramePr>
                        <a:graphicFrameLocks noChangeAspect="0"/>
                      </wp:cNvGraphicFramePr>
                      <a:graphic>
                        <a:graphicData uri="http://schemas.microsoft.com/office/word/2010/wordprocessingShape">
                          <wps:wsp>
                            <wps:cNvSpPr/>
                            <wps:spPr>
                              <a:xfrm rot="0">
                                <a:off x="0" y="0"/>
                                <a:ext cx="1403985" cy="262254"/>
                              </a:xfrm>
                              <a:prstGeom prst="rect"/>
                              <a:noFill/>
                              <a:ln w="6350" cmpd="sng" cap="flat">
                                <a:solidFill>
                                  <a:srgbClr val="000000"/>
                                </a:solidFill>
                                <a:prstDash val="solid"/>
                                <a:round/>
                              </a:ln>
                            </wps:spPr>
                            <wps:txbx id="342">
                              <w:txbxContent>
                                <w:p>
                                  <w:pPr>
                                    <w:ind w:left="0" w:firstLineChars="0" w:firstLine="0"/>
                                    <w:rPr>
                                      <w:rFonts w:eastAsia="宋体"/>
                                      <w:sz w:val="21"/>
                                      <w:szCs w:val="21"/>
                                      <w:lang w:val="en-US" w:eastAsia="zh-CN"/>
                                    </w:rPr>
                                  </w:pPr>
                                  <w:r>
                                    <w:rPr>
                                      <w:rFonts w:hint="eastAsia"/>
                                      <w:sz w:val="21"/>
                                      <w:szCs w:val="21"/>
                                      <w:lang w:val="en-US" w:eastAsia="zh-CN"/>
                                    </w:rPr>
                                    <w:t>挤压造粒线车间投料</w:t>
                                  </w:r>
                                </w:p>
                              </w:txbxContent>
                            </wps:txbx>
                            <wps:bodyPr vert="horz" wrap="square" lIns="91440" tIns="45720" rIns="91440" bIns="45720" anchor="t" anchorCtr="0" upright="0">
                              <a:noAutofit/>
                            </wps:bodyPr>
                          </wps:wsp>
                        </a:graphicData>
                      </a:graphic>
                    </wp:anchor>
                  </w:drawing>
                </mc:Choice>
                <mc:Fallback>
                  <w:pict>
                    <v:rect type="#_x0000_t1" id="文本框 346" o:spid="_x0000_s343" filled="f" stroked="t" strokeweight="0.5pt" style="position:absolute;margin-left:0.7pt;margin-top:0.45000002pt;width:110.55pt;height:20.65pt;z-index:712;mso-position-horizontal:absolute;mso-position-vertical:absolute;mso-wrap-style:square;">
                      <v:stroke color="#000000"/>
                      <v:textbox id="931"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挤压造粒线车间投料</w:t>
                            </w:r>
                          </w:p>
                        </w:txbxContent>
                      </v:textbox>
                    </v:rect>
                  </w:pict>
                </mc:Fallback>
              </mc:AlternateContent>
            </w:r>
          </w:p>
          <w:p>
            <w:pPr>
              <w:pStyle w:val="40"/>
              <w:jc w:val="both"/>
              <w:rPr>
                <w:color w:val="auto"/>
              </w:rPr>
            </w:pPr>
          </w:p>
          <w:p>
            <w:pPr>
              <w:pStyle w:val="40"/>
              <w:jc w:val="both"/>
              <w:rPr>
                <w:color w:val="auto"/>
              </w:rPr>
            </w:pPr>
            <w:r>
              <w:rPr>
                <w:sz w:val="24"/>
              </w:rPr>
              <mc:AlternateContent>
                <mc:Choice Requires="wps">
                  <w:drawing>
                    <wp:anchor distT="0" distB="0" distL="114300" distR="114300" simplePos="0" relativeHeight="716" behindDoc="0" locked="0" layoutInCell="1" hidden="0" allowOverlap="1">
                      <wp:simplePos x="0" y="0"/>
                      <wp:positionH relativeFrom="column">
                        <wp:posOffset>57150</wp:posOffset>
                      </wp:positionH>
                      <wp:positionV relativeFrom="paragraph">
                        <wp:posOffset>120015</wp:posOffset>
                      </wp:positionV>
                      <wp:extent cx="1932305" cy="847725"/>
                      <wp:effectExtent l="4444" t="4444" r="6350" b="5080"/>
                      <wp:wrapNone/>
                      <wp:docPr id="376" name="文本框 376"/>
                      <wp:cNvGraphicFramePr>
                        <a:graphicFrameLocks noChangeAspect="0"/>
                      </wp:cNvGraphicFramePr>
                      <a:graphic>
                        <a:graphicData uri="http://schemas.microsoft.com/office/word/2010/wordprocessingShape">
                          <wps:wsp>
                            <wps:cNvSpPr/>
                            <wps:spPr>
                              <a:xfrm rot="0">
                                <a:off x="0" y="0"/>
                                <a:ext cx="1932305" cy="847725"/>
                              </a:xfrm>
                              <a:prstGeom prst="rect"/>
                              <a:noFill/>
                              <a:ln w="6350" cmpd="sng" cap="flat">
                                <a:solidFill>
                                  <a:srgbClr val="000000"/>
                                </a:solidFill>
                                <a:prstDash val="solid"/>
                                <a:round/>
                              </a:ln>
                            </wps:spPr>
                            <wps:txbx id="344">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hint="eastAsia"/>
                                      <w:sz w:val="21"/>
                                      <w:szCs w:val="21"/>
                                      <w:lang w:val="en-US" w:eastAsia="zh-CN"/>
                                    </w:rPr>
                                  </w:pPr>
                                  <w:r>
                                    <w:rPr>
                                      <w:rFonts w:hint="eastAsia"/>
                                      <w:sz w:val="21"/>
                                      <w:szCs w:val="21"/>
                                      <w:lang w:val="en-US" w:eastAsia="zh-CN"/>
                                    </w:rPr>
                                    <w:t>挤压造粒生产线车间第一次破碎、第二次破碎、挤压造粒、第一次筛分、整形、喷脲、冷却、第二次筛分、裹油、铺粉、抛光</w:t>
                                  </w:r>
                                </w:p>
                              </w:txbxContent>
                            </wps:txbx>
                            <wps:bodyPr vert="horz" wrap="square" lIns="91440" tIns="45720" rIns="91440" bIns="45720" anchor="t" anchorCtr="0" upright="0">
                              <a:noAutofit/>
                            </wps:bodyPr>
                          </wps:wsp>
                        </a:graphicData>
                      </a:graphic>
                    </wp:anchor>
                  </w:drawing>
                </mc:Choice>
                <mc:Fallback>
                  <w:pict>
                    <v:rect type="#_x0000_t1" id="文本框 376" o:spid="_x0000_s345" filled="f" stroked="t" strokeweight="0.5pt" style="position:absolute;margin-left:4.5pt;margin-top:9.45pt;width:152.15pt;height:66.75pt;z-index:716;mso-position-horizontal:absolute;mso-position-vertical:absolute;mso-wrap-style:square;">
                      <v:stroke color="#000000"/>
                      <v:textbox id="932"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hint="eastAsia"/>
                                <w:sz w:val="21"/>
                                <w:szCs w:val="21"/>
                                <w:lang w:val="en-US" w:eastAsia="zh-CN"/>
                              </w:rPr>
                            </w:pPr>
                            <w:r>
                              <w:rPr>
                                <w:rFonts w:hint="eastAsia"/>
                                <w:sz w:val="21"/>
                                <w:szCs w:val="21"/>
                                <w:lang w:val="en-US" w:eastAsia="zh-CN"/>
                              </w:rPr>
                              <w:t>挤压造粒生产线车间第一次破碎、第二次破碎、挤压造粒、第一次筛分、整形、喷脲、冷却、第二次筛分、裹油、铺粉、抛光</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36" behindDoc="0" locked="0" layoutInCell="1" hidden="0" allowOverlap="1">
                      <wp:simplePos x="0" y="0"/>
                      <wp:positionH relativeFrom="column">
                        <wp:posOffset>3014345</wp:posOffset>
                      </wp:positionH>
                      <wp:positionV relativeFrom="paragraph">
                        <wp:posOffset>145414</wp:posOffset>
                      </wp:positionV>
                      <wp:extent cx="1170940" cy="1024255"/>
                      <wp:effectExtent l="4444" t="4444" r="5715" b="19050"/>
                      <wp:wrapNone/>
                      <wp:docPr id="386" name="文本框 386"/>
                      <wp:cNvGraphicFramePr>
                        <a:graphicFrameLocks noChangeAspect="0"/>
                      </wp:cNvGraphicFramePr>
                      <a:graphic>
                        <a:graphicData uri="http://schemas.microsoft.com/office/word/2010/wordprocessingShape">
                          <wps:wsp>
                            <wps:cNvSpPr/>
                            <wps:spPr>
                              <a:xfrm rot="0">
                                <a:off x="0" y="0"/>
                                <a:ext cx="1170940" cy="1024255"/>
                              </a:xfrm>
                              <a:prstGeom prst="rect"/>
                              <a:noFill/>
                              <a:ln w="6350" cmpd="sng" cap="flat">
                                <a:solidFill>
                                  <a:srgbClr val="000000"/>
                                </a:solidFill>
                                <a:prstDash val="solid"/>
                                <a:round/>
                              </a:ln>
                            </wps:spPr>
                            <wps:txbx id="346">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sz w:val="21"/>
                                      <w:szCs w:val="21"/>
                                      <w:lang w:val="en-US" w:eastAsia="zh-CN"/>
                                    </w:rPr>
                                  </w:pPr>
                                  <w:r>
                                    <w:rPr>
                                      <w:sz w:val="21"/>
                                      <w:szCs w:val="21"/>
                                      <w:lang w:val="en-US" w:eastAsia="zh-CN"/>
                                    </w:rPr>
                                    <w:t>旋风除尘器TA001+布袋除尘器TA002+</w:t>
                                  </w:r>
                                  <w:r>
                                    <w:rPr>
                                      <w:rFonts w:hint="eastAsia"/>
                                      <w:sz w:val="21"/>
                                      <w:szCs w:val="21"/>
                                      <w:lang w:val="en-US" w:eastAsia="zh-CN"/>
                                    </w:rPr>
                                    <w:t>二级活性炭吸附装置</w:t>
                                  </w:r>
                                  <w:r>
                                    <w:rPr>
                                      <w:sz w:val="21"/>
                                      <w:szCs w:val="21"/>
                                      <w:lang w:val="en-US" w:eastAsia="zh-CN"/>
                                    </w:rPr>
                                    <w:t>TA002</w:t>
                                  </w:r>
                                </w:p>
                              </w:txbxContent>
                            </wps:txbx>
                            <wps:bodyPr vert="horz" wrap="square" lIns="91440" tIns="45720" rIns="91440" bIns="45720" anchor="t" anchorCtr="0" upright="0">
                              <a:noAutofit/>
                            </wps:bodyPr>
                          </wps:wsp>
                        </a:graphicData>
                      </a:graphic>
                    </wp:anchor>
                  </w:drawing>
                </mc:Choice>
                <mc:Fallback>
                  <w:pict>
                    <v:rect type="#_x0000_t1" id="文本框 386" o:spid="_x0000_s347" filled="f" stroked="t" strokeweight="0.5pt" style="position:absolute;margin-left:237.35pt;margin-top:11.45pt;width:92.20001pt;height:80.65pt;z-index:736;mso-position-horizontal:absolute;mso-position-vertical:absolute;mso-wrap-style:square;">
                      <v:stroke color="#000000"/>
                      <v:textbox id="933"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sz w:val="21"/>
                                <w:szCs w:val="21"/>
                                <w:lang w:val="en-US" w:eastAsia="zh-CN"/>
                              </w:rPr>
                            </w:pPr>
                            <w:r>
                              <w:rPr>
                                <w:sz w:val="21"/>
                                <w:szCs w:val="21"/>
                                <w:lang w:val="en-US" w:eastAsia="zh-CN"/>
                              </w:rPr>
                              <w:t>旋风除尘器TA001+布袋除尘器TA002+</w:t>
                            </w:r>
                            <w:r>
                              <w:rPr>
                                <w:rFonts w:hint="eastAsia"/>
                                <w:sz w:val="21"/>
                                <w:szCs w:val="21"/>
                                <w:lang w:val="en-US" w:eastAsia="zh-CN"/>
                              </w:rPr>
                              <w:t>二级活性炭吸附装置</w:t>
                            </w:r>
                            <w:r>
                              <w:rPr>
                                <w:sz w:val="21"/>
                                <w:szCs w:val="21"/>
                                <w:lang w:val="en-US" w:eastAsia="zh-CN"/>
                              </w:rPr>
                              <w:t>TA002</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18" behindDoc="0" locked="0" layoutInCell="1" hidden="0" allowOverlap="1">
                      <wp:simplePos x="0" y="0"/>
                      <wp:positionH relativeFrom="column">
                        <wp:posOffset>2109470</wp:posOffset>
                      </wp:positionH>
                      <wp:positionV relativeFrom="paragraph">
                        <wp:posOffset>89535</wp:posOffset>
                      </wp:positionV>
                      <wp:extent cx="638175" cy="262254"/>
                      <wp:wrapNone/>
                      <wp:docPr id="377" name="文本框 377"/>
                      <wp:cNvGraphicFramePr>
                        <a:graphicFrameLocks noChangeAspect="0"/>
                      </wp:cNvGraphicFramePr>
                      <a:graphic>
                        <a:graphicData uri="http://schemas.microsoft.com/office/word/2010/wordprocessingShape">
                          <wps:wsp>
                            <wps:cNvSpPr/>
                            <wps:spPr>
                              <a:xfrm rot="0">
                                <a:off x="0" y="0"/>
                                <a:ext cx="638175" cy="262254"/>
                              </a:xfrm>
                              <a:prstGeom prst="rect"/>
                              <a:noFill/>
                              <a:ln w="6350" cmpd="sng" cap="flat">
                                <a:noFill/>
                                <a:prstDash val="solid"/>
                                <a:round/>
                              </a:ln>
                            </wps:spPr>
                            <wps:txbx id="348">
                              <w:txbxContent>
                                <w:p>
                                  <w:pPr>
                                    <w:ind w:left="0" w:firstLineChars="0" w:firstLine="0"/>
                                    <w:rPr>
                                      <w:rFonts w:eastAsia="宋体"/>
                                      <w:sz w:val="21"/>
                                      <w:szCs w:val="21"/>
                                      <w:lang w:val="en-US" w:eastAsia="zh-CN"/>
                                    </w:rPr>
                                  </w:pPr>
                                  <w:r>
                                    <w:rPr>
                                      <w:rFonts w:hint="eastAsia"/>
                                      <w:sz w:val="21"/>
                                      <w:szCs w:val="21"/>
                                      <w:lang w:val="en-US" w:eastAsia="zh-CN"/>
                                    </w:rPr>
                                    <w:t>管道</w:t>
                                  </w:r>
                                </w:p>
                              </w:txbxContent>
                            </wps:txbx>
                            <wps:bodyPr vert="horz" wrap="square" lIns="91440" tIns="45720" rIns="91440" bIns="45720" anchor="t" anchorCtr="0" upright="0">
                              <a:noAutofit/>
                            </wps:bodyPr>
                          </wps:wsp>
                        </a:graphicData>
                      </a:graphic>
                    </wp:anchor>
                  </w:drawing>
                </mc:Choice>
                <mc:Fallback>
                  <w:pict>
                    <v:rect type="#_x0000_t1" id="文本框 377" o:spid="_x0000_s349" filled="f" stroked="f" strokeweight="0.5pt" style="position:absolute;margin-left:166.1pt;margin-top:7.05pt;width:50.25pt;height:20.65pt;z-index:718;mso-position-horizontal:absolute;mso-position-vertical:absolute;mso-wrap-style:square;">
                      <v:stroke/>
                      <v:textbox id="934"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管道</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02" behindDoc="0" locked="0" layoutInCell="1" hidden="0" allowOverlap="1">
                      <wp:simplePos x="0" y="0"/>
                      <wp:positionH relativeFrom="column">
                        <wp:posOffset>1999614</wp:posOffset>
                      </wp:positionH>
                      <wp:positionV relativeFrom="paragraph">
                        <wp:posOffset>111125</wp:posOffset>
                      </wp:positionV>
                      <wp:extent cx="739775" cy="634"/>
                      <wp:wrapNone/>
                      <wp:docPr id="342" name="直接连接符 342"/>
                      <wp:cNvGraphicFramePr>
                        <a:graphicFrameLocks noChangeAspect="0"/>
                      </wp:cNvGraphicFramePr>
                      <a:graphic>
                        <a:graphicData uri="http://schemas.microsoft.com/office/word/2010/wordprocessingShape">
                          <wps:wsp>
                            <wps:cNvSpPr/>
                            <wps:spPr>
                              <a:xfrm rot="0">
                                <a:off x="0" y="0"/>
                                <a:ext cx="739775" cy="634"/>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342" o:spid="_x0000_s350" from="157.45pt,8.75pt" to="215.7pt,8.8pt" filled="f" stroked="t" style="position:absolute;z-index:702;mso-position-horizontal:absolute;mso-position-vertical:absolute;visibility:visible;">
                      <v:stroke color="#000000"/>
                    </v:line>
                  </w:pict>
                </mc:Fallback>
              </mc:AlternateContent>
            </w:r>
          </w:p>
          <w:p>
            <w:pPr>
              <w:pStyle w:val="40"/>
              <w:jc w:val="both"/>
              <w:rPr>
                <w:color w:val="auto"/>
              </w:rPr>
            </w:pPr>
            <w:r>
              <w:rPr>
                <w:sz w:val="24"/>
              </w:rPr>
              <mc:AlternateContent>
                <mc:Choice Requires="wps">
                  <w:drawing>
                    <wp:anchor distT="0" distB="0" distL="114300" distR="114300" simplePos="0" relativeHeight="740" behindDoc="0" locked="0" layoutInCell="1" hidden="0" allowOverlap="1">
                      <wp:simplePos x="0" y="0"/>
                      <wp:positionH relativeFrom="column">
                        <wp:posOffset>4396740</wp:posOffset>
                      </wp:positionH>
                      <wp:positionV relativeFrom="paragraph">
                        <wp:posOffset>81915</wp:posOffset>
                      </wp:positionV>
                      <wp:extent cx="1005204" cy="254000"/>
                      <wp:effectExtent l="4444" t="5080" r="19050" b="7620"/>
                      <wp:wrapNone/>
                      <wp:docPr id="388" name="文本框 388"/>
                      <wp:cNvGraphicFramePr>
                        <a:graphicFrameLocks noChangeAspect="0"/>
                      </wp:cNvGraphicFramePr>
                      <a:graphic>
                        <a:graphicData uri="http://schemas.microsoft.com/office/word/2010/wordprocessingShape">
                          <wps:wsp>
                            <wps:cNvSpPr/>
                            <wps:spPr>
                              <a:xfrm rot="0">
                                <a:off x="0" y="0"/>
                                <a:ext cx="1005204" cy="254000"/>
                              </a:xfrm>
                              <a:prstGeom prst="rect"/>
                              <a:noFill/>
                              <a:ln w="6350" cmpd="sng" cap="flat">
                                <a:solidFill>
                                  <a:srgbClr val="000000"/>
                                </a:solidFill>
                                <a:prstDash val="solid"/>
                                <a:round/>
                              </a:ln>
                            </wps:spPr>
                            <wps:txbx id="351">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15m排气筒P2</w:t>
                                  </w:r>
                                </w:p>
                              </w:txbxContent>
                            </wps:txbx>
                            <wps:bodyPr vert="horz" wrap="square" lIns="91440" tIns="45720" rIns="91440" bIns="45720" anchor="t" anchorCtr="0" upright="0">
                              <a:noAutofit/>
                            </wps:bodyPr>
                          </wps:wsp>
                        </a:graphicData>
                      </a:graphic>
                    </wp:anchor>
                  </w:drawing>
                </mc:Choice>
                <mc:Fallback>
                  <w:pict>
                    <v:rect type="#_x0000_t1" id="文本框 388" o:spid="_x0000_s352" filled="f" stroked="t" strokeweight="0.5pt" style="position:absolute;margin-left:346.2pt;margin-top:6.4500003pt;width:79.149994pt;height:20.000002pt;z-index:740;mso-position-horizontal:absolute;mso-position-vertical:absolute;mso-wrap-style:square;">
                      <v:stroke color="#000000"/>
                      <v:textbox id="935"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15m排气筒P2</w:t>
                            </w:r>
                          </w:p>
                        </w:txbxContent>
                      </v:textbox>
                    </v:rect>
                  </w:pict>
                </mc:Fallback>
              </mc:AlternateContent>
            </w:r>
            <w:r>
              <w:rPr>
                <w:sz w:val="24"/>
              </w:rPr>
              <mc:AlternateContent>
                <mc:Choice Requires="wps">
                  <w:drawing>
                    <wp:anchor distT="0" distB="0" distL="114300" distR="114300" simplePos="0" relativeHeight="734" behindDoc="0" locked="0" layoutInCell="1" hidden="0" allowOverlap="1">
                      <wp:simplePos x="0" y="0"/>
                      <wp:positionH relativeFrom="column">
                        <wp:posOffset>2747010</wp:posOffset>
                      </wp:positionH>
                      <wp:positionV relativeFrom="paragraph">
                        <wp:posOffset>95250</wp:posOffset>
                      </wp:positionV>
                      <wp:extent cx="246380" cy="634"/>
                      <wp:effectExtent l="0" t="50800" r="1270" b="62865"/>
                      <wp:wrapNone/>
                      <wp:docPr id="385" name="直接箭头连接符 385"/>
                      <wp:cNvGraphicFramePr>
                        <a:graphicFrameLocks noChangeAspect="0"/>
                      </wp:cNvGraphicFramePr>
                      <a:graphic>
                        <a:graphicData uri="http://schemas.microsoft.com/office/word/2010/wordprocessingShape">
                          <wps:wsp>
                            <wps:cNvSpPr/>
                            <wps:spPr>
                              <a:xfrm flipV="1" rot="21600000">
                                <a:off x="0" y="0"/>
                                <a:ext cx="246380" cy="634"/>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85" o:spid="_x0000_s353" filled="f" stroked="t" style="position:absolute;margin-left:216.30002pt;margin-top:7.5pt;width:19.399994pt;height:0.049987793pt;flip:y;z-index:734;mso-position-horizontal:absolute;mso-position-vertical:absolute;">
                      <v:stroke color="#000000" endarrow="open"/>
                    </v:shape>
                  </w:pict>
                </mc:Fallback>
              </mc:AlternateContent>
            </w:r>
          </w:p>
          <w:p>
            <w:pPr>
              <w:pStyle w:val="40"/>
              <w:jc w:val="both"/>
              <w:rPr>
                <w:color w:val="auto"/>
              </w:rPr>
            </w:pPr>
            <w:r>
              <w:rPr>
                <w:sz w:val="24"/>
              </w:rPr>
              <mc:AlternateContent>
                <mc:Choice Requires="wps">
                  <w:drawing>
                    <wp:anchor distT="0" distB="0" distL="114300" distR="114300" simplePos="0" relativeHeight="738" behindDoc="0" locked="0" layoutInCell="1" hidden="0" allowOverlap="1">
                      <wp:simplePos x="0" y="0"/>
                      <wp:positionH relativeFrom="column">
                        <wp:posOffset>4210050</wp:posOffset>
                      </wp:positionH>
                      <wp:positionV relativeFrom="paragraph">
                        <wp:posOffset>18415</wp:posOffset>
                      </wp:positionV>
                      <wp:extent cx="187960" cy="3809"/>
                      <wp:effectExtent l="0" t="48894" r="2540" b="61594"/>
                      <wp:wrapNone/>
                      <wp:docPr id="387" name="直接箭头连接符 387"/>
                      <wp:cNvGraphicFramePr>
                        <a:graphicFrameLocks noChangeAspect="0"/>
                      </wp:cNvGraphicFramePr>
                      <a:graphic>
                        <a:graphicData uri="http://schemas.microsoft.com/office/word/2010/wordprocessingShape">
                          <wps:wsp>
                            <wps:cNvSpPr/>
                            <wps:spPr>
                              <a:xfrm rot="0">
                                <a:off x="0" y="0"/>
                                <a:ext cx="187960" cy="380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87" o:spid="_x0000_s354" filled="f" stroked="t" style="position:absolute;margin-left:331.5pt;margin-top:1.4500122pt;width:14.800018pt;height:0.29997253pt;z-index:738;mso-position-horizontal:absolute;mso-position-vertical:absolute;">
                      <v:stroke color="#000000" endarrow="open"/>
                    </v:shape>
                  </w:pict>
                </mc:Fallback>
              </mc:AlternateContent>
            </w:r>
          </w:p>
          <w:p>
            <w:pPr>
              <w:pStyle w:val="40"/>
              <w:jc w:val="both"/>
              <w:rPr>
                <w:color w:val="auto"/>
              </w:rPr>
            </w:pPr>
            <w:r>
              <w:rPr>
                <w:sz w:val="24"/>
              </w:rPr>
              <mc:AlternateContent>
                <mc:Choice Requires="wps">
                  <w:drawing>
                    <wp:anchor distT="0" distB="0" distL="114300" distR="114300" simplePos="0" relativeHeight="726" behindDoc="0" locked="0" layoutInCell="1" hidden="0" allowOverlap="1">
                      <wp:simplePos x="0" y="0"/>
                      <wp:positionH relativeFrom="column">
                        <wp:posOffset>1815465</wp:posOffset>
                      </wp:positionH>
                      <wp:positionV relativeFrom="paragraph">
                        <wp:posOffset>73660</wp:posOffset>
                      </wp:positionV>
                      <wp:extent cx="941705" cy="262254"/>
                      <wp:wrapNone/>
                      <wp:docPr id="381" name="文本框 381"/>
                      <wp:cNvGraphicFramePr>
                        <a:graphicFrameLocks noChangeAspect="0"/>
                      </wp:cNvGraphicFramePr>
                      <a:graphic>
                        <a:graphicData uri="http://schemas.microsoft.com/office/word/2010/wordprocessingShape">
                          <wps:wsp>
                            <wps:cNvSpPr/>
                            <wps:spPr>
                              <a:xfrm rot="0">
                                <a:off x="0" y="0"/>
                                <a:ext cx="941705" cy="262254"/>
                              </a:xfrm>
                              <a:prstGeom prst="rect"/>
                              <a:noFill/>
                              <a:ln w="6350" cmpd="sng" cap="flat">
                                <a:noFill/>
                                <a:prstDash val="solid"/>
                                <a:round/>
                              </a:ln>
                            </wps:spPr>
                            <wps:txbx id="355">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type="#_x0000_t1" id="文本框 381" o:spid="_x0000_s356" filled="f" stroked="f" strokeweight="0.5pt" style="position:absolute;margin-left:142.95pt;margin-top:5.8pt;width:74.15pt;height:20.65pt;z-index:726;mso-position-horizontal:absolute;mso-position-vertical:absolute;mso-wrap-style:square;">
                      <v:stroke/>
                      <v:textbox id="936"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v:textbox>
                    </v:rect>
                  </w:pict>
                </mc:Fallback>
              </mc:AlternateContent>
            </w:r>
            <w:r>
              <w:rPr>
                <w:sz w:val="24"/>
              </w:rPr>
              <mc:AlternateContent>
                <mc:Choice Requires="wps">
                  <w:drawing>
                    <wp:anchor distT="0" distB="0" distL="114300" distR="114300" simplePos="0" relativeHeight="722" behindDoc="0" locked="0" layoutInCell="1" hidden="0" allowOverlap="1">
                      <wp:simplePos x="0" y="0"/>
                      <wp:positionH relativeFrom="column">
                        <wp:posOffset>80010</wp:posOffset>
                      </wp:positionH>
                      <wp:positionV relativeFrom="paragraph">
                        <wp:posOffset>121285</wp:posOffset>
                      </wp:positionV>
                      <wp:extent cx="1716405" cy="294004"/>
                      <wp:effectExtent l="5080" t="4444" r="12064" b="6350"/>
                      <wp:wrapNone/>
                      <wp:docPr id="379" name="文本框 379"/>
                      <wp:cNvGraphicFramePr>
                        <a:graphicFrameLocks noChangeAspect="0"/>
                      </wp:cNvGraphicFramePr>
                      <a:graphic>
                        <a:graphicData uri="http://schemas.microsoft.com/office/word/2010/wordprocessingShape">
                          <wps:wsp>
                            <wps:cNvSpPr/>
                            <wps:spPr>
                              <a:xfrm rot="0">
                                <a:off x="0" y="0"/>
                                <a:ext cx="1716405" cy="294004"/>
                              </a:xfrm>
                              <a:prstGeom prst="rect"/>
                              <a:noFill/>
                              <a:ln w="6350" cmpd="sng" cap="flat">
                                <a:solidFill>
                                  <a:srgbClr val="000000"/>
                                </a:solidFill>
                                <a:prstDash val="solid"/>
                                <a:round/>
                              </a:ln>
                            </wps:spPr>
                            <wps:txbx id="357">
                              <w:txbxContent>
                                <w:p>
                                  <w:pPr>
                                    <w:ind w:left="0" w:firstLineChars="0" w:firstLine="0"/>
                                    <w:rPr>
                                      <w:rFonts w:hint="eastAsia"/>
                                      <w:sz w:val="21"/>
                                      <w:szCs w:val="21"/>
                                      <w:lang w:val="en-US" w:eastAsia="zh-CN"/>
                                    </w:rPr>
                                  </w:pPr>
                                  <w:r>
                                    <w:rPr>
                                      <w:rFonts w:hint="eastAsia"/>
                                      <w:sz w:val="21"/>
                                      <w:szCs w:val="21"/>
                                      <w:lang w:val="en-US" w:eastAsia="zh-CN"/>
                                    </w:rPr>
                                    <w:t>挤压造粒生产线车间装袋</w:t>
                                  </w:r>
                                </w:p>
                              </w:txbxContent>
                            </wps:txbx>
                            <wps:bodyPr vert="horz" wrap="square" lIns="91440" tIns="45720" rIns="91440" bIns="45720" anchor="t" anchorCtr="0" upright="0">
                              <a:noAutofit/>
                            </wps:bodyPr>
                          </wps:wsp>
                        </a:graphicData>
                      </a:graphic>
                    </wp:anchor>
                  </w:drawing>
                </mc:Choice>
                <mc:Fallback>
                  <w:pict>
                    <v:rect type="#_x0000_t1" id="文本框 379" o:spid="_x0000_s358" filled="f" stroked="t" strokeweight="0.5pt" style="position:absolute;margin-left:6.3pt;margin-top:9.55pt;width:135.15pt;height:23.149998pt;z-index:722;mso-position-horizontal:absolute;mso-position-vertical:absolute;mso-wrap-style:square;">
                      <v:stroke color="#000000"/>
                      <v:textbox id="937" inset="2.54mm,1.27mm,2.54mm,1.27mm" o:insetmode="custom" style="layout-flow:horizontal;v-text-anchor:top;">
                        <w:txbxContent>
                          <w:p>
                            <w:pPr>
                              <w:ind w:left="0" w:firstLineChars="0" w:firstLine="0"/>
                              <w:rPr>
                                <w:rFonts w:hint="eastAsia"/>
                                <w:sz w:val="21"/>
                                <w:szCs w:val="21"/>
                                <w:lang w:val="en-US" w:eastAsia="zh-CN"/>
                              </w:rPr>
                            </w:pPr>
                            <w:r>
                              <w:rPr>
                                <w:rFonts w:hint="eastAsia"/>
                                <w:sz w:val="21"/>
                                <w:szCs w:val="21"/>
                                <w:lang w:val="en-US" w:eastAsia="zh-CN"/>
                              </w:rPr>
                              <w:t>挤压造粒生产线车间装袋</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20" behindDoc="0" locked="0" layoutInCell="1" hidden="0" allowOverlap="1">
                      <wp:simplePos x="0" y="0"/>
                      <wp:positionH relativeFrom="column">
                        <wp:posOffset>1823085</wp:posOffset>
                      </wp:positionH>
                      <wp:positionV relativeFrom="paragraph">
                        <wp:posOffset>115570</wp:posOffset>
                      </wp:positionV>
                      <wp:extent cx="913129" cy="1269"/>
                      <wp:wrapNone/>
                      <wp:docPr id="378" name="直接连接符 378"/>
                      <wp:cNvGraphicFramePr>
                        <a:graphicFrameLocks noChangeAspect="0"/>
                      </wp:cNvGraphicFramePr>
                      <a:graphic>
                        <a:graphicData uri="http://schemas.microsoft.com/office/word/2010/wordprocessingShape">
                          <wps:wsp>
                            <wps:cNvSpPr/>
                            <wps:spPr>
                              <a:xfrm flipV="1" rot="21600000">
                                <a:off x="0" y="0"/>
                                <a:ext cx="913129" cy="1269"/>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378" o:spid="_x0000_s359" from="143.55pt,9.1pt" to="215.44998pt,9.200001pt" filled="f" stroked="t" style="position:absolute;flip:y;z-index:720;mso-position-horizontal:absolute;mso-position-vertical:absolute;visibility:visible;">
                      <v:stroke color="#000000"/>
                    </v:line>
                  </w:pict>
                </mc:Fallback>
              </mc:AlternateContent>
            </w:r>
          </w:p>
          <w:p>
            <w:pPr>
              <w:pStyle w:val="40"/>
              <w:jc w:val="both"/>
              <w:rPr>
                <w:rFonts w:eastAsia="宋体" w:hint="eastAsia"/>
                <w:color w:val="auto"/>
                <w:lang w:eastAsia="zh-CN"/>
              </w:rPr>
            </w:pPr>
            <w:r>
              <w:rPr>
                <w:sz w:val="24"/>
              </w:rPr>
              <mc:AlternateContent>
                <mc:Choice Requires="wps">
                  <w:drawing>
                    <wp:anchor distT="0" distB="0" distL="114300" distR="114300" simplePos="0" relativeHeight="732" behindDoc="0" locked="0" layoutInCell="1" hidden="0" allowOverlap="1">
                      <wp:simplePos x="0" y="0"/>
                      <wp:positionH relativeFrom="column">
                        <wp:posOffset>2733675</wp:posOffset>
                      </wp:positionH>
                      <wp:positionV relativeFrom="paragraph">
                        <wp:posOffset>-1635760</wp:posOffset>
                      </wp:positionV>
                      <wp:extent cx="13334" cy="2106930"/>
                      <wp:effectExtent l="6350" t="0" r="18415" b="7620"/>
                      <wp:wrapNone/>
                      <wp:docPr id="384" name="直接连接符 384"/>
                      <wp:cNvGraphicFramePr>
                        <a:graphicFrameLocks noChangeAspect="0"/>
                      </wp:cNvGraphicFramePr>
                      <a:graphic>
                        <a:graphicData uri="http://schemas.microsoft.com/office/word/2010/wordprocessingShape">
                          <wps:wsp>
                            <wps:cNvSpPr/>
                            <wps:spPr>
                              <a:xfrm rot="0">
                                <a:off x="0" y="0"/>
                                <a:ext cx="13334" cy="2106930"/>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384" o:spid="_x0000_s360" from="215.25pt,-128.8pt" to="216.29999pt,37.09999pt" filled="f" stroked="t" style="position:absolute;z-index:732;mso-position-horizontal:absolute;mso-position-vertical:absolute;visibility:visible;">
                      <v:stroke color="#000000"/>
                    </v:line>
                  </w:pict>
                </mc:Fallback>
              </mc:AlternateContent>
            </w:r>
          </w:p>
          <w:p>
            <w:pPr>
              <w:pStyle w:val="40"/>
              <w:jc w:val="both"/>
              <w:rPr>
                <w:rFonts w:eastAsia="宋体" w:hint="eastAsia"/>
                <w:color w:val="auto"/>
                <w:lang w:eastAsia="zh-CN"/>
              </w:rPr>
            </w:pPr>
            <w:r>
              <w:rPr>
                <w:sz w:val="24"/>
              </w:rPr>
              <mc:AlternateContent>
                <mc:Choice Requires="wps">
                  <w:drawing>
                    <wp:anchor distT="0" distB="0" distL="114300" distR="114300" simplePos="0" relativeHeight="730" behindDoc="0" locked="0" layoutInCell="1" hidden="0" allowOverlap="1">
                      <wp:simplePos x="0" y="0"/>
                      <wp:positionH relativeFrom="column">
                        <wp:posOffset>1874520</wp:posOffset>
                      </wp:positionH>
                      <wp:positionV relativeFrom="paragraph">
                        <wp:posOffset>60325</wp:posOffset>
                      </wp:positionV>
                      <wp:extent cx="941705" cy="262254"/>
                      <wp:wrapNone/>
                      <wp:docPr id="383" name="文本框 383"/>
                      <wp:cNvGraphicFramePr>
                        <a:graphicFrameLocks noChangeAspect="0"/>
                      </wp:cNvGraphicFramePr>
                      <a:graphic>
                        <a:graphicData uri="http://schemas.microsoft.com/office/word/2010/wordprocessingShape">
                          <wps:wsp>
                            <wps:cNvSpPr/>
                            <wps:spPr>
                              <a:xfrm rot="0">
                                <a:off x="0" y="0"/>
                                <a:ext cx="941705" cy="262254"/>
                              </a:xfrm>
                              <a:prstGeom prst="rect"/>
                              <a:noFill/>
                              <a:ln w="6350" cmpd="sng" cap="flat">
                                <a:noFill/>
                                <a:prstDash val="solid"/>
                                <a:round/>
                              </a:ln>
                            </wps:spPr>
                            <wps:txbx id="361">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wps:txbx>
                            <wps:bodyPr vert="horz" wrap="square" lIns="91440" tIns="45720" rIns="91440" bIns="45720" anchor="t" anchorCtr="0" upright="0">
                              <a:noAutofit/>
                            </wps:bodyPr>
                          </wps:wsp>
                        </a:graphicData>
                      </a:graphic>
                    </wp:anchor>
                  </w:drawing>
                </mc:Choice>
                <mc:Fallback>
                  <w:pict>
                    <v:rect type="#_x0000_t1" id="文本框 383" o:spid="_x0000_s362" filled="f" stroked="f" strokeweight="0.5pt" style="position:absolute;margin-left:147.6pt;margin-top:4.75pt;width:74.15pt;height:20.649998pt;z-index:730;mso-position-horizontal:absolute;mso-position-vertical:absolute;mso-wrap-style:square;">
                      <v:stroke/>
                      <v:textbox id="938"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集气罩+软帘</w:t>
                            </w:r>
                          </w:p>
                        </w:txbxContent>
                      </v:textbox>
                    </v:rect>
                  </w:pict>
                </mc:Fallback>
              </mc:AlternateContent>
            </w:r>
            <w:r>
              <w:rPr>
                <w:sz w:val="24"/>
              </w:rPr>
              <mc:AlternateContent>
                <mc:Choice Requires="wps">
                  <w:drawing>
                    <wp:anchor distT="0" distB="0" distL="114300" distR="114300" simplePos="0" relativeHeight="728" behindDoc="0" locked="0" layoutInCell="1" hidden="0" allowOverlap="1">
                      <wp:simplePos x="0" y="0"/>
                      <wp:positionH relativeFrom="column">
                        <wp:posOffset>-15240</wp:posOffset>
                      </wp:positionH>
                      <wp:positionV relativeFrom="paragraph">
                        <wp:posOffset>116205</wp:posOffset>
                      </wp:positionV>
                      <wp:extent cx="1950720" cy="269239"/>
                      <wp:effectExtent l="4444" t="4444" r="6985" b="12064"/>
                      <wp:wrapNone/>
                      <wp:docPr id="382" name="文本框 382"/>
                      <wp:cNvGraphicFramePr>
                        <a:graphicFrameLocks noChangeAspect="0"/>
                      </wp:cNvGraphicFramePr>
                      <a:graphic>
                        <a:graphicData uri="http://schemas.microsoft.com/office/word/2010/wordprocessingShape">
                          <wps:wsp>
                            <wps:cNvSpPr/>
                            <wps:spPr>
                              <a:xfrm rot="0">
                                <a:off x="0" y="0"/>
                                <a:ext cx="1950720" cy="269239"/>
                              </a:xfrm>
                              <a:prstGeom prst="rect"/>
                              <a:noFill/>
                              <a:ln w="6350" cmpd="sng" cap="flat">
                                <a:solidFill>
                                  <a:srgbClr val="000000"/>
                                </a:solidFill>
                                <a:prstDash val="solid"/>
                                <a:round/>
                              </a:ln>
                            </wps:spPr>
                            <wps:txbx id="363">
                              <w:txbxContent>
                                <w:p>
                                  <w:pPr>
                                    <w:ind w:left="0" w:firstLineChars="0" w:firstLine="0"/>
                                    <w:rPr>
                                      <w:rFonts w:hint="eastAsia"/>
                                      <w:sz w:val="21"/>
                                      <w:szCs w:val="21"/>
                                      <w:lang w:val="en-US" w:eastAsia="zh-CN"/>
                                    </w:rPr>
                                  </w:pPr>
                                  <w:r>
                                    <w:rPr>
                                      <w:rFonts w:hint="eastAsia"/>
                                      <w:sz w:val="21"/>
                                      <w:szCs w:val="21"/>
                                      <w:lang w:val="en-US" w:eastAsia="zh-CN"/>
                                    </w:rPr>
                                    <w:t>复混肥生产线车间投料、包装</w:t>
                                  </w:r>
                                </w:p>
                              </w:txbxContent>
                            </wps:txbx>
                            <wps:bodyPr vert="horz" wrap="square" lIns="91440" tIns="45720" rIns="91440" bIns="45720" anchor="t" anchorCtr="0" upright="0">
                              <a:noAutofit/>
                            </wps:bodyPr>
                          </wps:wsp>
                        </a:graphicData>
                      </a:graphic>
                    </wp:anchor>
                  </w:drawing>
                </mc:Choice>
                <mc:Fallback>
                  <w:pict>
                    <v:rect type="#_x0000_t1" id="文本框 382" o:spid="_x0000_s364" filled="f" stroked="t" strokeweight="0.5pt" style="position:absolute;margin-left:-1.2pt;margin-top:9.15pt;width:153.6pt;height:21.199999pt;z-index:728;mso-position-horizontal:absolute;mso-position-vertical:absolute;mso-wrap-style:square;">
                      <v:stroke color="#000000"/>
                      <v:textbox id="939" inset="2.54mm,1.27mm,2.54mm,1.27mm" o:insetmode="custom" style="layout-flow:horizontal;v-text-anchor:top;">
                        <w:txbxContent>
                          <w:p>
                            <w:pPr>
                              <w:ind w:left="0" w:firstLineChars="0" w:firstLine="0"/>
                              <w:rPr>
                                <w:rFonts w:hint="eastAsia"/>
                                <w:sz w:val="21"/>
                                <w:szCs w:val="21"/>
                                <w:lang w:val="en-US" w:eastAsia="zh-CN"/>
                              </w:rPr>
                            </w:pPr>
                            <w:r>
                              <w:rPr>
                                <w:rFonts w:hint="eastAsia"/>
                                <w:sz w:val="21"/>
                                <w:szCs w:val="21"/>
                                <w:lang w:val="en-US" w:eastAsia="zh-CN"/>
                              </w:rPr>
                              <w:t>复混肥生产线车间投料、包装</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24" behindDoc="0" locked="0" layoutInCell="1" hidden="0" allowOverlap="1">
                      <wp:simplePos x="0" y="0"/>
                      <wp:positionH relativeFrom="column">
                        <wp:posOffset>1948815</wp:posOffset>
                      </wp:positionH>
                      <wp:positionV relativeFrom="paragraph">
                        <wp:posOffset>99695</wp:posOffset>
                      </wp:positionV>
                      <wp:extent cx="798195" cy="6985"/>
                      <wp:wrapNone/>
                      <wp:docPr id="380" name="直接连接符 380"/>
                      <wp:cNvGraphicFramePr>
                        <a:graphicFrameLocks noChangeAspect="0"/>
                      </wp:cNvGraphicFramePr>
                      <a:graphic>
                        <a:graphicData uri="http://schemas.microsoft.com/office/word/2010/wordprocessingShape">
                          <wps:wsp>
                            <wps:cNvSpPr/>
                            <wps:spPr>
                              <a:xfrm rot="0">
                                <a:off x="0" y="0"/>
                                <a:ext cx="798195" cy="6985"/>
                              </a:xfrm>
                              <a:prstGeom prst="line"/>
                              <a:noFill/>
                              <a:ln w="9525"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380" o:spid="_x0000_s365" from="153.45pt,7.8500004pt" to="216.30002pt,8.400001pt" filled="f" stroked="t" style="position:absolute;z-index:724;mso-position-horizontal:absolute;mso-position-vertical:absolute;visibility:visible;">
                      <v:stroke color="#000000"/>
                    </v:line>
                  </w:pict>
                </mc:Fallback>
              </mc:AlternateContent>
            </w:r>
          </w:p>
          <w:p>
            <w:pPr>
              <w:pStyle w:val="40"/>
              <w:jc w:val="both"/>
              <w:rPr>
                <w:color w:val="auto"/>
              </w:rPr>
            </w:pPr>
            <w:r>
              <w:rPr>
                <w:sz w:val="24"/>
              </w:rPr>
              <mc:AlternateContent>
                <mc:Choice Requires="wps">
                  <w:drawing>
                    <wp:anchor distT="0" distB="0" distL="114300" distR="114300" simplePos="0" relativeHeight="748" behindDoc="0" locked="0" layoutInCell="1" hidden="0" allowOverlap="1">
                      <wp:simplePos x="0" y="0"/>
                      <wp:positionH relativeFrom="column">
                        <wp:posOffset>2246630</wp:posOffset>
                      </wp:positionH>
                      <wp:positionV relativeFrom="paragraph">
                        <wp:posOffset>130810</wp:posOffset>
                      </wp:positionV>
                      <wp:extent cx="1480820" cy="688974"/>
                      <wp:effectExtent l="5080" t="4444" r="19050" b="11430"/>
                      <wp:wrapNone/>
                      <wp:docPr id="393" name="文本框 393"/>
                      <wp:cNvGraphicFramePr>
                        <a:graphicFrameLocks noChangeAspect="0"/>
                      </wp:cNvGraphicFramePr>
                      <a:graphic>
                        <a:graphicData uri="http://schemas.microsoft.com/office/word/2010/wordprocessingShape">
                          <wps:wsp>
                            <wps:cNvSpPr/>
                            <wps:spPr>
                              <a:xfrm rot="0">
                                <a:off x="0" y="0"/>
                                <a:ext cx="1480820" cy="688974"/>
                              </a:xfrm>
                              <a:prstGeom prst="rect"/>
                              <a:noFill/>
                              <a:ln w="6350" cmpd="sng" cap="flat">
                                <a:solidFill>
                                  <a:srgbClr val="000000"/>
                                </a:solidFill>
                                <a:prstDash val="solid"/>
                                <a:round/>
                              </a:ln>
                            </wps:spPr>
                            <wps:txbx id="366">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sz w:val="21"/>
                                      <w:szCs w:val="21"/>
                                      <w:lang w:val="en-US" w:eastAsia="zh-CN"/>
                                    </w:rPr>
                                    <w:t>旋风除尘器TA002+布袋除尘器TA003+旋转吸附机+水喷淋塔</w:t>
                                  </w:r>
                                  <w:r>
                                    <w:rPr>
                                      <w:rFonts w:hint="eastAsia"/>
                                      <w:sz w:val="21"/>
                                      <w:szCs w:val="21"/>
                                      <w:lang w:val="en-US" w:eastAsia="zh-CN"/>
                                    </w:rPr>
                                    <w:t>TA003</w:t>
                                  </w:r>
                                </w:p>
                              </w:txbxContent>
                            </wps:txbx>
                            <wps:bodyPr vert="horz" wrap="square" lIns="91440" tIns="45720" rIns="91440" bIns="45720" anchor="t" anchorCtr="0" upright="0">
                              <a:noAutofit/>
                            </wps:bodyPr>
                          </wps:wsp>
                        </a:graphicData>
                      </a:graphic>
                    </wp:anchor>
                  </w:drawing>
                </mc:Choice>
                <mc:Fallback>
                  <w:pict>
                    <v:rect type="#_x0000_t1" id="文本框 393" o:spid="_x0000_s367" filled="f" stroked="t" strokeweight="0.5pt" style="position:absolute;margin-left:176.9pt;margin-top:10.3pt;width:116.600006pt;height:54.249996pt;z-index:748;mso-position-horizontal:absolute;mso-position-vertical:absolute;mso-wrap-style:square;">
                      <v:stroke color="#000000"/>
                      <v:textbox id="940"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sz w:val="21"/>
                                <w:szCs w:val="21"/>
                                <w:lang w:val="en-US" w:eastAsia="zh-CN"/>
                              </w:rPr>
                              <w:t>旋风除尘器TA002+布袋除尘器TA003+旋转吸附机+水喷淋塔</w:t>
                            </w:r>
                            <w:r>
                              <w:rPr>
                                <w:rFonts w:hint="eastAsia"/>
                                <w:sz w:val="21"/>
                                <w:szCs w:val="21"/>
                                <w:lang w:val="en-US" w:eastAsia="zh-CN"/>
                              </w:rPr>
                              <w:t>TA003</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46" behindDoc="0" locked="0" layoutInCell="1" hidden="0" allowOverlap="1">
                      <wp:simplePos x="0" y="0"/>
                      <wp:positionH relativeFrom="column">
                        <wp:posOffset>1630045</wp:posOffset>
                      </wp:positionH>
                      <wp:positionV relativeFrom="paragraph">
                        <wp:posOffset>93980</wp:posOffset>
                      </wp:positionV>
                      <wp:extent cx="638175" cy="262255"/>
                      <wp:wrapNone/>
                      <wp:docPr id="392" name="文本框 392"/>
                      <wp:cNvGraphicFramePr>
                        <a:graphicFrameLocks noChangeAspect="0"/>
                      </wp:cNvGraphicFramePr>
                      <a:graphic>
                        <a:graphicData uri="http://schemas.microsoft.com/office/word/2010/wordprocessingShape">
                          <wps:wsp>
                            <wps:cNvSpPr/>
                            <wps:spPr>
                              <a:xfrm rot="0">
                                <a:off x="0" y="0"/>
                                <a:ext cx="638175" cy="262255"/>
                              </a:xfrm>
                              <a:prstGeom prst="rect"/>
                              <a:noFill/>
                              <a:ln w="6350" cmpd="sng" cap="flat">
                                <a:noFill/>
                                <a:prstDash val="solid"/>
                                <a:round/>
                              </a:ln>
                            </wps:spPr>
                            <wps:txbx id="368">
                              <w:txbxContent>
                                <w:p>
                                  <w:pPr>
                                    <w:ind w:left="0" w:firstLineChars="0" w:firstLine="0"/>
                                    <w:rPr>
                                      <w:rFonts w:eastAsia="宋体"/>
                                      <w:sz w:val="21"/>
                                      <w:szCs w:val="21"/>
                                      <w:lang w:val="en-US" w:eastAsia="zh-CN"/>
                                    </w:rPr>
                                  </w:pPr>
                                  <w:r>
                                    <w:rPr>
                                      <w:rFonts w:hint="eastAsia"/>
                                      <w:sz w:val="21"/>
                                      <w:szCs w:val="21"/>
                                      <w:lang w:val="en-US" w:eastAsia="zh-CN"/>
                                    </w:rPr>
                                    <w:t>管道</w:t>
                                  </w:r>
                                </w:p>
                              </w:txbxContent>
                            </wps:txbx>
                            <wps:bodyPr vert="horz" wrap="square" lIns="91440" tIns="45720" rIns="91440" bIns="45720" anchor="t" anchorCtr="0" upright="0">
                              <a:noAutofit/>
                            </wps:bodyPr>
                          </wps:wsp>
                        </a:graphicData>
                      </a:graphic>
                    </wp:anchor>
                  </w:drawing>
                </mc:Choice>
                <mc:Fallback>
                  <w:pict>
                    <v:rect type="#_x0000_t1" id="文本框 392" o:spid="_x0000_s369" filled="f" stroked="f" strokeweight="0.5pt" style="position:absolute;margin-left:128.35pt;margin-top:7.4pt;width:50.25pt;height:20.65pt;z-index:746;mso-position-horizontal:absolute;mso-position-vertical:absolute;mso-wrap-style:square;">
                      <v:stroke/>
                      <v:textbox id="941"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管道</w:t>
                            </w:r>
                          </w:p>
                        </w:txbxContent>
                      </v:textbox>
                    </v:rect>
                  </w:pict>
                </mc:Fallback>
              </mc:AlternateContent>
            </w:r>
            <w:r>
              <w:rPr>
                <w:sz w:val="24"/>
              </w:rPr>
              <mc:AlternateContent>
                <mc:Choice Requires="wps">
                  <w:drawing>
                    <wp:anchor distT="0" distB="0" distL="114300" distR="114300" simplePos="0" relativeHeight="742" behindDoc="0" locked="0" layoutInCell="1" hidden="0" allowOverlap="1">
                      <wp:simplePos x="0" y="0"/>
                      <wp:positionH relativeFrom="column">
                        <wp:posOffset>104139</wp:posOffset>
                      </wp:positionH>
                      <wp:positionV relativeFrom="paragraph">
                        <wp:posOffset>104775</wp:posOffset>
                      </wp:positionV>
                      <wp:extent cx="1403985" cy="405129"/>
                      <wp:effectExtent l="4444" t="4444" r="20320" b="9525"/>
                      <wp:wrapNone/>
                      <wp:docPr id="389" name="文本框 389"/>
                      <wp:cNvGraphicFramePr>
                        <a:graphicFrameLocks noChangeAspect="0"/>
                      </wp:cNvGraphicFramePr>
                      <a:graphic>
                        <a:graphicData uri="http://schemas.microsoft.com/office/word/2010/wordprocessingShape">
                          <wps:wsp>
                            <wps:cNvSpPr/>
                            <wps:spPr>
                              <a:xfrm rot="0">
                                <a:off x="0" y="0"/>
                                <a:ext cx="1403985" cy="405129"/>
                              </a:xfrm>
                              <a:prstGeom prst="rect"/>
                              <a:noFill/>
                              <a:ln w="6350" cmpd="sng" cap="flat">
                                <a:solidFill>
                                  <a:srgbClr val="000000"/>
                                </a:solidFill>
                                <a:prstDash val="solid"/>
                                <a:round/>
                              </a:ln>
                            </wps:spPr>
                            <wps:txbx id="370">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挤压造粒线车间烘干、天然气燃烧</w:t>
                                  </w:r>
                                </w:p>
                              </w:txbxContent>
                            </wps:txbx>
                            <wps:bodyPr vert="horz" wrap="square" lIns="91440" tIns="45720" rIns="91440" bIns="45720" anchor="t" anchorCtr="0" upright="0">
                              <a:noAutofit/>
                            </wps:bodyPr>
                          </wps:wsp>
                        </a:graphicData>
                      </a:graphic>
                    </wp:anchor>
                  </w:drawing>
                </mc:Choice>
                <mc:Fallback>
                  <w:pict>
                    <v:rect type="#_x0000_t1" id="文本框 389" o:spid="_x0000_s371" filled="f" stroked="t" strokeweight="0.5pt" style="position:absolute;margin-left:8.2pt;margin-top:8.25pt;width:110.55pt;height:31.9pt;z-index:742;mso-position-horizontal:absolute;mso-position-vertical:absolute;mso-wrap-style:square;">
                      <v:stroke color="#000000"/>
                      <v:textbox id="942"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hint="eastAsia"/>
                                <w:sz w:val="21"/>
                                <w:szCs w:val="21"/>
                                <w:lang w:val="en-US" w:eastAsia="zh-CN"/>
                              </w:rPr>
                              <w:t>挤压造粒线车间烘干、天然气燃烧</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52" behindDoc="0" locked="0" layoutInCell="1" hidden="0" allowOverlap="1">
                      <wp:simplePos x="0" y="0"/>
                      <wp:positionH relativeFrom="column">
                        <wp:posOffset>3997325</wp:posOffset>
                      </wp:positionH>
                      <wp:positionV relativeFrom="paragraph">
                        <wp:posOffset>46990</wp:posOffset>
                      </wp:positionV>
                      <wp:extent cx="1005204" cy="254000"/>
                      <wp:effectExtent l="4444" t="5080" r="19050" b="7620"/>
                      <wp:wrapNone/>
                      <wp:docPr id="395" name="文本框 395"/>
                      <wp:cNvGraphicFramePr>
                        <a:graphicFrameLocks noChangeAspect="0"/>
                      </wp:cNvGraphicFramePr>
                      <a:graphic>
                        <a:graphicData uri="http://schemas.microsoft.com/office/word/2010/wordprocessingShape">
                          <wps:wsp>
                            <wps:cNvSpPr/>
                            <wps:spPr>
                              <a:xfrm rot="0">
                                <a:off x="0" y="0"/>
                                <a:ext cx="1005204" cy="254000"/>
                              </a:xfrm>
                              <a:prstGeom prst="rect"/>
                              <a:noFill/>
                              <a:ln w="6350" cmpd="sng" cap="flat">
                                <a:solidFill>
                                  <a:srgbClr val="000000"/>
                                </a:solidFill>
                                <a:prstDash val="solid"/>
                                <a:round/>
                              </a:ln>
                            </wps:spPr>
                            <wps:txbx id="372">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15m排气筒P3</w:t>
                                  </w:r>
                                </w:p>
                              </w:txbxContent>
                            </wps:txbx>
                            <wps:bodyPr vert="horz" wrap="square" lIns="91440" tIns="45720" rIns="91440" bIns="45720" anchor="t" anchorCtr="0" upright="0">
                              <a:noAutofit/>
                            </wps:bodyPr>
                          </wps:wsp>
                        </a:graphicData>
                      </a:graphic>
                    </wp:anchor>
                  </w:drawing>
                </mc:Choice>
                <mc:Fallback>
                  <w:pict>
                    <v:rect type="#_x0000_t1" id="文本框 395" o:spid="_x0000_s373" filled="f" stroked="t" strokeweight="0.5pt" style="position:absolute;margin-left:314.75pt;margin-top:3.7pt;width:79.149994pt;height:20.0pt;z-index:752;mso-position-horizontal:absolute;mso-position-vertical:absolute;mso-wrap-style:square;">
                      <v:stroke color="#000000"/>
                      <v:textbox id="943"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15m排气筒P3</w:t>
                            </w:r>
                          </w:p>
                        </w:txbxContent>
                      </v:textbox>
                    </v:rect>
                  </w:pict>
                </mc:Fallback>
              </mc:AlternateContent>
            </w:r>
            <w:r>
              <w:rPr>
                <w:sz w:val="24"/>
              </w:rPr>
              <mc:AlternateContent>
                <mc:Choice Requires="wps">
                  <w:drawing>
                    <wp:anchor distT="0" distB="0" distL="114300" distR="114300" simplePos="0" relativeHeight="744" behindDoc="0" locked="0" layoutInCell="1" hidden="0" allowOverlap="1">
                      <wp:simplePos x="0" y="0"/>
                      <wp:positionH relativeFrom="column">
                        <wp:posOffset>1544319</wp:posOffset>
                      </wp:positionH>
                      <wp:positionV relativeFrom="paragraph">
                        <wp:posOffset>176529</wp:posOffset>
                      </wp:positionV>
                      <wp:extent cx="705484" cy="634"/>
                      <wp:effectExtent l="0" t="50800" r="18415" b="62865"/>
                      <wp:wrapNone/>
                      <wp:docPr id="391" name="直接箭头连接符 391"/>
                      <wp:cNvGraphicFramePr>
                        <a:graphicFrameLocks noChangeAspect="0"/>
                      </wp:cNvGraphicFramePr>
                      <a:graphic>
                        <a:graphicData uri="http://schemas.microsoft.com/office/word/2010/wordprocessingShape">
                          <wps:wsp>
                            <wps:cNvSpPr/>
                            <wps:spPr>
                              <a:xfrm flipV="1" rot="21600000">
                                <a:off x="0" y="0"/>
                                <a:ext cx="705484" cy="634"/>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91" o:spid="_x0000_s374" filled="f" stroked="t" style="position:absolute;margin-left:121.6pt;margin-top:13.9pt;width:55.54998pt;height:0.049999237pt;flip:y;z-index:744;mso-position-horizontal:absolute;mso-position-vertical:absolute;">
                      <v:stroke color="#000000" endarrow="open"/>
                    </v:shape>
                  </w:pict>
                </mc:Fallback>
              </mc:AlternateContent>
            </w:r>
          </w:p>
          <w:p>
            <w:pPr>
              <w:pStyle w:val="40"/>
              <w:jc w:val="both"/>
              <w:rPr>
                <w:color w:val="auto"/>
              </w:rPr>
            </w:pPr>
            <w:r>
              <w:rPr>
                <w:sz w:val="24"/>
              </w:rPr>
              <mc:AlternateContent>
                <mc:Choice Requires="wps">
                  <w:drawing>
                    <wp:anchor distT="0" distB="0" distL="114300" distR="114300" simplePos="0" relativeHeight="750" behindDoc="0" locked="0" layoutInCell="1" hidden="0" allowOverlap="1">
                      <wp:simplePos x="0" y="0"/>
                      <wp:positionH relativeFrom="column">
                        <wp:posOffset>3752850</wp:posOffset>
                      </wp:positionH>
                      <wp:positionV relativeFrom="paragraph">
                        <wp:posOffset>5714</wp:posOffset>
                      </wp:positionV>
                      <wp:extent cx="246380" cy="634"/>
                      <wp:effectExtent l="0" t="50800" r="1270" b="62865"/>
                      <wp:wrapNone/>
                      <wp:docPr id="394" name="直接箭头连接符 394"/>
                      <wp:cNvGraphicFramePr>
                        <a:graphicFrameLocks noChangeAspect="0"/>
                      </wp:cNvGraphicFramePr>
                      <a:graphic>
                        <a:graphicData uri="http://schemas.microsoft.com/office/word/2010/wordprocessingShape">
                          <wps:wsp>
                            <wps:cNvSpPr/>
                            <wps:spPr>
                              <a:xfrm flipV="1" rot="21600000">
                                <a:off x="0" y="0"/>
                                <a:ext cx="246380" cy="634"/>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94" o:spid="_x0000_s375" filled="f" stroked="t" style="position:absolute;margin-left:295.5pt;margin-top:0.44999886pt;width:19.400024pt;height:0.049999237pt;flip:y;z-index:750;mso-position-horizontal:absolute;mso-position-vertical:absolute;">
                      <v:stroke color="#000000" endarrow="open"/>
                    </v:shape>
                  </w:pict>
                </mc:Fallback>
              </mc:AlternateContent>
            </w:r>
          </w:p>
          <w:p>
            <w:pPr>
              <w:pStyle w:val="40"/>
              <w:jc w:val="both"/>
              <w:rPr>
                <w:color w:val="auto"/>
              </w:rPr>
            </w:pPr>
          </w:p>
          <w:p>
            <w:pPr>
              <w:pStyle w:val="40"/>
              <w:jc w:val="both"/>
              <w:rPr>
                <w:color w:val="auto"/>
              </w:rPr>
            </w:pPr>
            <w:r>
              <w:rPr>
                <w:sz w:val="24"/>
              </w:rPr>
              <mc:AlternateContent>
                <mc:Choice Requires="wps">
                  <w:drawing>
                    <wp:anchor distT="0" distB="0" distL="114300" distR="114300" simplePos="0" relativeHeight="760" behindDoc="0" locked="0" layoutInCell="1" hidden="0" allowOverlap="1">
                      <wp:simplePos x="0" y="0"/>
                      <wp:positionH relativeFrom="column">
                        <wp:posOffset>1878964</wp:posOffset>
                      </wp:positionH>
                      <wp:positionV relativeFrom="paragraph">
                        <wp:posOffset>43815</wp:posOffset>
                      </wp:positionV>
                      <wp:extent cx="1130935" cy="587375"/>
                      <wp:effectExtent l="4444" t="4444" r="7620" b="17779"/>
                      <wp:wrapNone/>
                      <wp:docPr id="399" name="文本框 399"/>
                      <wp:cNvGraphicFramePr>
                        <a:graphicFrameLocks noChangeAspect="0"/>
                      </wp:cNvGraphicFramePr>
                      <a:graphic>
                        <a:graphicData uri="http://schemas.microsoft.com/office/word/2010/wordprocessingShape">
                          <wps:wsp>
                            <wps:cNvSpPr/>
                            <wps:spPr>
                              <a:xfrm rot="0">
                                <a:off x="0" y="0"/>
                                <a:ext cx="1130935" cy="587375"/>
                              </a:xfrm>
                              <a:prstGeom prst="rect"/>
                              <a:noFill/>
                              <a:ln w="6350" cmpd="sng" cap="flat">
                                <a:solidFill>
                                  <a:srgbClr val="000000"/>
                                </a:solidFill>
                                <a:prstDash val="solid"/>
                                <a:round/>
                              </a:ln>
                            </wps:spPr>
                            <wps:txbx id="376">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sz w:val="21"/>
                                      <w:szCs w:val="21"/>
                                      <w:lang w:val="en-US" w:eastAsia="zh-CN"/>
                                    </w:rPr>
                                    <w:t>二级活性炭吸附装置</w:t>
                                  </w:r>
                                  <w:r>
                                    <w:rPr>
                                      <w:rFonts w:hint="eastAsia"/>
                                      <w:sz w:val="21"/>
                                      <w:szCs w:val="21"/>
                                      <w:lang w:val="en-US" w:eastAsia="zh-CN"/>
                                    </w:rPr>
                                    <w:t>+</w:t>
                                  </w:r>
                                  <w:r>
                                    <w:rPr>
                                      <w:rFonts w:eastAsia="宋体"/>
                                      <w:sz w:val="21"/>
                                      <w:szCs w:val="21"/>
                                      <w:lang w:val="en-US" w:eastAsia="zh-CN"/>
                                    </w:rPr>
                                    <w:t>干式酸雾净化器</w:t>
                                  </w:r>
                                </w:p>
                              </w:txbxContent>
                            </wps:txbx>
                            <wps:bodyPr vert="horz" wrap="square" lIns="91440" tIns="45720" rIns="91440" bIns="45720" anchor="t" anchorCtr="0" upright="0">
                              <a:noAutofit/>
                            </wps:bodyPr>
                          </wps:wsp>
                        </a:graphicData>
                      </a:graphic>
                    </wp:anchor>
                  </w:drawing>
                </mc:Choice>
                <mc:Fallback>
                  <w:pict>
                    <v:rect type="#_x0000_t1" id="文本框 399" o:spid="_x0000_s377" filled="f" stroked="t" strokeweight="0.5pt" style="position:absolute;margin-left:147.95pt;margin-top:3.4500003pt;width:89.05pt;height:46.250004pt;z-index:760;mso-position-horizontal:absolute;mso-position-vertical:absolute;mso-wrap-style:square;">
                      <v:stroke color="#000000"/>
                      <v:textbox id="944"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sz w:val="21"/>
                                <w:szCs w:val="21"/>
                                <w:lang w:val="en-US" w:eastAsia="zh-CN"/>
                              </w:rPr>
                              <w:t>二级活性炭吸附装置</w:t>
                            </w:r>
                            <w:r>
                              <w:rPr>
                                <w:rFonts w:hint="eastAsia"/>
                                <w:sz w:val="21"/>
                                <w:szCs w:val="21"/>
                                <w:lang w:val="en-US" w:eastAsia="zh-CN"/>
                              </w:rPr>
                              <w:t>+</w:t>
                            </w:r>
                            <w:r>
                              <w:rPr>
                                <w:rFonts w:eastAsia="宋体"/>
                                <w:sz w:val="21"/>
                                <w:szCs w:val="21"/>
                                <w:lang w:val="en-US" w:eastAsia="zh-CN"/>
                              </w:rPr>
                              <w:t>干式酸雾净化器</w:t>
                            </w:r>
                          </w:p>
                        </w:txbxContent>
                      </v:textbox>
                    </v:rect>
                  </w:pict>
                </mc:Fallback>
              </mc:AlternateContent>
            </w:r>
            <w:r>
              <w:rPr>
                <w:sz w:val="24"/>
              </w:rPr>
              <mc:AlternateContent>
                <mc:Choice Requires="wps">
                  <w:drawing>
                    <wp:anchor distT="0" distB="0" distL="114300" distR="114300" simplePos="0" relativeHeight="758" behindDoc="0" locked="0" layoutInCell="1" hidden="0" allowOverlap="1">
                      <wp:simplePos x="0" y="0"/>
                      <wp:positionH relativeFrom="column">
                        <wp:posOffset>1176019</wp:posOffset>
                      </wp:positionH>
                      <wp:positionV relativeFrom="paragraph">
                        <wp:posOffset>1905</wp:posOffset>
                      </wp:positionV>
                      <wp:extent cx="638175" cy="262254"/>
                      <wp:wrapNone/>
                      <wp:docPr id="398" name="文本框 398"/>
                      <wp:cNvGraphicFramePr>
                        <a:graphicFrameLocks noChangeAspect="0"/>
                      </wp:cNvGraphicFramePr>
                      <a:graphic>
                        <a:graphicData uri="http://schemas.microsoft.com/office/word/2010/wordprocessingShape">
                          <wps:wsp>
                            <wps:cNvSpPr/>
                            <wps:spPr>
                              <a:xfrm rot="0">
                                <a:off x="0" y="0"/>
                                <a:ext cx="638175" cy="262254"/>
                              </a:xfrm>
                              <a:prstGeom prst="rect"/>
                              <a:noFill/>
                              <a:ln w="6350" cmpd="sng" cap="flat">
                                <a:noFill/>
                                <a:prstDash val="solid"/>
                                <a:round/>
                              </a:ln>
                            </wps:spPr>
                            <wps:txbx id="378">
                              <w:txbxContent>
                                <w:p>
                                  <w:pPr>
                                    <w:ind w:left="0" w:firstLineChars="0" w:firstLine="0"/>
                                    <w:rPr>
                                      <w:rFonts w:eastAsia="宋体"/>
                                      <w:sz w:val="21"/>
                                      <w:szCs w:val="21"/>
                                      <w:lang w:val="en-US" w:eastAsia="zh-CN"/>
                                    </w:rPr>
                                  </w:pPr>
                                  <w:r>
                                    <w:rPr>
                                      <w:rFonts w:hint="eastAsia"/>
                                      <w:sz w:val="21"/>
                                      <w:szCs w:val="21"/>
                                      <w:lang w:val="en-US" w:eastAsia="zh-CN"/>
                                    </w:rPr>
                                    <w:t>集气罩</w:t>
                                  </w:r>
                                </w:p>
                              </w:txbxContent>
                            </wps:txbx>
                            <wps:bodyPr vert="horz" wrap="square" lIns="91440" tIns="45720" rIns="91440" bIns="45720" anchor="t" anchorCtr="0" upright="0">
                              <a:noAutofit/>
                            </wps:bodyPr>
                          </wps:wsp>
                        </a:graphicData>
                      </a:graphic>
                    </wp:anchor>
                  </w:drawing>
                </mc:Choice>
                <mc:Fallback>
                  <w:pict>
                    <v:rect type="#_x0000_t1" id="文本框 398" o:spid="_x0000_s379" filled="f" stroked="f" strokeweight="0.5pt" style="position:absolute;margin-left:92.6pt;margin-top:0.15pt;width:50.250004pt;height:20.65pt;z-index:758;mso-position-horizontal:absolute;mso-position-vertical:absolute;mso-wrap-style:square;">
                      <v:stroke/>
                      <v:textbox id="945"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集气罩</w:t>
                            </w:r>
                          </w:p>
                        </w:txbxContent>
                      </v:textbox>
                    </v:rect>
                  </w:pict>
                </mc:Fallback>
              </mc:AlternateContent>
            </w:r>
            <w:r>
              <w:rPr>
                <w:sz w:val="24"/>
              </w:rPr>
              <mc:AlternateContent>
                <mc:Choice Requires="wps">
                  <w:drawing>
                    <wp:anchor distT="0" distB="0" distL="114300" distR="114300" simplePos="0" relativeHeight="762" behindDoc="0" locked="0" layoutInCell="1" hidden="0" allowOverlap="1">
                      <wp:simplePos x="0" y="0"/>
                      <wp:positionH relativeFrom="column">
                        <wp:posOffset>3305175</wp:posOffset>
                      </wp:positionH>
                      <wp:positionV relativeFrom="paragraph">
                        <wp:posOffset>99060</wp:posOffset>
                      </wp:positionV>
                      <wp:extent cx="1005204" cy="254000"/>
                      <wp:effectExtent l="4444" t="5080" r="19050" b="7620"/>
                      <wp:wrapNone/>
                      <wp:docPr id="401" name="文本框 401"/>
                      <wp:cNvGraphicFramePr>
                        <a:graphicFrameLocks noChangeAspect="0"/>
                      </wp:cNvGraphicFramePr>
                      <a:graphic>
                        <a:graphicData uri="http://schemas.microsoft.com/office/word/2010/wordprocessingShape">
                          <wps:wsp>
                            <wps:cNvSpPr/>
                            <wps:spPr>
                              <a:xfrm rot="0">
                                <a:off x="0" y="0"/>
                                <a:ext cx="1005204" cy="254000"/>
                              </a:xfrm>
                              <a:prstGeom prst="rect"/>
                              <a:noFill/>
                              <a:ln w="6350" cmpd="sng" cap="flat">
                                <a:solidFill>
                                  <a:srgbClr val="000000"/>
                                </a:solidFill>
                                <a:prstDash val="solid"/>
                                <a:round/>
                              </a:ln>
                            </wps:spPr>
                            <wps:txbx id="380">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w:t>
                                  </w:r>
                                  <w:r>
                                    <w:rPr>
                                      <w:rFonts w:hint="eastAsia"/>
                                      <w:sz w:val="21"/>
                                      <w:szCs w:val="21"/>
                                      <w:lang w:val="en-US" w:eastAsia="zh-CN"/>
                                    </w:rPr>
                                    <w:t>P4</w:t>
                                  </w:r>
                                </w:p>
                              </w:txbxContent>
                            </wps:txbx>
                            <wps:bodyPr vert="horz" wrap="square" lIns="91440" tIns="45720" rIns="91440" bIns="45720" anchor="t" anchorCtr="0" upright="0">
                              <a:noAutofit/>
                            </wps:bodyPr>
                          </wps:wsp>
                        </a:graphicData>
                      </a:graphic>
                    </wp:anchor>
                  </w:drawing>
                </mc:Choice>
                <mc:Fallback>
                  <w:pict>
                    <v:rect type="#_x0000_t1" id="文本框 401" o:spid="_x0000_s381" filled="f" stroked="t" strokeweight="0.5pt" style="position:absolute;margin-left:260.25pt;margin-top:7.8pt;width:79.149994pt;height:20.0pt;z-index:762;mso-position-horizontal:absolute;mso-position-vertical:absolute;mso-wrap-style:square;">
                      <v:stroke color="#000000"/>
                      <v:textbox id="946" inset="2.54mm,1.27mm,2.54mm,1.27mm" o:insetmode="custom" style="layout-flow:horizontal;v-text-anchor:top;">
                        <w:txbxContent>
                          <w:p>
                            <w:pPr>
                              <w:keepNext w:val="0"/>
                              <w:keepLines w:val="0"/>
                              <w:pageBreakBefore w:val="0"/>
                              <w:widowControl w:val="0"/>
                              <w:kinsoku/>
                              <w:wordWrap/>
                              <w:overflowPunct/>
                              <w:topLinePunct w:val="0"/>
                              <w:bidi w:val="0"/>
                              <w:adjustRightInd/>
                              <w:snapToGrid/>
                              <w:spacing w:line="240" w:lineRule="exact"/>
                              <w:ind w:left="0" w:firstLineChars="0" w:firstLine="0"/>
                              <w:textAlignment w:val="auto"/>
                              <w:rPr>
                                <w:rFonts w:eastAsia="宋体"/>
                                <w:sz w:val="21"/>
                                <w:szCs w:val="21"/>
                                <w:lang w:val="en-US" w:eastAsia="zh-CN"/>
                              </w:rPr>
                            </w:pPr>
                            <w:r>
                              <w:rPr>
                                <w:rFonts w:eastAsia="宋体" w:hint="eastAsia"/>
                                <w:sz w:val="21"/>
                                <w:szCs w:val="21"/>
                                <w:lang w:val="en-US" w:eastAsia="zh-CN"/>
                              </w:rPr>
                              <w:t>15m排气筒</w:t>
                            </w:r>
                            <w:r>
                              <w:rPr>
                                <w:rFonts w:hint="eastAsia"/>
                                <w:sz w:val="21"/>
                                <w:szCs w:val="21"/>
                                <w:lang w:val="en-US" w:eastAsia="zh-CN"/>
                              </w:rPr>
                              <w:t>P4</w:t>
                            </w:r>
                          </w:p>
                        </w:txbxContent>
                      </v:textbox>
                    </v:rect>
                  </w:pict>
                </mc:Fallback>
              </mc:AlternateContent>
            </w:r>
            <w:r>
              <w:rPr>
                <w:sz w:val="24"/>
              </w:rPr>
              <mc:AlternateContent>
                <mc:Choice Requires="wps">
                  <w:drawing>
                    <wp:anchor distT="0" distB="0" distL="114300" distR="114300" simplePos="0" relativeHeight="754" behindDoc="0" locked="0" layoutInCell="1" hidden="0" allowOverlap="1">
                      <wp:simplePos x="0" y="0"/>
                      <wp:positionH relativeFrom="column">
                        <wp:posOffset>41910</wp:posOffset>
                      </wp:positionH>
                      <wp:positionV relativeFrom="paragraph">
                        <wp:posOffset>70485</wp:posOffset>
                      </wp:positionV>
                      <wp:extent cx="1125855" cy="294004"/>
                      <wp:effectExtent l="5080" t="4444" r="12064" b="6350"/>
                      <wp:wrapNone/>
                      <wp:docPr id="396" name="文本框 396"/>
                      <wp:cNvGraphicFramePr>
                        <a:graphicFrameLocks noChangeAspect="0"/>
                      </wp:cNvGraphicFramePr>
                      <a:graphic>
                        <a:graphicData uri="http://schemas.microsoft.com/office/word/2010/wordprocessingShape">
                          <wps:wsp>
                            <wps:cNvSpPr/>
                            <wps:spPr>
                              <a:xfrm rot="0">
                                <a:off x="0" y="0"/>
                                <a:ext cx="1125855" cy="294004"/>
                              </a:xfrm>
                              <a:prstGeom prst="rect"/>
                              <a:noFill/>
                              <a:ln w="6350" cmpd="sng" cap="flat">
                                <a:solidFill>
                                  <a:srgbClr val="000000"/>
                                </a:solidFill>
                                <a:prstDash val="solid"/>
                                <a:round/>
                              </a:ln>
                            </wps:spPr>
                            <wps:txbx id="382">
                              <w:txbxContent>
                                <w:p>
                                  <w:pPr>
                                    <w:ind w:left="0" w:firstLineChars="0" w:firstLine="0"/>
                                    <w:rPr>
                                      <w:sz w:val="21"/>
                                      <w:szCs w:val="21"/>
                                      <w:lang w:val="en-US" w:eastAsia="zh-CN"/>
                                    </w:rPr>
                                  </w:pPr>
                                  <w:r>
                                    <w:rPr>
                                      <w:rFonts w:hint="eastAsia"/>
                                      <w:sz w:val="21"/>
                                      <w:szCs w:val="21"/>
                                      <w:lang w:val="en-US" w:eastAsia="zh-CN"/>
                                    </w:rPr>
                                    <w:t>化验室废气</w:t>
                                  </w:r>
                                </w:p>
                              </w:txbxContent>
                            </wps:txbx>
                            <wps:bodyPr vert="horz" wrap="square" lIns="91440" tIns="45720" rIns="91440" bIns="45720" anchor="t" anchorCtr="0" upright="0">
                              <a:noAutofit/>
                            </wps:bodyPr>
                          </wps:wsp>
                        </a:graphicData>
                      </a:graphic>
                    </wp:anchor>
                  </w:drawing>
                </mc:Choice>
                <mc:Fallback>
                  <w:pict>
                    <v:rect type="#_x0000_t1" id="文本框 396" o:spid="_x0000_s383" filled="f" stroked="t" strokeweight="0.5pt" style="position:absolute;margin-left:3.3pt;margin-top:5.55pt;width:88.65pt;height:23.149998pt;z-index:754;mso-position-horizontal:absolute;mso-position-vertical:absolute;mso-wrap-style:square;">
                      <v:stroke color="#000000"/>
                      <v:textbox id="947" inset="2.54mm,1.27mm,2.54mm,1.27mm" o:insetmode="custom" style="layout-flow:horizontal;v-text-anchor:top;">
                        <w:txbxContent>
                          <w:p>
                            <w:pPr>
                              <w:ind w:left="0" w:firstLineChars="0" w:firstLine="0"/>
                              <w:rPr>
                                <w:sz w:val="21"/>
                                <w:szCs w:val="21"/>
                                <w:lang w:val="en-US" w:eastAsia="zh-CN"/>
                              </w:rPr>
                            </w:pPr>
                            <w:r>
                              <w:rPr>
                                <w:rFonts w:hint="eastAsia"/>
                                <w:sz w:val="21"/>
                                <w:szCs w:val="21"/>
                                <w:lang w:val="en-US" w:eastAsia="zh-CN"/>
                              </w:rPr>
                              <w:t>化验室废气</w:t>
                            </w:r>
                          </w:p>
                        </w:txbxContent>
                      </v:textbox>
                    </v:rect>
                  </w:pict>
                </mc:Fallback>
              </mc:AlternateContent>
            </w:r>
          </w:p>
          <w:p>
            <w:pPr>
              <w:pStyle w:val="40"/>
              <w:jc w:val="both"/>
              <w:rPr>
                <w:color w:val="auto"/>
              </w:rPr>
            </w:pPr>
            <w:r>
              <w:rPr>
                <w:sz w:val="24"/>
              </w:rPr>
              <mc:AlternateContent>
                <mc:Choice Requires="wps">
                  <w:drawing>
                    <wp:anchor distT="0" distB="0" distL="114300" distR="114300" simplePos="0" relativeHeight="764" behindDoc="0" locked="0" layoutInCell="1" hidden="0" allowOverlap="1">
                      <wp:simplePos x="0" y="0"/>
                      <wp:positionH relativeFrom="column">
                        <wp:posOffset>3035300</wp:posOffset>
                      </wp:positionH>
                      <wp:positionV relativeFrom="paragraph">
                        <wp:posOffset>64135</wp:posOffset>
                      </wp:positionV>
                      <wp:extent cx="246380" cy="634"/>
                      <wp:effectExtent l="0" t="50800" r="1270" b="62865"/>
                      <wp:wrapNone/>
                      <wp:docPr id="400" name="直接箭头连接符 400"/>
                      <wp:cNvGraphicFramePr>
                        <a:graphicFrameLocks noChangeAspect="0"/>
                      </wp:cNvGraphicFramePr>
                      <a:graphic>
                        <a:graphicData uri="http://schemas.microsoft.com/office/word/2010/wordprocessingShape">
                          <wps:wsp>
                            <wps:cNvSpPr/>
                            <wps:spPr>
                              <a:xfrm flipV="1" rot="21600000">
                                <a:off x="0" y="0"/>
                                <a:ext cx="246380" cy="634"/>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400" o:spid="_x0000_s384" filled="f" stroked="t" style="position:absolute;margin-left:239.00002pt;margin-top:5.050003pt;width:19.399979pt;height:0.049999237pt;flip:y;z-index:764;mso-position-horizontal:absolute;mso-position-vertical:absolute;">
                      <v:stroke color="#000000" endarrow="open"/>
                    </v:shape>
                  </w:pict>
                </mc:Fallback>
              </mc:AlternateContent>
            </w:r>
            <w:r>
              <w:rPr>
                <w:sz w:val="24"/>
              </w:rPr>
              <mc:AlternateContent>
                <mc:Choice Requires="wps">
                  <w:drawing>
                    <wp:anchor distT="0" distB="0" distL="114300" distR="114300" simplePos="0" relativeHeight="756" behindDoc="0" locked="0" layoutInCell="1" hidden="0" allowOverlap="1">
                      <wp:simplePos x="0" y="0"/>
                      <wp:positionH relativeFrom="column">
                        <wp:posOffset>1176020</wp:posOffset>
                      </wp:positionH>
                      <wp:positionV relativeFrom="paragraph">
                        <wp:posOffset>57150</wp:posOffset>
                      </wp:positionV>
                      <wp:extent cx="685800" cy="1269"/>
                      <wp:effectExtent l="0" t="49530" r="0" b="63500"/>
                      <wp:wrapNone/>
                      <wp:docPr id="397" name="直接箭头连接符 397"/>
                      <wp:cNvGraphicFramePr>
                        <a:graphicFrameLocks noChangeAspect="0"/>
                      </wp:cNvGraphicFramePr>
                      <a:graphic>
                        <a:graphicData uri="http://schemas.microsoft.com/office/word/2010/wordprocessingShape">
                          <wps:wsp>
                            <wps:cNvSpPr/>
                            <wps:spPr>
                              <a:xfrm rot="0">
                                <a:off x="0" y="0"/>
                                <a:ext cx="685800" cy="126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97" o:spid="_x0000_s385" filled="f" stroked="t" style="position:absolute;margin-left:92.600006pt;margin-top:4.5pt;width:54.000015pt;height:0.099998474pt;z-index:756;mso-position-horizontal:absolute;mso-position-vertical:absolute;">
                      <v:stroke color="#000000" endarrow="open"/>
                    </v:shape>
                  </w:pict>
                </mc:Fallback>
              </mc:AlternateContent>
            </w:r>
          </w:p>
          <w:p>
            <w:pPr>
              <w:pStyle w:val="40"/>
              <w:jc w:val="both"/>
              <w:rPr>
                <w:color w:val="auto"/>
              </w:rPr>
            </w:pPr>
          </w:p>
          <w:p>
            <w:pPr>
              <w:pStyle w:val="40"/>
              <w:jc w:val="both"/>
              <w:rPr>
                <w:color w:val="auto"/>
              </w:rPr>
            </w:pPr>
          </w:p>
          <w:p>
            <w:pPr>
              <w:pStyle w:val="40"/>
              <w:jc w:val="both"/>
              <w:rPr>
                <w:color w:val="auto"/>
              </w:rPr>
            </w:pPr>
          </w:p>
          <w:p>
            <w:pPr>
              <w:pStyle w:val="40"/>
              <w:jc w:val="both"/>
              <w:rPr>
                <w:color w:val="auto"/>
              </w:rPr>
            </w:pPr>
          </w:p>
          <w:p>
            <w:pPr>
              <w:pStyle w:val="40"/>
              <w:jc w:val="center"/>
              <w:rPr>
                <w:color w:val="auto"/>
              </w:rPr>
            </w:pPr>
            <w:r>
              <w:rPr>
                <w:rFonts w:ascii="Times New Roman" w:eastAsia="宋体" w:cs="Times New Roman" w:hAnsi="Times New Roman" w:hint="eastAsia"/>
                <w:b/>
                <w:color w:val="auto"/>
                <w:kern w:val="2"/>
                <w:sz w:val="24"/>
                <w:szCs w:val="21"/>
                <w:lang w:val="en-US" w:eastAsia="zh-CN" w:bidi="ar-SA"/>
              </w:rPr>
              <w:t>图2-</w:t>
            </w:r>
            <w:r>
              <w:rPr>
                <w:rFonts w:cs="Times New Roman" w:hint="eastAsia"/>
                <w:b/>
                <w:color w:val="auto"/>
                <w:kern w:val="2"/>
                <w:sz w:val="24"/>
                <w:szCs w:val="21"/>
                <w:lang w:val="en-US" w:eastAsia="zh-CN" w:bidi="ar-SA"/>
              </w:rPr>
              <w:t>6</w:t>
            </w:r>
            <w:r>
              <w:rPr>
                <w:rFonts w:ascii="Times New Roman" w:eastAsia="宋体" w:cs="Times New Roman" w:hAnsi="Times New Roman" w:hint="eastAsia"/>
                <w:b/>
                <w:color w:val="auto"/>
                <w:kern w:val="2"/>
                <w:sz w:val="24"/>
                <w:szCs w:val="21"/>
                <w:lang w:val="en-US" w:eastAsia="zh-CN" w:bidi="ar-SA"/>
              </w:rPr>
              <w:t xml:space="preserve">  本项目完成后全厂废气治理流程图</w:t>
            </w:r>
          </w:p>
        </w:tc>
      </w:tr>
      <w:tr>
        <w:trPr>
          <w:trHeight w:val="13764"/>
        </w:trPr>
        <w:tc>
          <w:tcPr>
            <w:tcW w:w="322" w:type="pct"/>
            <w:vAlign w:val="center"/>
          </w:tcPr>
          <w:p>
            <w:pPr>
              <w:adjustRightInd w:val="0"/>
              <w:snapToGrid w:val="0"/>
              <w:spacing w:line="240" w:lineRule="auto"/>
              <w:ind w:firstLineChars="0" w:firstLine="0"/>
              <w:jc w:val="center"/>
              <w:rPr>
                <w:color w:val="auto"/>
                <w:sz w:val="21"/>
                <w:szCs w:val="21"/>
              </w:rPr>
            </w:pPr>
            <w:r>
              <w:rPr>
                <w:bCs/>
                <w:color w:val="auto"/>
              </w:rPr>
              <w:t>与项目有关的原有环境污染问题</w:t>
            </w:r>
          </w:p>
        </w:tc>
        <w:tc>
          <w:tcPr>
            <w:tcW w:w="4677" w:type="pct"/>
            <w:tcBorders>
              <w:left w:val="single" w:sz="4" w:space="0" w:color="auto"/>
            </w:tcBorders>
          </w:tcPr>
          <w:p>
            <w:pPr>
              <w:rPr>
                <w:bCs/>
                <w:color w:val="auto"/>
                <w:szCs w:val="21"/>
                <w:lang w:val="en-US" w:eastAsia="zh-CN"/>
                <w:highlight w:val="yellow"/>
              </w:rPr>
            </w:pPr>
            <w:r>
              <w:rPr>
                <w:rFonts w:hint="eastAsia"/>
                <w:bCs/>
                <w:color w:val="auto"/>
                <w:szCs w:val="21"/>
                <w:lang w:val="en-US" w:eastAsia="zh-CN"/>
              </w:rPr>
              <w:t>《河北卓峰化肥有限公司年产10万吨复混肥料搬迁项目环境影响报告书》于2020年10月13日取得石家庄市行政审批局出具的审批意见（石行审环批[2020]29号，详见附件）；于2021年4月14日进行并通过了竣工环境保护验收；《河北卓峰化肥有限公司技改项目环境影响报告表》于2022年8月2日取得石家庄</w:t>
            </w:r>
            <w:r>
              <w:rPr>
                <w:rFonts w:hint="eastAsia"/>
                <w:bCs/>
                <w:color w:val="auto"/>
                <w:szCs w:val="21"/>
                <w:lang w:val="en-US" w:eastAsia="zh-CN"/>
                <w:highlight w:val="none"/>
              </w:rPr>
              <w:t>市栾城区行政审批局出具的审批意见（石栾审环表[2022]36号，详见附件）；于2022年12月20日进行并通过了竣工环境保护验收。河北卓峰化肥有限公司于2019年6月29日首次取得了排污许可证（排污许可证编号：91130124585429629P001W）</w:t>
            </w:r>
          </w:p>
          <w:p>
            <w:pPr>
              <w:numPr>
                <w:ilvl w:val="0"/>
                <w:numId w:val="2"/>
              </w:numPr>
              <w:ind w:firstLineChars="0"/>
              <w:rPr>
                <w:rFonts w:hint="eastAsia"/>
                <w:bCs/>
                <w:color w:val="auto"/>
                <w:szCs w:val="21"/>
                <w:lang w:val="en-US" w:eastAsia="zh-CN"/>
              </w:rPr>
            </w:pPr>
            <w:r>
              <w:rPr>
                <w:rFonts w:hint="eastAsia"/>
                <w:bCs/>
                <w:color w:val="auto"/>
                <w:szCs w:val="21"/>
                <w:lang w:val="en-US" w:eastAsia="zh-CN"/>
              </w:rPr>
              <w:t>现有项目工艺流程</w:t>
            </w:r>
          </w:p>
          <w:p>
            <w:pPr>
              <w:rPr>
                <w:bCs/>
                <w:color w:val="auto"/>
                <w:szCs w:val="21"/>
                <w:lang w:val="en-US" w:eastAsia="zh-CN"/>
              </w:rPr>
            </w:pPr>
            <w:r>
              <w:rPr>
                <w:rFonts w:hint="eastAsia"/>
                <w:bCs/>
                <w:color w:val="auto"/>
                <w:szCs w:val="21"/>
                <w:lang w:val="en-US" w:eastAsia="zh-CN"/>
              </w:rPr>
              <mc:AlternateContent>
                <mc:Choice Requires="wps">
                  <w:drawing>
                    <wp:anchor distT="0" distB="0" distL="114300" distR="114300" simplePos="0" relativeHeight="676" behindDoc="0" locked="0" layoutInCell="1" hidden="0" allowOverlap="1">
                      <wp:simplePos x="0" y="0"/>
                      <wp:positionH relativeFrom="column">
                        <wp:posOffset>2640964</wp:posOffset>
                      </wp:positionH>
                      <wp:positionV relativeFrom="paragraph">
                        <wp:posOffset>146050</wp:posOffset>
                      </wp:positionV>
                      <wp:extent cx="366395" cy="271780"/>
                      <wp:wrapNone/>
                      <wp:docPr id="126" name="文本框 126"/>
                      <wp:cNvGraphicFramePr>
                        <a:graphicFrameLocks noChangeAspect="0"/>
                      </wp:cNvGraphicFramePr>
                      <a:graphic>
                        <a:graphicData uri="http://schemas.microsoft.com/office/word/2010/wordprocessingShape">
                          <wps:wsp>
                            <wps:cNvSpPr/>
                            <wps:spPr>
                              <a:xfrm rot="0">
                                <a:off x="0" y="0"/>
                                <a:ext cx="366395" cy="271780"/>
                              </a:xfrm>
                              <a:prstGeom prst="rect"/>
                              <a:noFill/>
                              <a:ln w="6350" cmpd="sng" cap="flat">
                                <a:noFill/>
                                <a:prstDash val="solid"/>
                                <a:round/>
                              </a:ln>
                            </wps:spPr>
                            <wps:txbx id="386">
                              <w:txbxContent>
                                <w:p>
                                  <w:pPr>
                                    <w:ind w:left="0" w:firstLineChars="0" w:firstLine="0"/>
                                    <w:rPr>
                                      <w:rFonts w:eastAsia="宋体"/>
                                      <w:sz w:val="21"/>
                                      <w:szCs w:val="21"/>
                                      <w:lang w:val="en-US" w:eastAsia="zh-CN"/>
                                    </w:rPr>
                                  </w:pPr>
                                  <w:r>
                                    <w:rPr>
                                      <w:rFonts w:eastAsia="宋体" w:hint="eastAsia"/>
                                      <w:sz w:val="21"/>
                                      <w:szCs w:val="21"/>
                                      <w:lang w:val="en-US" w:eastAsia="zh-CN"/>
                                    </w:rPr>
                                    <w:t>G3</w:t>
                                  </w:r>
                                </w:p>
                              </w:txbxContent>
                            </wps:txbx>
                            <wps:bodyPr vert="horz" wrap="square" lIns="91440" tIns="45720" rIns="91440" bIns="45720" anchor="t" anchorCtr="0" upright="0">
                              <a:noAutofit/>
                            </wps:bodyPr>
                          </wps:wsp>
                        </a:graphicData>
                      </a:graphic>
                    </wp:anchor>
                  </w:drawing>
                </mc:Choice>
                <mc:Fallback>
                  <w:pict>
                    <v:rect type="#_x0000_t1" id="文本框 126" o:spid="_x0000_s387" filled="f" stroked="f" strokeweight="0.5pt" style="position:absolute;margin-left:207.95pt;margin-top:11.5pt;width:28.850006pt;height:21.4pt;z-index:676;mso-position-horizontal:absolute;mso-position-vertical:absolute;mso-wrap-style:square;">
                      <v:stroke/>
                      <v:textbox id="948"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G3</w:t>
                            </w:r>
                          </w:p>
                        </w:txbxContent>
                      </v:textbox>
                    </v:rect>
                  </w:pict>
                </mc:Fallback>
              </mc:AlternateContent>
            </w:r>
            <w:r>
              <w:rPr>
                <w:rFonts w:hint="eastAsia"/>
                <w:bCs/>
                <w:color w:val="auto"/>
                <w:szCs w:val="21"/>
                <w:lang w:val="en-US" w:eastAsia="zh-CN"/>
              </w:rPr>
              <mc:AlternateContent>
                <mc:Choice Requires="wps">
                  <w:drawing>
                    <wp:anchor distT="0" distB="0" distL="114300" distR="114300" simplePos="0" relativeHeight="660" behindDoc="0" locked="0" layoutInCell="1" hidden="0" allowOverlap="1">
                      <wp:simplePos x="0" y="0"/>
                      <wp:positionH relativeFrom="column">
                        <wp:posOffset>519430</wp:posOffset>
                      </wp:positionH>
                      <wp:positionV relativeFrom="paragraph">
                        <wp:posOffset>229870</wp:posOffset>
                      </wp:positionV>
                      <wp:extent cx="366394" cy="271779"/>
                      <wp:wrapNone/>
                      <wp:docPr id="82" name="文本框 82"/>
                      <wp:cNvGraphicFramePr>
                        <a:graphicFrameLocks noChangeAspect="0"/>
                      </wp:cNvGraphicFramePr>
                      <a:graphic>
                        <a:graphicData uri="http://schemas.microsoft.com/office/word/2010/wordprocessingShape">
                          <wps:wsp>
                            <wps:cNvSpPr/>
                            <wps:spPr>
                              <a:xfrm rot="0">
                                <a:off x="0" y="0"/>
                                <a:ext cx="366394" cy="271779"/>
                              </a:xfrm>
                              <a:prstGeom prst="rect"/>
                              <a:noFill/>
                              <a:ln w="6350" cmpd="sng" cap="flat">
                                <a:noFill/>
                                <a:prstDash val="solid"/>
                                <a:round/>
                              </a:ln>
                            </wps:spPr>
                            <wps:txbx id="388">
                              <w:txbxContent>
                                <w:p>
                                  <w:pPr>
                                    <w:ind w:left="0" w:firstLineChars="0" w:firstLine="0"/>
                                    <w:rPr>
                                      <w:rFonts w:eastAsia="宋体"/>
                                      <w:sz w:val="21"/>
                                      <w:szCs w:val="21"/>
                                      <w:lang w:val="en-US" w:eastAsia="zh-CN"/>
                                    </w:rPr>
                                  </w:pPr>
                                  <w:r>
                                    <w:rPr>
                                      <w:rFonts w:eastAsia="宋体" w:hint="eastAsia"/>
                                      <w:sz w:val="21"/>
                                      <w:szCs w:val="21"/>
                                      <w:lang w:val="en-US" w:eastAsia="zh-CN"/>
                                    </w:rPr>
                                    <w:t>G1</w:t>
                                  </w:r>
                                </w:p>
                              </w:txbxContent>
                            </wps:txbx>
                            <wps:bodyPr vert="horz" wrap="square" lIns="91440" tIns="45720" rIns="91440" bIns="45720" anchor="t" anchorCtr="0" upright="0">
                              <a:noAutofit/>
                            </wps:bodyPr>
                          </wps:wsp>
                        </a:graphicData>
                      </a:graphic>
                    </wp:anchor>
                  </w:drawing>
                </mc:Choice>
                <mc:Fallback>
                  <w:pict>
                    <v:rect type="#_x0000_t1" id="文本框 82" o:spid="_x0000_s389" filled="f" stroked="f" strokeweight="0.5pt" style="position:absolute;margin-left:40.9pt;margin-top:18.1pt;width:28.849997pt;height:21.4pt;z-index:660;mso-position-horizontal:absolute;mso-position-vertical:absolute;mso-wrap-style:square;">
                      <v:stroke/>
                      <v:textbox id="949"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G1</w:t>
                            </w:r>
                          </w:p>
                        </w:txbxContent>
                      </v:textbox>
                    </v:rect>
                  </w:pict>
                </mc:Fallback>
              </mc:AlternateContent>
            </w:r>
            <w:r>
              <w:rPr>
                <w:rFonts w:hint="eastAsia"/>
                <w:bCs/>
                <w:color w:val="auto"/>
                <w:szCs w:val="21"/>
                <w:lang w:val="en-US" w:eastAsia="zh-CN"/>
              </w:rPr>
              <mc:AlternateContent>
                <mc:Choice Requires="wps">
                  <w:drawing>
                    <wp:anchor distT="0" distB="0" distL="114300" distR="114300" simplePos="0" relativeHeight="662" behindDoc="0" locked="0" layoutInCell="1" hidden="0" allowOverlap="1">
                      <wp:simplePos x="0" y="0"/>
                      <wp:positionH relativeFrom="column">
                        <wp:posOffset>1280160</wp:posOffset>
                      </wp:positionH>
                      <wp:positionV relativeFrom="paragraph">
                        <wp:posOffset>163195</wp:posOffset>
                      </wp:positionV>
                      <wp:extent cx="366394" cy="271779"/>
                      <wp:wrapNone/>
                      <wp:docPr id="83" name="文本框 83"/>
                      <wp:cNvGraphicFramePr>
                        <a:graphicFrameLocks noChangeAspect="0"/>
                      </wp:cNvGraphicFramePr>
                      <a:graphic>
                        <a:graphicData uri="http://schemas.microsoft.com/office/word/2010/wordprocessingShape">
                          <wps:wsp>
                            <wps:cNvSpPr/>
                            <wps:spPr>
                              <a:xfrm rot="0">
                                <a:off x="0" y="0"/>
                                <a:ext cx="366394" cy="271779"/>
                              </a:xfrm>
                              <a:prstGeom prst="rect"/>
                              <a:noFill/>
                              <a:ln w="6350" cmpd="sng" cap="flat">
                                <a:noFill/>
                                <a:prstDash val="solid"/>
                                <a:round/>
                              </a:ln>
                            </wps:spPr>
                            <wps:txbx id="390">
                              <w:txbxContent>
                                <w:p>
                                  <w:pPr>
                                    <w:ind w:left="0" w:firstLineChars="0" w:firstLine="0"/>
                                    <w:rPr>
                                      <w:rFonts w:eastAsia="宋体"/>
                                      <w:sz w:val="21"/>
                                      <w:szCs w:val="21"/>
                                      <w:lang w:val="en-US" w:eastAsia="zh-CN"/>
                                    </w:rPr>
                                  </w:pPr>
                                  <w:r>
                                    <w:rPr>
                                      <w:rFonts w:eastAsia="宋体" w:hint="eastAsia"/>
                                      <w:sz w:val="21"/>
                                      <w:szCs w:val="21"/>
                                      <w:lang w:val="en-US" w:eastAsia="zh-CN"/>
                                    </w:rPr>
                                    <w:t>G2</w:t>
                                  </w:r>
                                </w:p>
                              </w:txbxContent>
                            </wps:txbx>
                            <wps:bodyPr vert="horz" wrap="square" lIns="91440" tIns="45720" rIns="91440" bIns="45720" anchor="t" anchorCtr="0" upright="0">
                              <a:noAutofit/>
                            </wps:bodyPr>
                          </wps:wsp>
                        </a:graphicData>
                      </a:graphic>
                    </wp:anchor>
                  </w:drawing>
                </mc:Choice>
                <mc:Fallback>
                  <w:pict>
                    <v:rect type="#_x0000_t1" id="文本框 83" o:spid="_x0000_s391" filled="f" stroked="f" strokeweight="0.5pt" style="position:absolute;margin-left:100.8pt;margin-top:12.850001pt;width:28.849995pt;height:21.4pt;z-index:662;mso-position-horizontal:absolute;mso-position-vertical:absolute;mso-wrap-style:square;">
                      <v:stroke/>
                      <v:textbox id="950"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G2</w:t>
                            </w:r>
                          </w:p>
                        </w:txbxContent>
                      </v:textbox>
                    </v:rect>
                  </w:pict>
                </mc:Fallback>
              </mc:AlternateContent>
            </w:r>
            <w:r>
              <w:rPr>
                <w:rFonts w:hint="eastAsia"/>
                <w:bCs/>
                <w:color w:val="auto"/>
                <w:szCs w:val="21"/>
                <w:lang w:val="en-US" w:eastAsia="zh-CN"/>
              </w:rPr>
              <w:t>中微量元素混合车间：</w:t>
            </w:r>
          </w:p>
          <w:p>
            <w:pPr>
              <w:widowControl w:val="0"/>
              <w:spacing w:line="360" w:lineRule="auto"/>
              <w:jc w:val="center"/>
              <w:rPr>
                <w:rFonts w:hint="eastAsia"/>
                <w:bCs/>
                <w:color w:val="auto"/>
                <w:szCs w:val="21"/>
                <w:lang w:val="en-US" w:eastAsia="zh-CN"/>
              </w:rPr>
            </w:pPr>
            <w:r>
              <w:rPr>
                <w:rFonts w:hint="eastAsia"/>
                <w:bCs/>
                <w:color w:val="auto"/>
                <w:szCs w:val="21"/>
                <w:lang w:val="en-US" w:eastAsia="zh-CN"/>
              </w:rPr>
              <mc:AlternateContent>
                <mc:Choice Requires="wps">
                  <w:drawing>
                    <wp:anchor distT="0" distB="0" distL="114300" distR="114300" simplePos="0" relativeHeight="658" behindDoc="0" locked="0" layoutInCell="1" hidden="0" allowOverlap="1">
                      <wp:simplePos x="0" y="0"/>
                      <wp:positionH relativeFrom="column">
                        <wp:posOffset>3538220</wp:posOffset>
                      </wp:positionH>
                      <wp:positionV relativeFrom="paragraph">
                        <wp:posOffset>90805</wp:posOffset>
                      </wp:positionV>
                      <wp:extent cx="768985" cy="271779"/>
                      <wp:wrapNone/>
                      <wp:docPr id="68" name="文本框 68"/>
                      <wp:cNvGraphicFramePr>
                        <a:graphicFrameLocks noChangeAspect="0"/>
                      </wp:cNvGraphicFramePr>
                      <a:graphic>
                        <a:graphicData uri="http://schemas.microsoft.com/office/word/2010/wordprocessingShape">
                          <wps:wsp>
                            <wps:cNvSpPr/>
                            <wps:spPr>
                              <a:xfrm rot="0">
                                <a:off x="0" y="0"/>
                                <a:ext cx="768985" cy="271779"/>
                              </a:xfrm>
                              <a:prstGeom prst="rect"/>
                              <a:noFill/>
                              <a:ln w="6350" cmpd="sng" cap="flat">
                                <a:noFill/>
                                <a:prstDash val="solid"/>
                                <a:round/>
                              </a:ln>
                            </wps:spPr>
                            <wps:txbx id="392">
                              <w:txbxContent>
                                <w:p>
                                  <w:pPr>
                                    <w:ind w:left="0" w:firstLineChars="0" w:firstLine="0"/>
                                    <w:rPr>
                                      <w:rFonts w:eastAsia="宋体"/>
                                      <w:sz w:val="21"/>
                                      <w:szCs w:val="21"/>
                                      <w:lang w:val="en-US" w:eastAsia="zh-CN"/>
                                    </w:rPr>
                                  </w:pPr>
                                  <w:r>
                                    <w:rPr>
                                      <w:rFonts w:eastAsia="宋体" w:hint="eastAsia"/>
                                      <w:sz w:val="21"/>
                                      <w:szCs w:val="21"/>
                                      <w:lang w:val="en-US" w:eastAsia="zh-CN"/>
                                    </w:rPr>
                                    <w:t>生产车间</w:t>
                                  </w:r>
                                </w:p>
                              </w:txbxContent>
                            </wps:txbx>
                            <wps:bodyPr vert="horz" wrap="square" lIns="91440" tIns="45720" rIns="91440" bIns="45720" anchor="t" anchorCtr="0" upright="0">
                              <a:noAutofit/>
                            </wps:bodyPr>
                          </wps:wsp>
                        </a:graphicData>
                      </a:graphic>
                    </wp:anchor>
                  </w:drawing>
                </mc:Choice>
                <mc:Fallback>
                  <w:pict>
                    <v:rect type="#_x0000_t1" id="文本框 68" o:spid="_x0000_s393" filled="f" stroked="f" strokeweight="0.5pt" style="position:absolute;margin-left:278.6pt;margin-top:7.15pt;width:60.550003pt;height:21.4pt;z-index:658;mso-position-horizontal:absolute;mso-position-vertical:absolute;mso-wrap-style:square;">
                      <v:stroke/>
                      <v:textbox id="951"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生产车间</w:t>
                            </w:r>
                          </w:p>
                        </w:txbxContent>
                      </v:textbox>
                    </v:rect>
                  </w:pict>
                </mc:Fallback>
              </mc:AlternateContent>
            </w:r>
            <w:r>
              <mc:AlternateContent>
                <mc:Choice Requires="wps">
                  <w:drawing>
                    <wp:anchor distT="0" distB="0" distL="114300" distR="114300" simplePos="0" relativeHeight="656" behindDoc="0" locked="0" layoutInCell="1" hidden="0" allowOverlap="1">
                      <wp:simplePos x="0" y="0"/>
                      <wp:positionH relativeFrom="column">
                        <wp:posOffset>3196590</wp:posOffset>
                      </wp:positionH>
                      <wp:positionV relativeFrom="paragraph">
                        <wp:posOffset>212725</wp:posOffset>
                      </wp:positionV>
                      <wp:extent cx="368935" cy="3809"/>
                      <wp:effectExtent l="0" t="49530" r="12064" b="60960"/>
                      <wp:wrapNone/>
                      <wp:docPr id="61" name="直接箭头连接符 61"/>
                      <wp:cNvGraphicFramePr>
                        <a:graphicFrameLocks noChangeAspect="0"/>
                      </wp:cNvGraphicFramePr>
                      <a:graphic>
                        <a:graphicData uri="http://schemas.microsoft.com/office/word/2010/wordprocessingShape">
                          <wps:wsp>
                            <wps:cNvSpPr/>
                            <wps:spPr>
                              <a:xfrm flipV="1" rot="21600000">
                                <a:off x="0" y="0"/>
                                <a:ext cx="368935" cy="380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61" o:spid="_x0000_s394" filled="f" stroked="t" style="position:absolute;margin-left:251.7pt;margin-top:16.750008pt;width:29.050003pt;height:0.29999542pt;flip:y;z-index:656;mso-position-horizontal:absolute;mso-position-vertical:absolute;">
                      <v:stroke color="#000000" endarrow="open"/>
                    </v:shape>
                  </w:pict>
                </mc:Fallback>
              </mc:AlternateContent>
            </w:r>
            <w:r>
              <w:rPr>
                <w:rFonts w:hint="eastAsia"/>
                <w:bCs/>
                <w:color w:val="auto"/>
                <w:szCs w:val="21"/>
                <w:lang w:val="en-US" w:eastAsia="zh-CN"/>
              </w:rPr>
              <mc:AlternateContent>
                <mc:Choice Requires="wps">
                  <w:drawing>
                    <wp:anchor distT="0" distB="0" distL="114300" distR="114300" simplePos="0" relativeHeight="654" behindDoc="0" locked="0" layoutInCell="1" hidden="0" allowOverlap="1">
                      <wp:simplePos x="0" y="0"/>
                      <wp:positionH relativeFrom="column">
                        <wp:posOffset>2503805</wp:posOffset>
                      </wp:positionH>
                      <wp:positionV relativeFrom="paragraph">
                        <wp:posOffset>95885</wp:posOffset>
                      </wp:positionV>
                      <wp:extent cx="636905" cy="271779"/>
                      <wp:effectExtent l="4444" t="4444" r="6350" b="9525"/>
                      <wp:wrapNone/>
                      <wp:docPr id="60" name="文本框 60"/>
                      <wp:cNvGraphicFramePr>
                        <a:graphicFrameLocks noChangeAspect="0"/>
                      </wp:cNvGraphicFramePr>
                      <a:graphic>
                        <a:graphicData uri="http://schemas.microsoft.com/office/word/2010/wordprocessingShape">
                          <wps:wsp>
                            <wps:cNvSpPr/>
                            <wps:spPr>
                              <a:xfrm rot="0">
                                <a:off x="0" y="0"/>
                                <a:ext cx="636905" cy="271779"/>
                              </a:xfrm>
                              <a:prstGeom prst="rect"/>
                              <a:noFill/>
                              <a:ln w="6350" cmpd="sng" cap="flat">
                                <a:solidFill>
                                  <a:srgbClr val="000000"/>
                                </a:solidFill>
                                <a:prstDash val="solid"/>
                                <a:round/>
                              </a:ln>
                            </wps:spPr>
                            <wps:txbx id="395">
                              <w:txbxContent>
                                <w:p>
                                  <w:pPr>
                                    <w:ind w:left="0" w:firstLineChars="0" w:firstLine="0"/>
                                    <w:rPr>
                                      <w:rFonts w:eastAsia="宋体"/>
                                      <w:sz w:val="21"/>
                                      <w:szCs w:val="21"/>
                                      <w:lang w:val="en-US" w:eastAsia="zh-CN"/>
                                    </w:rPr>
                                  </w:pPr>
                                  <w:r>
                                    <w:rPr>
                                      <w:rFonts w:eastAsia="宋体" w:hint="eastAsia"/>
                                      <w:sz w:val="21"/>
                                      <w:szCs w:val="21"/>
                                      <w:lang w:val="en-US" w:eastAsia="zh-CN"/>
                                    </w:rPr>
                                    <w:t>搅拌机</w:t>
                                  </w:r>
                                </w:p>
                              </w:txbxContent>
                            </wps:txbx>
                            <wps:bodyPr vert="horz" wrap="square" lIns="91440" tIns="45720" rIns="91440" bIns="45720" anchor="t" anchorCtr="0" upright="0">
                              <a:noAutofit/>
                            </wps:bodyPr>
                          </wps:wsp>
                        </a:graphicData>
                      </a:graphic>
                    </wp:anchor>
                  </w:drawing>
                </mc:Choice>
                <mc:Fallback>
                  <w:pict>
                    <v:rect type="#_x0000_t1" id="文本框 60" o:spid="_x0000_s396" filled="f" stroked="t" strokeweight="0.5pt" style="position:absolute;margin-left:197.15pt;margin-top:7.5500007pt;width:50.15pt;height:21.399998pt;z-index:654;mso-position-horizontal:absolute;mso-position-vertical:absolute;mso-wrap-style:square;">
                      <v:stroke color="#000000"/>
                      <v:textbox id="952"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搅拌机</w:t>
                            </w:r>
                          </w:p>
                        </w:txbxContent>
                      </v:textbox>
                    </v:rect>
                  </w:pict>
                </mc:Fallback>
              </mc:AlternateContent>
            </w:r>
            <w:r>
              <mc:AlternateContent>
                <mc:Choice Requires="wps">
                  <w:drawing>
                    <wp:anchor distT="0" distB="0" distL="114300" distR="114300" simplePos="0" relativeHeight="652" behindDoc="0" locked="0" layoutInCell="1" hidden="0" allowOverlap="1">
                      <wp:simplePos x="0" y="0"/>
                      <wp:positionH relativeFrom="column">
                        <wp:posOffset>2113915</wp:posOffset>
                      </wp:positionH>
                      <wp:positionV relativeFrom="paragraph">
                        <wp:posOffset>207644</wp:posOffset>
                      </wp:positionV>
                      <wp:extent cx="368934" cy="3810"/>
                      <wp:effectExtent l="0" t="49530" r="12064" b="60960"/>
                      <wp:wrapNone/>
                      <wp:docPr id="59" name="直接箭头连接符 59"/>
                      <wp:cNvGraphicFramePr>
                        <a:graphicFrameLocks noChangeAspect="0"/>
                      </wp:cNvGraphicFramePr>
                      <a:graphic>
                        <a:graphicData uri="http://schemas.microsoft.com/office/word/2010/wordprocessingShape">
                          <wps:wsp>
                            <wps:cNvSpPr/>
                            <wps:spPr>
                              <a:xfrm flipV="1" rot="21600000">
                                <a:off x="0" y="0"/>
                                <a:ext cx="368934" cy="381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59" o:spid="_x0000_s397" filled="f" stroked="t" style="position:absolute;margin-left:166.45001pt;margin-top:16.34999pt;width:29.049973pt;height:0.3000183pt;flip:y;z-index:652;mso-position-horizontal:absolute;mso-position-vertical:absolute;">
                      <v:stroke color="#000000" endarrow="open"/>
                    </v:shape>
                  </w:pict>
                </mc:Fallback>
              </mc:AlternateContent>
            </w:r>
            <w:r>
              <w:rPr>
                <w:rFonts w:hint="eastAsia"/>
                <w:bCs/>
                <w:color w:val="auto"/>
                <w:szCs w:val="21"/>
                <w:lang w:val="en-US" w:eastAsia="zh-CN"/>
              </w:rPr>
              <mc:AlternateContent>
                <mc:Choice Requires="wps">
                  <w:drawing>
                    <wp:anchor distT="0" distB="0" distL="114300" distR="114300" simplePos="0" relativeHeight="650" behindDoc="0" locked="0" layoutInCell="1" hidden="0" allowOverlap="1">
                      <wp:simplePos x="0" y="0"/>
                      <wp:positionH relativeFrom="column">
                        <wp:posOffset>908050</wp:posOffset>
                      </wp:positionH>
                      <wp:positionV relativeFrom="paragraph">
                        <wp:posOffset>83820</wp:posOffset>
                      </wp:positionV>
                      <wp:extent cx="1149349" cy="271779"/>
                      <wp:effectExtent l="4444" t="4444" r="8255" b="9525"/>
                      <wp:wrapNone/>
                      <wp:docPr id="58" name="文本框 58"/>
                      <wp:cNvGraphicFramePr>
                        <a:graphicFrameLocks noChangeAspect="0"/>
                      </wp:cNvGraphicFramePr>
                      <a:graphic>
                        <a:graphicData uri="http://schemas.microsoft.com/office/word/2010/wordprocessingShape">
                          <wps:wsp>
                            <wps:cNvSpPr/>
                            <wps:spPr>
                              <a:xfrm rot="0">
                                <a:off x="0" y="0"/>
                                <a:ext cx="1149349" cy="271779"/>
                              </a:xfrm>
                              <a:prstGeom prst="rect"/>
                              <a:noFill/>
                              <a:ln w="6350" cmpd="sng" cap="flat">
                                <a:solidFill>
                                  <a:srgbClr val="000000"/>
                                </a:solidFill>
                                <a:prstDash val="solid"/>
                                <a:round/>
                              </a:ln>
                            </wps:spPr>
                            <wps:txbx id="398">
                              <w:txbxContent>
                                <w:p>
                                  <w:pPr>
                                    <w:ind w:left="0" w:firstLineChars="0" w:firstLine="0"/>
                                    <w:rPr>
                                      <w:rFonts w:eastAsia="宋体"/>
                                      <w:sz w:val="21"/>
                                      <w:szCs w:val="21"/>
                                      <w:lang w:val="en-US" w:eastAsia="zh-CN"/>
                                    </w:rPr>
                                  </w:pPr>
                                  <w:r>
                                    <w:rPr>
                                      <w:rFonts w:eastAsia="宋体" w:hint="eastAsia"/>
                                      <w:sz w:val="21"/>
                                      <w:szCs w:val="21"/>
                                      <w:lang w:val="en-US" w:eastAsia="zh-CN"/>
                                    </w:rPr>
                                    <w:t>颗粒对辊破碎机</w:t>
                                  </w:r>
                                </w:p>
                              </w:txbxContent>
                            </wps:txbx>
                            <wps:bodyPr vert="horz" wrap="square" lIns="91440" tIns="45720" rIns="91440" bIns="45720" anchor="t" anchorCtr="0" upright="0">
                              <a:noAutofit/>
                            </wps:bodyPr>
                          </wps:wsp>
                        </a:graphicData>
                      </a:graphic>
                    </wp:anchor>
                  </w:drawing>
                </mc:Choice>
                <mc:Fallback>
                  <w:pict>
                    <v:rect type="#_x0000_t1" id="文本框 58" o:spid="_x0000_s399" filled="f" stroked="t" strokeweight="0.5pt" style="position:absolute;margin-left:71.5pt;margin-top:6.6pt;width:90.49999pt;height:21.4pt;z-index:650;mso-position-horizontal:absolute;mso-position-vertical:absolute;mso-wrap-style:square;">
                      <v:stroke color="#000000"/>
                      <v:textbox id="953"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颗粒对辊破碎机</w:t>
                            </w:r>
                          </w:p>
                        </w:txbxContent>
                      </v:textbox>
                    </v:rect>
                  </w:pict>
                </mc:Fallback>
              </mc:AlternateContent>
            </w:r>
            <w:r>
              <mc:AlternateContent>
                <mc:Choice Requires="wps">
                  <w:drawing>
                    <wp:anchor distT="0" distB="0" distL="114300" distR="114300" simplePos="0" relativeHeight="648" behindDoc="0" locked="0" layoutInCell="1" hidden="0" allowOverlap="1">
                      <wp:simplePos x="0" y="0"/>
                      <wp:positionH relativeFrom="column">
                        <wp:posOffset>525780</wp:posOffset>
                      </wp:positionH>
                      <wp:positionV relativeFrom="paragraph">
                        <wp:posOffset>202564</wp:posOffset>
                      </wp:positionV>
                      <wp:extent cx="368934" cy="3809"/>
                      <wp:effectExtent l="0" t="49530" r="12064" b="60960"/>
                      <wp:wrapNone/>
                      <wp:docPr id="57" name="直接箭头连接符 57"/>
                      <wp:cNvGraphicFramePr>
                        <a:graphicFrameLocks noChangeAspect="0"/>
                      </wp:cNvGraphicFramePr>
                      <a:graphic>
                        <a:graphicData uri="http://schemas.microsoft.com/office/word/2010/wordprocessingShape">
                          <wps:wsp>
                            <wps:cNvSpPr/>
                            <wps:spPr>
                              <a:xfrm flipV="1" rot="21600000">
                                <a:off x="0" y="0"/>
                                <a:ext cx="368934" cy="380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57" o:spid="_x0000_s400" filled="f" stroked="t" style="position:absolute;margin-left:41.40001pt;margin-top:15.949997pt;width:29.049988pt;height:0.29999542pt;flip:y;z-index:648;mso-position-horizontal:absolute;mso-position-vertical:absolute;">
                      <v:stroke color="#000000" endarrow="open"/>
                    </v:shape>
                  </w:pict>
                </mc:Fallback>
              </mc:AlternateContent>
            </w:r>
            <w:r>
              <w:rPr>
                <w:rFonts w:hint="eastAsia"/>
                <w:bCs/>
                <w:color w:val="auto"/>
                <w:szCs w:val="21"/>
                <w:lang w:val="en-US" w:eastAsia="zh-CN"/>
              </w:rPr>
              <mc:AlternateContent>
                <mc:Choice Requires="wps">
                  <w:drawing>
                    <wp:anchor distT="0" distB="0" distL="114300" distR="114300" simplePos="0" relativeHeight="646" behindDoc="0" locked="0" layoutInCell="1" hidden="0" allowOverlap="1">
                      <wp:simplePos x="0" y="0"/>
                      <wp:positionH relativeFrom="column">
                        <wp:posOffset>96519</wp:posOffset>
                      </wp:positionH>
                      <wp:positionV relativeFrom="paragraph">
                        <wp:posOffset>71119</wp:posOffset>
                      </wp:positionV>
                      <wp:extent cx="608330" cy="271779"/>
                      <wp:wrapNone/>
                      <wp:docPr id="53" name="文本框 53"/>
                      <wp:cNvGraphicFramePr>
                        <a:graphicFrameLocks noChangeAspect="0"/>
                      </wp:cNvGraphicFramePr>
                      <a:graphic>
                        <a:graphicData uri="http://schemas.microsoft.com/office/word/2010/wordprocessingShape">
                          <wps:wsp>
                            <wps:cNvSpPr/>
                            <wps:spPr>
                              <a:xfrm rot="0">
                                <a:off x="0" y="0"/>
                                <a:ext cx="608330" cy="271779"/>
                              </a:xfrm>
                              <a:prstGeom prst="rect"/>
                              <a:noFill/>
                              <a:ln w="6350" cmpd="sng" cap="flat">
                                <a:noFill/>
                                <a:prstDash val="solid"/>
                                <a:round/>
                              </a:ln>
                            </wps:spPr>
                            <wps:txbx id="401">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wps:txbx>
                            <wps:bodyPr vert="horz" wrap="square" lIns="91440" tIns="45720" rIns="91440" bIns="45720" anchor="t" anchorCtr="0" upright="0">
                              <a:noAutofit/>
                            </wps:bodyPr>
                          </wps:wsp>
                        </a:graphicData>
                      </a:graphic>
                    </wp:anchor>
                  </w:drawing>
                </mc:Choice>
                <mc:Fallback>
                  <w:pict>
                    <v:rect type="#_x0000_t1" id="文本框 53" o:spid="_x0000_s402" filled="f" stroked="f" strokeweight="0.5pt" style="position:absolute;margin-left:7.6pt;margin-top:5.6pt;width:47.9pt;height:21.4pt;z-index:646;mso-position-horizontal:absolute;mso-position-vertical:absolute;mso-wrap-style:square;">
                      <v:stroke/>
                      <v:textbox id="954"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v:textbox>
                    </v:rect>
                  </w:pict>
                </mc:Fallback>
              </mc:AlternateContent>
            </w:r>
          </w:p>
          <w:p>
            <w:pPr>
              <w:widowControl w:val="0"/>
              <w:spacing w:line="240" w:lineRule="auto"/>
              <w:ind w:firstLineChars="0" w:firstLine="0"/>
              <w:jc w:val="center"/>
              <w:rPr>
                <w:rFonts w:ascii="Times New Roman" w:eastAsia="宋体" w:cs="Times New Roman" w:hAnsi="Times New Roman" w:hint="eastAsia"/>
                <w:b/>
                <w:color w:val="auto"/>
                <w:kern w:val="2"/>
                <w:sz w:val="24"/>
                <w:szCs w:val="21"/>
                <w:lang w:val="en-US" w:eastAsia="zh-CN" w:bidi="ar-SA"/>
              </w:rPr>
            </w:pPr>
          </w:p>
          <w:p>
            <w:pPr>
              <w:widowControl w:val="0"/>
              <w:spacing w:line="240" w:lineRule="auto"/>
              <w:ind w:firstLineChars="0" w:firstLine="0"/>
              <w:jc w:val="center"/>
              <w:rPr>
                <w:rFonts w:ascii="Times New Roman" w:eastAsia="宋体" w:cs="Times New Roman" w:hAnsi="Times New Roman" w:hint="eastAsia"/>
                <w:b/>
                <w:color w:val="auto"/>
                <w:kern w:val="2"/>
                <w:sz w:val="24"/>
                <w:szCs w:val="21"/>
                <w:lang w:val="en-US" w:eastAsia="zh-CN" w:bidi="ar-SA"/>
              </w:rPr>
            </w:pPr>
            <w:r>
              <w:rPr>
                <w:rFonts w:ascii="Times New Roman" w:eastAsia="宋体" w:cs="Times New Roman" w:hAnsi="Times New Roman" w:hint="eastAsia"/>
                <w:b/>
                <w:color w:val="auto"/>
                <w:kern w:val="2"/>
                <w:sz w:val="24"/>
                <w:szCs w:val="21"/>
                <w:lang w:val="en-US" w:eastAsia="zh-CN" w:bidi="ar-SA"/>
              </w:rPr>
              <w:t>图2-</w:t>
            </w:r>
            <w:r>
              <w:rPr>
                <w:rFonts w:cs="Times New Roman" w:hint="eastAsia"/>
                <w:b/>
                <w:color w:val="auto"/>
                <w:kern w:val="2"/>
                <w:sz w:val="24"/>
                <w:szCs w:val="21"/>
                <w:lang w:val="en-US" w:eastAsia="zh-CN" w:bidi="ar-SA"/>
              </w:rPr>
              <w:t>7</w:t>
            </w:r>
            <w:r>
              <w:rPr>
                <w:rFonts w:ascii="Times New Roman" w:eastAsia="宋体" w:cs="Times New Roman" w:hAnsi="Times New Roman" w:hint="eastAsia"/>
                <w:b/>
                <w:color w:val="auto"/>
                <w:kern w:val="2"/>
                <w:sz w:val="24"/>
                <w:szCs w:val="21"/>
                <w:lang w:val="en-US" w:eastAsia="zh-CN" w:bidi="ar-SA"/>
              </w:rPr>
              <w:t xml:space="preserve"> 现有</w:t>
            </w:r>
            <w:r>
              <w:rPr>
                <w:rFonts w:cs="Times New Roman" w:hint="eastAsia"/>
                <w:b/>
                <w:color w:val="auto"/>
                <w:kern w:val="2"/>
                <w:sz w:val="24"/>
                <w:szCs w:val="21"/>
                <w:lang w:val="en-US" w:eastAsia="zh-CN" w:bidi="ar-SA"/>
              </w:rPr>
              <w:t>中微量元素混合车间颗粒</w:t>
            </w:r>
            <w:r>
              <w:rPr>
                <w:rFonts w:ascii="Times New Roman" w:eastAsia="宋体" w:cs="Times New Roman" w:hAnsi="Times New Roman" w:hint="eastAsia"/>
                <w:b/>
                <w:color w:val="auto"/>
                <w:kern w:val="2"/>
                <w:sz w:val="24"/>
                <w:szCs w:val="21"/>
                <w:lang w:val="en-US" w:eastAsia="zh-CN" w:bidi="ar-SA"/>
              </w:rPr>
              <w:t>状原料工艺流程及排污节点图</w:t>
            </w:r>
          </w:p>
          <w:p>
            <w:pPr>
              <w:widowControl w:val="0"/>
              <w:spacing w:line="240" w:lineRule="auto"/>
              <w:ind w:firstLineChars="0" w:firstLine="0"/>
              <w:jc w:val="center"/>
              <w:rPr>
                <w:rFonts w:ascii="Times New Roman" w:eastAsia="宋体" w:cs="Times New Roman" w:hAnsi="Times New Roman" w:hint="eastAsia"/>
                <w:b/>
                <w:color w:val="auto"/>
                <w:kern w:val="2"/>
                <w:sz w:val="24"/>
                <w:szCs w:val="21"/>
                <w:lang w:val="en-US" w:eastAsia="zh-CN" w:bidi="ar-SA"/>
              </w:rPr>
            </w:pPr>
            <w:r>
              <w:rPr>
                <w:rFonts w:hint="eastAsia"/>
                <w:bCs/>
                <w:color w:val="auto"/>
                <w:szCs w:val="21"/>
                <w:lang w:val="en-US" w:eastAsia="zh-CN"/>
              </w:rPr>
              <mc:AlternateContent>
                <mc:Choice Requires="wps">
                  <w:drawing>
                    <wp:anchor distT="0" distB="0" distL="114300" distR="114300" simplePos="0" relativeHeight="678" behindDoc="0" locked="0" layoutInCell="1" hidden="0" allowOverlap="1">
                      <wp:simplePos x="0" y="0"/>
                      <wp:positionH relativeFrom="column">
                        <wp:posOffset>2360295</wp:posOffset>
                      </wp:positionH>
                      <wp:positionV relativeFrom="paragraph">
                        <wp:posOffset>78739</wp:posOffset>
                      </wp:positionV>
                      <wp:extent cx="366395" cy="271779"/>
                      <wp:wrapNone/>
                      <wp:docPr id="132" name="文本框 132"/>
                      <wp:cNvGraphicFramePr>
                        <a:graphicFrameLocks noChangeAspect="0"/>
                      </wp:cNvGraphicFramePr>
                      <a:graphic>
                        <a:graphicData uri="http://schemas.microsoft.com/office/word/2010/wordprocessingShape">
                          <wps:wsp>
                            <wps:cNvSpPr/>
                            <wps:spPr>
                              <a:xfrm rot="0">
                                <a:off x="0" y="0"/>
                                <a:ext cx="366395" cy="271779"/>
                              </a:xfrm>
                              <a:prstGeom prst="rect"/>
                              <a:noFill/>
                              <a:ln w="6350" cmpd="sng" cap="flat">
                                <a:noFill/>
                                <a:prstDash val="solid"/>
                                <a:round/>
                              </a:ln>
                            </wps:spPr>
                            <wps:txbx id="403">
                              <w:txbxContent>
                                <w:p>
                                  <w:pPr>
                                    <w:ind w:left="0" w:firstLineChars="0" w:firstLine="0"/>
                                    <w:rPr>
                                      <w:rFonts w:eastAsia="宋体"/>
                                      <w:sz w:val="21"/>
                                      <w:szCs w:val="21"/>
                                      <w:lang w:val="en-US" w:eastAsia="zh-CN"/>
                                    </w:rPr>
                                  </w:pPr>
                                  <w:r>
                                    <w:rPr>
                                      <w:rFonts w:eastAsia="宋体" w:hint="eastAsia"/>
                                      <w:sz w:val="21"/>
                                      <w:szCs w:val="21"/>
                                      <w:lang w:val="en-US" w:eastAsia="zh-CN"/>
                                    </w:rPr>
                                    <w:t>G5</w:t>
                                  </w:r>
                                </w:p>
                              </w:txbxContent>
                            </wps:txbx>
                            <wps:bodyPr vert="horz" wrap="square" lIns="91440" tIns="45720" rIns="91440" bIns="45720" anchor="t" anchorCtr="0" upright="0">
                              <a:noAutofit/>
                            </wps:bodyPr>
                          </wps:wsp>
                        </a:graphicData>
                      </a:graphic>
                    </wp:anchor>
                  </w:drawing>
                </mc:Choice>
                <mc:Fallback>
                  <w:pict>
                    <v:rect type="#_x0000_t1" id="文本框 132" o:spid="_x0000_s404" filled="f" stroked="f" strokeweight="0.5pt" style="position:absolute;margin-left:185.85pt;margin-top:6.2pt;width:28.850006pt;height:21.4pt;z-index:678;mso-position-horizontal:absolute;mso-position-vertical:absolute;mso-wrap-style:square;">
                      <v:stroke/>
                      <v:textbox id="955"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G5</w:t>
                            </w:r>
                          </w:p>
                        </w:txbxContent>
                      </v:textbox>
                    </v:rect>
                  </w:pict>
                </mc:Fallback>
              </mc:AlternateContent>
            </w:r>
            <w:r>
              <w:rPr>
                <w:rFonts w:hint="eastAsia"/>
                <w:bCs/>
                <w:color w:val="auto"/>
                <w:szCs w:val="21"/>
                <w:lang w:val="en-US" w:eastAsia="zh-CN"/>
              </w:rPr>
              <mc:AlternateContent>
                <mc:Choice Requires="wps">
                  <w:drawing>
                    <wp:anchor distT="0" distB="0" distL="114300" distR="114300" simplePos="0" relativeHeight="674" behindDoc="0" locked="0" layoutInCell="1" hidden="0" allowOverlap="1">
                      <wp:simplePos x="0" y="0"/>
                      <wp:positionH relativeFrom="column">
                        <wp:posOffset>1790700</wp:posOffset>
                      </wp:positionH>
                      <wp:positionV relativeFrom="paragraph">
                        <wp:posOffset>160655</wp:posOffset>
                      </wp:positionV>
                      <wp:extent cx="366395" cy="271780"/>
                      <wp:wrapNone/>
                      <wp:docPr id="101" name="文本框 101"/>
                      <wp:cNvGraphicFramePr>
                        <a:graphicFrameLocks noChangeAspect="0"/>
                      </wp:cNvGraphicFramePr>
                      <a:graphic>
                        <a:graphicData uri="http://schemas.microsoft.com/office/word/2010/wordprocessingShape">
                          <wps:wsp>
                            <wps:cNvSpPr/>
                            <wps:spPr>
                              <a:xfrm rot="0">
                                <a:off x="0" y="0"/>
                                <a:ext cx="366395" cy="271780"/>
                              </a:xfrm>
                              <a:prstGeom prst="rect"/>
                              <a:noFill/>
                              <a:ln w="6350" cmpd="sng" cap="flat">
                                <a:noFill/>
                                <a:prstDash val="solid"/>
                                <a:round/>
                              </a:ln>
                            </wps:spPr>
                            <wps:txbx id="405">
                              <w:txbxContent>
                                <w:p>
                                  <w:pPr>
                                    <w:ind w:left="0" w:firstLineChars="0" w:firstLine="0"/>
                                    <w:rPr>
                                      <w:rFonts w:eastAsia="宋体"/>
                                      <w:sz w:val="21"/>
                                      <w:szCs w:val="21"/>
                                      <w:lang w:val="en-US" w:eastAsia="zh-CN"/>
                                    </w:rPr>
                                  </w:pPr>
                                  <w:r>
                                    <w:rPr>
                                      <w:rFonts w:eastAsia="宋体" w:hint="eastAsia"/>
                                      <w:sz w:val="21"/>
                                      <w:szCs w:val="21"/>
                                      <w:lang w:val="en-US" w:eastAsia="zh-CN"/>
                                    </w:rPr>
                                    <w:t>G4</w:t>
                                  </w:r>
                                </w:p>
                              </w:txbxContent>
                            </wps:txbx>
                            <wps:bodyPr vert="horz" wrap="square" lIns="91440" tIns="45720" rIns="91440" bIns="45720" anchor="t" anchorCtr="0" upright="0">
                              <a:noAutofit/>
                            </wps:bodyPr>
                          </wps:wsp>
                        </a:graphicData>
                      </a:graphic>
                    </wp:anchor>
                  </w:drawing>
                </mc:Choice>
                <mc:Fallback>
                  <w:pict>
                    <v:rect type="#_x0000_t1" id="文本框 101" o:spid="_x0000_s406" filled="f" stroked="f" strokeweight="0.5pt" style="position:absolute;margin-left:141.0pt;margin-top:12.65pt;width:28.850006pt;height:21.4pt;z-index:674;mso-position-horizontal:absolute;mso-position-vertical:absolute;mso-wrap-style:square;">
                      <v:stroke/>
                      <v:textbox id="956"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G4</w:t>
                            </w:r>
                          </w:p>
                        </w:txbxContent>
                      </v:textbox>
                    </v:rect>
                  </w:pict>
                </mc:Fallback>
              </mc:AlternateContent>
            </w:r>
          </w:p>
          <w:p>
            <w:pPr>
              <w:widowControl w:val="0"/>
              <w:spacing w:line="360" w:lineRule="auto"/>
              <w:jc w:val="center"/>
              <w:rPr>
                <w:rFonts w:hint="eastAsia"/>
                <w:bCs/>
                <w:color w:val="auto"/>
                <w:szCs w:val="21"/>
                <w:lang w:val="en-US" w:eastAsia="zh-CN"/>
              </w:rPr>
            </w:pPr>
            <w:r>
              <w:rPr>
                <w:rFonts w:hint="eastAsia"/>
                <w:bCs/>
                <w:color w:val="auto"/>
                <w:szCs w:val="21"/>
                <w:lang w:val="en-US" w:eastAsia="zh-CN"/>
              </w:rPr>
              <mc:AlternateContent>
                <mc:Choice Requires="wps">
                  <w:drawing>
                    <wp:anchor distT="0" distB="0" distL="114300" distR="114300" simplePos="0" relativeHeight="672" behindDoc="0" locked="0" layoutInCell="1" hidden="0" allowOverlap="1">
                      <wp:simplePos x="0" y="0"/>
                      <wp:positionH relativeFrom="column">
                        <wp:posOffset>3324859</wp:posOffset>
                      </wp:positionH>
                      <wp:positionV relativeFrom="paragraph">
                        <wp:posOffset>148590</wp:posOffset>
                      </wp:positionV>
                      <wp:extent cx="768985" cy="271779"/>
                      <wp:wrapNone/>
                      <wp:docPr id="99" name="文本框 99"/>
                      <wp:cNvGraphicFramePr>
                        <a:graphicFrameLocks noChangeAspect="0"/>
                      </wp:cNvGraphicFramePr>
                      <a:graphic>
                        <a:graphicData uri="http://schemas.microsoft.com/office/word/2010/wordprocessingShape">
                          <wps:wsp>
                            <wps:cNvSpPr/>
                            <wps:spPr>
                              <a:xfrm rot="0">
                                <a:off x="0" y="0"/>
                                <a:ext cx="768985" cy="271779"/>
                              </a:xfrm>
                              <a:prstGeom prst="rect"/>
                              <a:noFill/>
                              <a:ln w="6350" cmpd="sng" cap="flat">
                                <a:noFill/>
                                <a:prstDash val="solid"/>
                                <a:round/>
                              </a:ln>
                            </wps:spPr>
                            <wps:txbx id="407">
                              <w:txbxContent>
                                <w:p>
                                  <w:pPr>
                                    <w:ind w:left="0" w:firstLineChars="0" w:firstLine="0"/>
                                    <w:rPr>
                                      <w:rFonts w:eastAsia="宋体"/>
                                      <w:sz w:val="21"/>
                                      <w:szCs w:val="21"/>
                                      <w:lang w:val="en-US" w:eastAsia="zh-CN"/>
                                    </w:rPr>
                                  </w:pPr>
                                  <w:r>
                                    <w:rPr>
                                      <w:rFonts w:eastAsia="宋体" w:hint="eastAsia"/>
                                      <w:sz w:val="21"/>
                                      <w:szCs w:val="21"/>
                                      <w:lang w:val="en-US" w:eastAsia="zh-CN"/>
                                    </w:rPr>
                                    <w:t>生产车间</w:t>
                                  </w:r>
                                </w:p>
                              </w:txbxContent>
                            </wps:txbx>
                            <wps:bodyPr vert="horz" wrap="square" lIns="91440" tIns="45720" rIns="91440" bIns="45720" anchor="t" anchorCtr="0" upright="0">
                              <a:noAutofit/>
                            </wps:bodyPr>
                          </wps:wsp>
                        </a:graphicData>
                      </a:graphic>
                    </wp:anchor>
                  </w:drawing>
                </mc:Choice>
                <mc:Fallback>
                  <w:pict>
                    <v:rect type="#_x0000_t1" id="文本框 99" o:spid="_x0000_s408" filled="f" stroked="f" strokeweight="0.5pt" style="position:absolute;margin-left:261.8pt;margin-top:11.7pt;width:60.550003pt;height:21.399998pt;z-index:672;mso-position-horizontal:absolute;mso-position-vertical:absolute;mso-wrap-style:square;">
                      <v:stroke/>
                      <v:textbox id="957"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生产车间</w:t>
                            </w:r>
                          </w:p>
                        </w:txbxContent>
                      </v:textbox>
                    </v:rect>
                  </w:pict>
                </mc:Fallback>
              </mc:AlternateContent>
            </w:r>
            <w:r>
              <mc:AlternateContent>
                <mc:Choice Requires="wps">
                  <w:drawing>
                    <wp:anchor distT="0" distB="0" distL="114300" distR="114300" simplePos="0" relativeHeight="670" behindDoc="0" locked="0" layoutInCell="1" hidden="0" allowOverlap="1">
                      <wp:simplePos x="0" y="0"/>
                      <wp:positionH relativeFrom="column">
                        <wp:posOffset>2908935</wp:posOffset>
                      </wp:positionH>
                      <wp:positionV relativeFrom="paragraph">
                        <wp:posOffset>269239</wp:posOffset>
                      </wp:positionV>
                      <wp:extent cx="368935" cy="3810"/>
                      <wp:effectExtent l="0" t="49530" r="12064" b="60960"/>
                      <wp:wrapNone/>
                      <wp:docPr id="98" name="直接箭头连接符 98"/>
                      <wp:cNvGraphicFramePr>
                        <a:graphicFrameLocks noChangeAspect="0"/>
                      </wp:cNvGraphicFramePr>
                      <a:graphic>
                        <a:graphicData uri="http://schemas.microsoft.com/office/word/2010/wordprocessingShape">
                          <wps:wsp>
                            <wps:cNvSpPr/>
                            <wps:spPr>
                              <a:xfrm flipV="1" rot="21600000">
                                <a:off x="0" y="0"/>
                                <a:ext cx="368935" cy="381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98" o:spid="_x0000_s409" filled="f" stroked="t" style="position:absolute;margin-left:229.05002pt;margin-top:21.199997pt;width:29.049988pt;height:0.3000183pt;flip:y;z-index:670;mso-position-horizontal:absolute;mso-position-vertical:absolute;">
                      <v:stroke color="#000000" endarrow="open"/>
                    </v:shape>
                  </w:pict>
                </mc:Fallback>
              </mc:AlternateContent>
            </w:r>
            <w:r>
              <w:rPr>
                <w:rFonts w:hint="eastAsia"/>
                <w:bCs/>
                <w:color w:val="auto"/>
                <w:szCs w:val="21"/>
                <w:lang w:val="en-US" w:eastAsia="zh-CN"/>
              </w:rPr>
              <mc:AlternateContent>
                <mc:Choice Requires="wps">
                  <w:drawing>
                    <wp:anchor distT="0" distB="0" distL="114300" distR="114300" simplePos="0" relativeHeight="668" behindDoc="0" locked="0" layoutInCell="1" hidden="0" allowOverlap="1">
                      <wp:simplePos x="0" y="0"/>
                      <wp:positionH relativeFrom="column">
                        <wp:posOffset>2202814</wp:posOffset>
                      </wp:positionH>
                      <wp:positionV relativeFrom="paragraph">
                        <wp:posOffset>115570</wp:posOffset>
                      </wp:positionV>
                      <wp:extent cx="636905" cy="271779"/>
                      <wp:effectExtent l="4444" t="4444" r="6350" b="9525"/>
                      <wp:wrapNone/>
                      <wp:docPr id="97" name="文本框 97"/>
                      <wp:cNvGraphicFramePr>
                        <a:graphicFrameLocks noChangeAspect="0"/>
                      </wp:cNvGraphicFramePr>
                      <a:graphic>
                        <a:graphicData uri="http://schemas.microsoft.com/office/word/2010/wordprocessingShape">
                          <wps:wsp>
                            <wps:cNvSpPr/>
                            <wps:spPr>
                              <a:xfrm rot="0">
                                <a:off x="0" y="0"/>
                                <a:ext cx="636905" cy="271779"/>
                              </a:xfrm>
                              <a:prstGeom prst="rect"/>
                              <a:noFill/>
                              <a:ln w="6350" cmpd="sng" cap="flat">
                                <a:solidFill>
                                  <a:srgbClr val="000000"/>
                                </a:solidFill>
                                <a:prstDash val="solid"/>
                                <a:round/>
                              </a:ln>
                            </wps:spPr>
                            <wps:txbx id="410">
                              <w:txbxContent>
                                <w:p>
                                  <w:pPr>
                                    <w:ind w:left="0" w:firstLineChars="0" w:firstLine="0"/>
                                    <w:rPr>
                                      <w:rFonts w:eastAsia="宋体"/>
                                      <w:sz w:val="21"/>
                                      <w:szCs w:val="21"/>
                                      <w:lang w:val="en-US" w:eastAsia="zh-CN"/>
                                    </w:rPr>
                                  </w:pPr>
                                  <w:r>
                                    <w:rPr>
                                      <w:rFonts w:eastAsia="宋体" w:hint="eastAsia"/>
                                      <w:sz w:val="21"/>
                                      <w:szCs w:val="21"/>
                                      <w:lang w:val="en-US" w:eastAsia="zh-CN"/>
                                    </w:rPr>
                                    <w:t>搅拌机</w:t>
                                  </w:r>
                                </w:p>
                              </w:txbxContent>
                            </wps:txbx>
                            <wps:bodyPr vert="horz" wrap="square" lIns="91440" tIns="45720" rIns="91440" bIns="45720" anchor="t" anchorCtr="0" upright="0">
                              <a:noAutofit/>
                            </wps:bodyPr>
                          </wps:wsp>
                        </a:graphicData>
                      </a:graphic>
                    </wp:anchor>
                  </w:drawing>
                </mc:Choice>
                <mc:Fallback>
                  <w:pict>
                    <v:rect type="#_x0000_t1" id="文本框 97" o:spid="_x0000_s411" filled="f" stroked="t" strokeweight="0.5pt" style="position:absolute;margin-left:173.45pt;margin-top:9.1pt;width:50.15pt;height:21.4pt;z-index:668;mso-position-horizontal:absolute;mso-position-vertical:absolute;mso-wrap-style:square;">
                      <v:stroke color="#000000"/>
                      <v:textbox id="958"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搅拌机</w:t>
                            </w:r>
                          </w:p>
                        </w:txbxContent>
                      </v:textbox>
                    </v:rect>
                  </w:pict>
                </mc:Fallback>
              </mc:AlternateContent>
            </w:r>
            <w:r>
              <mc:AlternateContent>
                <mc:Choice Requires="wps">
                  <w:drawing>
                    <wp:anchor distT="0" distB="0" distL="114300" distR="114300" simplePos="0" relativeHeight="666" behindDoc="0" locked="0" layoutInCell="1" hidden="0" allowOverlap="1">
                      <wp:simplePos x="0" y="0"/>
                      <wp:positionH relativeFrom="column">
                        <wp:posOffset>1826895</wp:posOffset>
                      </wp:positionH>
                      <wp:positionV relativeFrom="paragraph">
                        <wp:posOffset>256540</wp:posOffset>
                      </wp:positionV>
                      <wp:extent cx="368935" cy="3809"/>
                      <wp:effectExtent l="0" t="49530" r="12064" b="60960"/>
                      <wp:wrapNone/>
                      <wp:docPr id="96" name="直接箭头连接符 96"/>
                      <wp:cNvGraphicFramePr>
                        <a:graphicFrameLocks noChangeAspect="0"/>
                      </wp:cNvGraphicFramePr>
                      <a:graphic>
                        <a:graphicData uri="http://schemas.microsoft.com/office/word/2010/wordprocessingShape">
                          <wps:wsp>
                            <wps:cNvSpPr/>
                            <wps:spPr>
                              <a:xfrm flipV="1" rot="21600000">
                                <a:off x="0" y="0"/>
                                <a:ext cx="368935" cy="3809"/>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96" o:spid="_x0000_s412" filled="f" stroked="t" style="position:absolute;margin-left:143.85pt;margin-top:20.200012pt;width:29.050003pt;height:0.29997253pt;flip:y;z-index:666;mso-position-horizontal:absolute;mso-position-vertical:absolute;">
                      <v:stroke color="#000000" endarrow="open"/>
                    </v:shape>
                  </w:pict>
                </mc:Fallback>
              </mc:AlternateContent>
            </w:r>
            <w:r>
              <w:rPr>
                <w:rFonts w:hint="eastAsia"/>
                <w:bCs/>
                <w:color w:val="auto"/>
                <w:szCs w:val="21"/>
                <w:lang w:val="en-US" w:eastAsia="zh-CN"/>
              </w:rPr>
              <mc:AlternateContent>
                <mc:Choice Requires="wps">
                  <w:drawing>
                    <wp:anchor distT="0" distB="0" distL="114300" distR="114300" simplePos="0" relativeHeight="664" behindDoc="0" locked="0" layoutInCell="1" hidden="0" allowOverlap="1">
                      <wp:simplePos x="0" y="0"/>
                      <wp:positionH relativeFrom="column">
                        <wp:posOffset>1385570</wp:posOffset>
                      </wp:positionH>
                      <wp:positionV relativeFrom="paragraph">
                        <wp:posOffset>118110</wp:posOffset>
                      </wp:positionV>
                      <wp:extent cx="608330" cy="271779"/>
                      <wp:wrapNone/>
                      <wp:docPr id="92" name="文本框 92"/>
                      <wp:cNvGraphicFramePr>
                        <a:graphicFrameLocks noChangeAspect="0"/>
                      </wp:cNvGraphicFramePr>
                      <a:graphic>
                        <a:graphicData uri="http://schemas.microsoft.com/office/word/2010/wordprocessingShape">
                          <wps:wsp>
                            <wps:cNvSpPr/>
                            <wps:spPr>
                              <a:xfrm rot="0">
                                <a:off x="0" y="0"/>
                                <a:ext cx="608330" cy="271779"/>
                              </a:xfrm>
                              <a:prstGeom prst="rect"/>
                              <a:noFill/>
                              <a:ln w="6350" cmpd="sng" cap="flat">
                                <a:noFill/>
                                <a:prstDash val="solid"/>
                                <a:round/>
                              </a:ln>
                            </wps:spPr>
                            <wps:txbx id="413">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wps:txbx>
                            <wps:bodyPr vert="horz" wrap="square" lIns="91440" tIns="45720" rIns="91440" bIns="45720" anchor="t" anchorCtr="0" upright="0">
                              <a:noAutofit/>
                            </wps:bodyPr>
                          </wps:wsp>
                        </a:graphicData>
                      </a:graphic>
                    </wp:anchor>
                  </w:drawing>
                </mc:Choice>
                <mc:Fallback>
                  <w:pict>
                    <v:rect type="#_x0000_t1" id="文本框 92" o:spid="_x0000_s414" filled="f" stroked="f" strokeweight="0.5pt" style="position:absolute;margin-left:109.100006pt;margin-top:9.3pt;width:47.9pt;height:21.4pt;z-index:664;mso-position-horizontal:absolute;mso-position-vertical:absolute;mso-wrap-style:square;">
                      <v:stroke/>
                      <v:textbox id="959"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v:textbox>
                    </v:rect>
                  </w:pict>
                </mc:Fallback>
              </mc:AlternateContent>
            </w:r>
          </w:p>
          <w:p>
            <w:pPr>
              <w:widowControl w:val="0"/>
              <w:spacing w:line="360" w:lineRule="auto"/>
              <w:jc w:val="center"/>
              <w:rPr>
                <w:rFonts w:hint="eastAsia"/>
                <w:bCs/>
                <w:color w:val="auto"/>
                <w:szCs w:val="21"/>
                <w:lang w:val="en-US" w:eastAsia="zh-CN"/>
              </w:rPr>
            </w:pPr>
          </w:p>
          <w:p>
            <w:pPr>
              <w:widowControl w:val="0"/>
              <w:spacing w:line="360" w:lineRule="auto"/>
              <w:jc w:val="center"/>
              <w:rPr>
                <w:rFonts w:ascii="Times New Roman" w:eastAsia="宋体" w:cs="Times New Roman" w:hAnsi="Times New Roman" w:hint="eastAsia"/>
                <w:b/>
                <w:color w:val="auto"/>
                <w:kern w:val="2"/>
                <w:sz w:val="24"/>
                <w:szCs w:val="21"/>
                <w:lang w:val="en-US" w:eastAsia="zh-CN" w:bidi="ar-SA"/>
              </w:rPr>
            </w:pPr>
            <w:r>
              <w:rPr>
                <w:rFonts w:ascii="Times New Roman" w:eastAsia="宋体" w:cs="Times New Roman" w:hAnsi="Times New Roman" w:hint="eastAsia"/>
                <w:b/>
                <w:color w:val="auto"/>
                <w:kern w:val="2"/>
                <w:sz w:val="24"/>
                <w:szCs w:val="21"/>
                <w:lang w:val="en-US" w:eastAsia="zh-CN" w:bidi="ar-SA"/>
              </w:rPr>
              <w:t>图2-</w:t>
            </w:r>
            <w:r>
              <w:rPr>
                <w:rFonts w:cs="Times New Roman" w:hint="eastAsia"/>
                <w:b/>
                <w:color w:val="auto"/>
                <w:kern w:val="2"/>
                <w:sz w:val="24"/>
                <w:szCs w:val="21"/>
                <w:lang w:val="en-US" w:eastAsia="zh-CN" w:bidi="ar-SA"/>
              </w:rPr>
              <w:t>8</w:t>
            </w:r>
            <w:r>
              <w:rPr>
                <w:rFonts w:ascii="Times New Roman" w:eastAsia="宋体" w:cs="Times New Roman" w:hAnsi="Times New Roman" w:hint="eastAsia"/>
                <w:b/>
                <w:color w:val="auto"/>
                <w:kern w:val="2"/>
                <w:sz w:val="24"/>
                <w:szCs w:val="21"/>
                <w:lang w:val="en-US" w:eastAsia="zh-CN" w:bidi="ar-SA"/>
              </w:rPr>
              <w:t xml:space="preserve"> 现有</w:t>
            </w:r>
            <w:r>
              <w:rPr>
                <w:rFonts w:cs="Times New Roman" w:hint="eastAsia"/>
                <w:b/>
                <w:color w:val="auto"/>
                <w:kern w:val="2"/>
                <w:sz w:val="24"/>
                <w:szCs w:val="21"/>
                <w:lang w:val="en-US" w:eastAsia="zh-CN" w:bidi="ar-SA"/>
              </w:rPr>
              <w:t>中微量元素混合车间粉末</w:t>
            </w:r>
            <w:r>
              <w:rPr>
                <w:rFonts w:ascii="Times New Roman" w:eastAsia="宋体" w:cs="Times New Roman" w:hAnsi="Times New Roman" w:hint="eastAsia"/>
                <w:b/>
                <w:color w:val="auto"/>
                <w:kern w:val="2"/>
                <w:sz w:val="24"/>
                <w:szCs w:val="21"/>
                <w:lang w:val="en-US" w:eastAsia="zh-CN" w:bidi="ar-SA"/>
              </w:rPr>
              <w:t>状原料工艺流程及排污节点图</w:t>
            </w:r>
          </w:p>
          <w:p>
            <w:pPr>
              <w:rPr>
                <w:rFonts w:ascii="Times New Roman" w:eastAsia="宋体" w:cs="Times New Roman" w:hAnsi="Times New Roman"/>
                <w:bCs/>
                <w:color w:val="auto"/>
                <w:szCs w:val="21"/>
                <w:lang w:val="en-US" w:eastAsia="zh-CN"/>
              </w:rPr>
            </w:pPr>
            <w:r>
              <w:rPr>
                <w:rFonts w:ascii="Times New Roman" w:eastAsia="宋体" w:cs="Times New Roman" w:hAnsi="Times New Roman" w:hint="eastAsia"/>
                <w:bCs/>
                <w:color w:val="auto"/>
                <w:szCs w:val="21"/>
                <w:lang w:val="en-US" w:eastAsia="zh-CN"/>
              </w:rPr>
              <w:t>（</w:t>
            </w:r>
            <w:r>
              <w:rPr>
                <w:rFonts w:ascii="Times New Roman" w:eastAsia="宋体" w:cs="Times New Roman" w:hAnsi="Times New Roman"/>
                <w:bCs/>
                <w:color w:val="auto"/>
                <w:szCs w:val="21"/>
                <w:lang w:val="en-US" w:eastAsia="zh-CN"/>
              </w:rPr>
              <w:t>1</w:t>
            </w:r>
            <w:r>
              <w:rPr>
                <w:rFonts w:ascii="Times New Roman" w:eastAsia="宋体" w:cs="Times New Roman" w:hAnsi="Times New Roman" w:hint="eastAsia"/>
                <w:bCs/>
                <w:color w:val="auto"/>
                <w:szCs w:val="21"/>
                <w:lang w:val="en-US" w:eastAsia="zh-CN"/>
              </w:rPr>
              <w:t>）粉末状中微量元素准备</w:t>
            </w:r>
          </w:p>
          <w:p>
            <w:pPr>
              <w:ind w:left="0" w:firstLineChars="200" w:firstLine="480"/>
              <w:rPr>
                <w:rFonts w:ascii="Times New Roman" w:eastAsia="宋体" w:cs="Times New Roman" w:hAnsi="Times New Roman" w:hint="eastAsia"/>
                <w:bCs/>
                <w:color w:val="auto"/>
                <w:szCs w:val="21"/>
                <w:lang w:val="en-US" w:eastAsia="zh-CN"/>
              </w:rPr>
            </w:pPr>
            <w:r>
              <w:rPr>
                <w:rFonts w:ascii="Times New Roman" w:eastAsia="宋体" w:cs="Times New Roman" w:hAnsi="Times New Roman" w:hint="eastAsia"/>
                <w:bCs/>
                <w:color w:val="auto"/>
                <w:szCs w:val="21"/>
                <w:lang w:val="en-US" w:eastAsia="zh-CN"/>
              </w:rPr>
              <w:t>外购的锌硼钙镁中微量元素（有粉末状、也有颗粒状），需要按特定比例进行混合。先将颗粒状的中微量元素经颗粒对辊破碎机破碎成粉末状原料，将按比例称量的中微量元素投入中微量元素粉状搅拌机充分搅拌，搅拌均匀后送至生产车间备用。</w:t>
            </w:r>
          </w:p>
          <w:p>
            <w:pPr>
              <w:rPr>
                <w:rFonts w:ascii="Times New Roman" w:eastAsia="宋体" w:cs="Times New Roman" w:hAnsi="Times New Roman" w:hint="eastAsia"/>
                <w:bCs/>
                <w:color w:val="auto"/>
                <w:szCs w:val="21"/>
                <w:lang w:val="en-US" w:eastAsia="zh-CN"/>
              </w:rPr>
            </w:pPr>
            <w:r>
              <w:rPr>
                <w:rFonts w:ascii="Times New Roman" w:eastAsia="宋体" w:cs="Times New Roman" w:hAnsi="Times New Roman" w:hint="eastAsia"/>
                <w:bCs/>
                <w:color w:val="auto"/>
                <w:szCs w:val="21"/>
                <w:lang w:val="en-US" w:eastAsia="zh-CN"/>
              </w:rPr>
              <w:t>（2）颗粒状中微量元素准备</w:t>
            </w:r>
          </w:p>
          <w:p>
            <w:pPr>
              <w:rPr>
                <w:rFonts w:ascii="Times New Roman" w:eastAsia="宋体" w:cs="Times New Roman" w:hAnsi="Times New Roman" w:hint="eastAsia"/>
                <w:bCs/>
                <w:color w:val="auto"/>
                <w:szCs w:val="21"/>
                <w:lang w:val="en-US" w:eastAsia="zh-CN"/>
              </w:rPr>
            </w:pPr>
            <w:r>
              <w:rPr>
                <w:rFonts w:ascii="Times New Roman" w:eastAsia="宋体" w:cs="Times New Roman" w:hAnsi="Times New Roman" w:hint="eastAsia"/>
                <w:bCs/>
                <w:color w:val="auto"/>
                <w:szCs w:val="21"/>
                <w:lang w:val="en-US" w:eastAsia="zh-CN"/>
              </w:rPr>
              <w:t>将外购的颗粒状中微量元素按一定比例称重后，送入封闭式颗粒混合搅拌机搅拌，混合完成后的中微量元素送至生产车间备用。</w:t>
            </w:r>
          </w:p>
          <w:p>
            <w:pPr>
              <w:widowControl w:val="0"/>
              <w:spacing w:line="240" w:lineRule="auto"/>
              <w:ind w:firstLineChars="0" w:firstLine="0"/>
              <w:jc w:val="center"/>
              <w:rPr>
                <w:rFonts w:ascii="Times New Roman" w:eastAsia="宋体" w:cs="Times New Roman" w:hAnsi="Times New Roman"/>
                <w:b/>
                <w:color w:val="auto"/>
                <w:kern w:val="2"/>
                <w:sz w:val="24"/>
                <w:szCs w:val="21"/>
                <w:lang w:val="en-US" w:eastAsia="zh-CN" w:bidi="ar-SA"/>
              </w:rPr>
            </w:pPr>
            <w:r>
              <w:rPr>
                <w:rFonts w:ascii="Times New Roman" w:eastAsia="宋体" w:cs="Times New Roman" w:hAnsi="Times New Roman"/>
                <w:b/>
                <w:color w:val="auto"/>
                <w:kern w:val="2"/>
                <w:sz w:val="24"/>
                <w:szCs w:val="21"/>
                <w:lang w:val="en-US" w:eastAsia="zh-CN" w:bidi="ar-SA"/>
              </w:rPr>
              <w:t>表2-</w:t>
            </w:r>
            <w:r>
              <w:rPr>
                <w:rFonts w:ascii="Times New Roman" w:eastAsia="宋体" w:cs="Times New Roman" w:hAnsi="Times New Roman" w:hint="eastAsia"/>
                <w:b/>
                <w:color w:val="auto"/>
                <w:kern w:val="2"/>
                <w:sz w:val="24"/>
                <w:szCs w:val="21"/>
                <w:lang w:val="en-US" w:eastAsia="zh-CN" w:bidi="ar-SA"/>
              </w:rPr>
              <w:t>1</w:t>
            </w:r>
            <w:r>
              <w:rPr>
                <w:rFonts w:cs="Times New Roman" w:hint="eastAsia"/>
                <w:b/>
                <w:color w:val="auto"/>
                <w:kern w:val="2"/>
                <w:sz w:val="24"/>
                <w:szCs w:val="21"/>
                <w:lang w:val="en-US" w:eastAsia="zh-CN" w:bidi="ar-SA"/>
              </w:rPr>
              <w:t>3</w:t>
            </w:r>
            <w:r>
              <w:rPr>
                <w:rFonts w:ascii="Times New Roman" w:eastAsia="宋体" w:cs="Times New Roman" w:hAnsi="Times New Roman"/>
                <w:b/>
                <w:color w:val="auto"/>
                <w:kern w:val="2"/>
                <w:sz w:val="24"/>
                <w:szCs w:val="21"/>
                <w:lang w:val="en-US" w:eastAsia="zh-CN" w:bidi="ar-SA"/>
              </w:rPr>
              <w:t xml:space="preserve"> </w:t>
            </w:r>
            <w:r>
              <w:rPr>
                <w:rFonts w:ascii="Times New Roman" w:eastAsia="宋体" w:cs="Times New Roman" w:hAnsi="Times New Roman" w:hint="eastAsia"/>
                <w:b/>
                <w:color w:val="auto"/>
                <w:kern w:val="2"/>
                <w:sz w:val="24"/>
                <w:szCs w:val="21"/>
                <w:lang w:val="en-US" w:eastAsia="zh-CN" w:bidi="ar-SA"/>
              </w:rPr>
              <w:t xml:space="preserve"> 排污</w:t>
            </w:r>
            <w:r>
              <w:rPr>
                <w:rFonts w:ascii="Times New Roman" w:eastAsia="宋体" w:cs="Times New Roman" w:hAnsi="Times New Roman"/>
                <w:b/>
                <w:color w:val="auto"/>
                <w:kern w:val="2"/>
                <w:sz w:val="24"/>
                <w:szCs w:val="21"/>
                <w:lang w:val="en-US" w:eastAsia="zh-CN" w:bidi="ar-SA"/>
              </w:rPr>
              <w:t>节点及处理方式一览表</w:t>
            </w:r>
          </w:p>
          <w:tbl>
            <w:tblPr>
              <w:tblpPr w:leftFromText="180" w:rightFromText="180" w:vertAnchor="text" w:tblpXSpec="left" w:tblpY="1"/>
              <w:tblOverlap w:val="never"/>
              <w:tblW w:w="8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668"/>
              <w:gridCol w:w="843"/>
              <w:gridCol w:w="1337"/>
              <w:gridCol w:w="1672"/>
              <w:gridCol w:w="901"/>
              <w:gridCol w:w="2936"/>
            </w:tblGrid>
            <w:tr>
              <w:trPr>
                <w:trHeight w:val="23"/>
              </w:trPr>
              <w:tc>
                <w:tcPr>
                  <w:tcW w:w="668"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类型</w:t>
                  </w:r>
                </w:p>
              </w:tc>
              <w:tc>
                <w:tcPr>
                  <w:tcW w:w="843"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序号</w:t>
                  </w:r>
                </w:p>
              </w:tc>
              <w:tc>
                <w:tcPr>
                  <w:tcW w:w="1337"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产生工序</w:t>
                  </w:r>
                </w:p>
              </w:tc>
              <w:tc>
                <w:tcPr>
                  <w:tcW w:w="1672"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污染物</w:t>
                  </w:r>
                </w:p>
              </w:tc>
              <w:tc>
                <w:tcPr>
                  <w:tcW w:w="901"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排放</w:t>
                  </w:r>
                </w:p>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特征</w:t>
                  </w:r>
                </w:p>
              </w:tc>
              <w:tc>
                <w:tcPr>
                  <w:tcW w:w="2936"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治理措施</w:t>
                  </w:r>
                </w:p>
              </w:tc>
            </w:tr>
            <w:tr>
              <w:trPr>
                <w:trHeight w:val="23"/>
              </w:trPr>
              <w:tc>
                <w:tcPr>
                  <w:tcW w:w="668" w:type="dxa"/>
                  <w:vMerge w:val="restart"/>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废气</w:t>
                  </w: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G1</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投料废气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连续</w:t>
                  </w:r>
                </w:p>
              </w:tc>
              <w:tc>
                <w:tcPr>
                  <w:tcW w:w="2936" w:type="dxa"/>
                  <w:vMerge w:val="restart"/>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集气罩+管道+袋式</w:t>
                  </w:r>
                  <w:r>
                    <w:rPr>
                      <w:rFonts w:ascii="Times New Roman" w:eastAsia="宋体" w:cs="Times New Roman" w:hAnsi="Times New Roman" w:hint="eastAsia"/>
                      <w:color w:val="auto"/>
                      <w:kern w:val="0"/>
                      <w:sz w:val="21"/>
                      <w:szCs w:val="24"/>
                      <w:lang w:val="en-US" w:eastAsia="zh-CN" w:bidi="ar-SA"/>
                    </w:rPr>
                    <w:t>除尘器（TA001）+15m排气筒</w:t>
                  </w:r>
                  <w:r>
                    <w:rPr>
                      <w:rFonts w:cs="Times New Roman" w:hint="eastAsia"/>
                      <w:color w:val="auto"/>
                      <w:kern w:val="0"/>
                      <w:sz w:val="21"/>
                      <w:szCs w:val="24"/>
                      <w:lang w:val="en-US" w:eastAsia="zh-CN" w:bidi="ar-SA"/>
                    </w:rPr>
                    <w:t>P</w:t>
                  </w:r>
                  <w:r>
                    <w:rPr>
                      <w:rFonts w:ascii="Times New Roman" w:eastAsia="宋体" w:cs="Times New Roman" w:hAnsi="Times New Roman" w:hint="eastAsia"/>
                      <w:color w:val="auto"/>
                      <w:kern w:val="0"/>
                      <w:sz w:val="21"/>
                      <w:szCs w:val="24"/>
                      <w:lang w:val="en-US" w:eastAsia="zh-CN" w:bidi="ar-SA"/>
                    </w:rPr>
                    <w:t>1</w:t>
                  </w:r>
                </w:p>
              </w:tc>
            </w:tr>
            <w:tr>
              <w:trPr>
                <w:trHeight w:val="23"/>
              </w:trPr>
              <w:tc>
                <w:tcPr>
                  <w:tcW w:w="668" w:type="dxa"/>
                  <w:vMerge/>
                  <w:vAlign w:val="center"/>
                </w:tcPr>
                <w:p/>
              </w:tc>
              <w:tc>
                <w:tcPr>
                  <w:tcW w:w="843" w:type="dxa"/>
                  <w:tcBorders>
                    <w:left w:val="single" w:sz="6" w:space="0" w:color="000000"/>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G2</w:t>
                  </w:r>
                </w:p>
              </w:tc>
              <w:tc>
                <w:tcPr>
                  <w:tcW w:w="1337" w:type="dxa"/>
                  <w:tcBorders>
                    <w:bottom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破碎</w:t>
                  </w:r>
                  <w:r>
                    <w:rPr>
                      <w:rFonts w:ascii="Times New Roman" w:eastAsia="宋体" w:cs="Times New Roman" w:hAnsi="Times New Roman" w:hint="eastAsia"/>
                      <w:color w:val="auto"/>
                      <w:kern w:val="0"/>
                      <w:sz w:val="21"/>
                      <w:szCs w:val="24"/>
                      <w:lang w:val="en-US" w:eastAsia="zh-CN" w:bidi="ar-SA"/>
                    </w:rPr>
                    <w:t>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843" w:type="dxa"/>
                  <w:tcBorders>
                    <w:left w:val="single" w:sz="6" w:space="0" w:color="000000"/>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G3</w:t>
                  </w:r>
                </w:p>
              </w:tc>
              <w:tc>
                <w:tcPr>
                  <w:tcW w:w="1337" w:type="dxa"/>
                  <w:tcBorders>
                    <w:bottom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搅拌废气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w:t>
                  </w:r>
                  <w:r>
                    <w:rPr>
                      <w:rFonts w:cs="Times New Roman" w:hint="eastAsia"/>
                      <w:color w:val="auto"/>
                      <w:kern w:val="0"/>
                      <w:sz w:val="21"/>
                      <w:szCs w:val="24"/>
                      <w:lang w:val="en-US" w:eastAsia="zh-CN" w:bidi="ar-SA"/>
                    </w:rPr>
                    <w:t>4</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投料废气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w:t>
                  </w:r>
                  <w:r>
                    <w:rPr>
                      <w:rFonts w:cs="Times New Roman" w:hint="eastAsia"/>
                      <w:color w:val="auto"/>
                      <w:kern w:val="0"/>
                      <w:sz w:val="21"/>
                      <w:szCs w:val="24"/>
                      <w:lang w:val="en-US" w:eastAsia="zh-CN" w:bidi="ar-SA"/>
                    </w:rPr>
                    <w:t>5</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搅拌废气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连续</w:t>
                  </w:r>
                </w:p>
              </w:tc>
              <w:tc>
                <w:tcPr>
                  <w:tcW w:w="2936" w:type="dxa"/>
                  <w:vMerge/>
                  <w:tcBorders>
                    <w:bottom w:val="single" w:sz="4" w:space="0" w:color="auto"/>
                  </w:tcBorders>
                  <w:vAlign w:val="center"/>
                </w:tcPr>
                <w:p/>
              </w:tc>
            </w:tr>
            <w:tr>
              <w:trPr>
                <w:trHeight w:val="23"/>
              </w:trPr>
              <w:tc>
                <w:tcPr>
                  <w:tcW w:w="668" w:type="dxa"/>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固体废物</w:t>
                  </w:r>
                </w:p>
              </w:tc>
              <w:tc>
                <w:tcPr>
                  <w:tcW w:w="843" w:type="dxa"/>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S</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cs="Times New Roman" w:hint="eastAsia"/>
                      <w:color w:val="auto"/>
                      <w:kern w:val="2"/>
                      <w:sz w:val="21"/>
                      <w:szCs w:val="21"/>
                      <w:lang w:val="en-US" w:eastAsia="zh-CN" w:bidi="ar-SA"/>
                    </w:rPr>
                    <w:t>治理设施</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除尘灰</w:t>
                  </w:r>
                </w:p>
              </w:tc>
              <w:tc>
                <w:tcPr>
                  <w:tcW w:w="901"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间断</w:t>
                  </w:r>
                </w:p>
              </w:tc>
              <w:tc>
                <w:tcPr>
                  <w:tcW w:w="2936"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回用于生产</w:t>
                  </w:r>
                </w:p>
              </w:tc>
            </w:tr>
          </w:tbl>
          <w:p>
            <w:pPr>
              <w:widowControl w:val="0"/>
              <w:spacing w:line="360" w:lineRule="auto"/>
              <w:jc w:val="both"/>
              <w:rPr>
                <w:rFonts w:hint="eastAsia"/>
                <w:bCs/>
                <w:color w:val="auto"/>
                <w:szCs w:val="21"/>
                <w:lang w:val="en-US" w:eastAsia="zh-CN"/>
              </w:rPr>
            </w:pPr>
          </w:p>
          <w:p>
            <w:pPr>
              <w:widowControl w:val="0"/>
              <w:spacing w:line="360" w:lineRule="auto"/>
              <w:jc w:val="both"/>
              <w:rPr>
                <w:bCs/>
                <w:color w:val="auto"/>
                <w:szCs w:val="21"/>
                <w:lang w:val="en-US" w:eastAsia="zh-CN"/>
              </w:rPr>
            </w:pPr>
            <w:r>
              <w:rPr>
                <w:rFonts w:hint="eastAsia"/>
                <w:bCs/>
                <w:color w:val="auto"/>
                <w:szCs w:val="21"/>
                <w:lang w:val="en-US" w:eastAsia="zh-CN"/>
              </w:rPr>
              <w:t>挤压造粒生产线：</w:t>
            </w:r>
          </w:p>
          <w:p>
            <w:pPr>
              <w:jc w:val="center"/>
              <w:rPr>
                <w:rFonts w:hint="eastAsia"/>
                <w:bCs/>
                <w:color w:val="auto"/>
                <w:szCs w:val="21"/>
                <w:lang w:val="en-US" w:eastAsia="zh-CN"/>
              </w:rPr>
            </w:pPr>
            <w:r>
              <w:rPr>
                <w:rFonts w:hint="eastAsia"/>
                <w:bCs/>
                <w:color w:val="auto"/>
                <w:szCs w:val="21"/>
                <w:lang w:val="en-US" w:eastAsia="zh-CN"/>
              </w:rPr>
              <w:drawing>
                <wp:inline distT="0" distB="0" distL="114300" distR="114300">
                  <wp:extent cx="3378200" cy="6601459"/>
                  <wp:effectExtent l="0" t="0" r="1" b="2"/>
                  <wp:docPr id="1047" name="图片 12"/>
                  <wp:cNvGraphicFramePr>
                    <a:graphicFrameLocks noChangeAspect="1"/>
                  </wp:cNvGraphicFramePr>
                  <a:graphic>
                    <a:graphicData uri="http://schemas.openxmlformats.org/drawingml/2006/picture">
                      <pic:pic>
                        <pic:nvPicPr>
                          <pic:cNvPr id="416" name="图片 12 416"/>
                          <pic:cNvPicPr/>
                        </pic:nvPicPr>
                        <pic:blipFill>
                          <a:blip r:embed="rId18"/>
                          <a:stretch>
                            <a:fillRect/>
                          </a:stretch>
                        </pic:blipFill>
                        <pic:spPr>
                          <a:xfrm rot="0">
                            <a:off x="0" y="0"/>
                            <a:ext cx="3378200" cy="6601459"/>
                          </a:xfrm>
                          <a:prstGeom prst="rect"/>
                          <a:noFill/>
                          <a:ln cmpd="sng" cap="flat">
                            <a:noFill/>
                            <a:prstDash val="solid"/>
                            <a:round/>
                          </a:ln>
                        </pic:spPr>
                      </pic:pic>
                    </a:graphicData>
                  </a:graphic>
                </wp:inline>
              </w:drawing>
            </w:r>
          </w:p>
          <w:p>
            <w:pPr>
              <w:jc w:val="center"/>
              <w:rPr>
                <w:rFonts w:hint="eastAsia"/>
                <w:bCs/>
                <w:color w:val="auto"/>
                <w:szCs w:val="21"/>
                <w:lang w:val="en-US" w:eastAsia="zh-CN"/>
              </w:rPr>
            </w:pPr>
            <w:r>
              <w:rPr>
                <w:rFonts w:hint="eastAsia"/>
                <w:bCs/>
                <w:color w:val="auto"/>
                <w:szCs w:val="21"/>
                <w:lang w:val="en-US" w:eastAsia="zh-CN"/>
              </w:rPr>
              <w:t xml:space="preserve">                           图例：G 废气、N 噪声、W 废水、S 固废</w:t>
            </w:r>
          </w:p>
          <w:p>
            <w:pPr>
              <w:widowControl w:val="0"/>
              <w:spacing w:line="240" w:lineRule="auto"/>
              <w:ind w:firstLineChars="0" w:firstLine="0"/>
              <w:jc w:val="center"/>
              <w:rPr>
                <w:rFonts w:hint="eastAsia"/>
                <w:bCs/>
                <w:color w:val="auto"/>
                <w:szCs w:val="21"/>
                <w:lang w:val="en-US" w:eastAsia="zh-CN"/>
              </w:rPr>
            </w:pPr>
            <w:r>
              <w:rPr>
                <w:rFonts w:ascii="Times New Roman" w:eastAsia="宋体" w:cs="Times New Roman" w:hAnsi="Times New Roman" w:hint="eastAsia"/>
                <w:b/>
                <w:color w:val="auto"/>
                <w:kern w:val="2"/>
                <w:sz w:val="24"/>
                <w:szCs w:val="21"/>
                <w:lang w:val="en-US" w:eastAsia="zh-CN" w:bidi="ar-SA"/>
              </w:rPr>
              <w:t>图2-</w:t>
            </w:r>
            <w:r>
              <w:rPr>
                <w:rFonts w:cs="Times New Roman" w:hint="eastAsia"/>
                <w:b/>
                <w:color w:val="auto"/>
                <w:kern w:val="2"/>
                <w:sz w:val="24"/>
                <w:szCs w:val="21"/>
                <w:lang w:val="en-US" w:eastAsia="zh-CN" w:bidi="ar-SA"/>
              </w:rPr>
              <w:t>9</w:t>
            </w:r>
            <w:r>
              <w:rPr>
                <w:rFonts w:ascii="Times New Roman" w:eastAsia="宋体" w:cs="Times New Roman" w:hAnsi="Times New Roman" w:hint="eastAsia"/>
                <w:b/>
                <w:color w:val="auto"/>
                <w:kern w:val="2"/>
                <w:sz w:val="24"/>
                <w:szCs w:val="21"/>
                <w:lang w:val="en-US" w:eastAsia="zh-CN" w:bidi="ar-SA"/>
              </w:rPr>
              <w:t xml:space="preserve">  现有挤压造粒生产线工艺流程及排污节点图</w:t>
            </w:r>
          </w:p>
          <w:p>
            <w:pPr>
              <w:rPr>
                <w:rFonts w:hint="eastAsia"/>
                <w:bCs/>
                <w:color w:val="auto"/>
                <w:szCs w:val="21"/>
              </w:rPr>
            </w:pPr>
            <w:r>
              <w:rPr>
                <w:rFonts w:hint="eastAsia"/>
                <w:bCs/>
                <w:color w:val="auto"/>
                <w:szCs w:val="21"/>
                <w:lang w:val="en-US" w:eastAsia="zh-CN"/>
              </w:rPr>
              <w:t xml:space="preserve">（1）原料抽样检测 </w:t>
            </w:r>
          </w:p>
          <w:p>
            <w:pPr>
              <w:rPr>
                <w:rFonts w:hint="eastAsia"/>
                <w:bCs/>
                <w:color w:val="auto"/>
                <w:szCs w:val="21"/>
              </w:rPr>
            </w:pPr>
            <w:r>
              <w:rPr>
                <w:rFonts w:hint="eastAsia"/>
                <w:bCs/>
                <w:color w:val="auto"/>
                <w:szCs w:val="21"/>
                <w:lang w:val="en-US" w:eastAsia="zh-CN"/>
              </w:rPr>
              <w:t>外购粉末状原料抽样送至厂区化验室检测主要元素及成份含量是否达到产品标准和生产要求。</w:t>
            </w:r>
          </w:p>
          <w:p>
            <w:pPr>
              <w:rPr>
                <w:rFonts w:hint="eastAsia"/>
                <w:bCs/>
                <w:color w:val="auto"/>
                <w:szCs w:val="21"/>
              </w:rPr>
            </w:pPr>
            <w:r>
              <w:rPr>
                <w:rFonts w:hint="eastAsia"/>
                <w:bCs/>
                <w:color w:val="auto"/>
                <w:szCs w:val="21"/>
                <w:lang w:val="en-US" w:eastAsia="zh-CN"/>
              </w:rPr>
              <w:t>（2）原辅料准备阶段（投料、第一次破碎、混合搅拌、第二次破碎4道工序简称为“原辅料准备阶段”）</w:t>
            </w:r>
          </w:p>
          <w:p>
            <w:pPr>
              <w:rPr>
                <w:rFonts w:hint="eastAsia"/>
                <w:bCs/>
                <w:color w:val="auto"/>
                <w:szCs w:val="21"/>
              </w:rPr>
            </w:pPr>
            <w:r>
              <w:rPr>
                <w:rFonts w:hint="eastAsia"/>
                <w:bCs/>
                <w:color w:val="auto"/>
                <w:szCs w:val="21"/>
                <w:lang w:val="en-US" w:eastAsia="zh-CN"/>
              </w:rPr>
              <w:t>中微量元素由人工投入投料装置投料口升级改造为3台中微量元素给料机投入投料装置投料口。本次技改项目中微量元素投料量不变，产生的污染物不变。3台中微量元素给料机产生的废气通过“集气罩+软帘”收集，收集后与粉末状原料废气合并。原料由投料装置进入密闭的传送带装置传送至密闭式原料破碎机，破碎机对大颗粒的原辅料进行第一次破碎，破碎后的原辅料经密闭的提升机提升至密闭的传送带，经密闭的传送带传送至密闭式混合送料装置加水搅拌增加湿度，混合后的物料经传送带传送至密闭式破碎机进行第二次破碎，破碎后的物料经传送带转送至密闭式喂料机，准备进入造粒工序。</w:t>
            </w:r>
          </w:p>
          <w:p>
            <w:pPr>
              <w:rPr>
                <w:rFonts w:hint="eastAsia"/>
                <w:bCs/>
                <w:color w:val="auto"/>
                <w:szCs w:val="21"/>
              </w:rPr>
            </w:pPr>
            <w:r>
              <w:rPr>
                <w:rFonts w:hint="eastAsia"/>
                <w:bCs/>
                <w:color w:val="auto"/>
                <w:szCs w:val="21"/>
                <w:lang w:val="en-US" w:eastAsia="zh-CN"/>
              </w:rPr>
              <w:t xml:space="preserve">（3）挤压造粒及第一次筛分工序 </w:t>
            </w:r>
          </w:p>
          <w:p>
            <w:pPr>
              <w:rPr>
                <w:rFonts w:hint="eastAsia"/>
                <w:bCs/>
                <w:color w:val="auto"/>
                <w:szCs w:val="21"/>
              </w:rPr>
            </w:pPr>
            <w:r>
              <w:rPr>
                <w:rFonts w:hint="eastAsia"/>
                <w:bCs/>
                <w:color w:val="auto"/>
                <w:szCs w:val="21"/>
                <w:lang w:val="en-US" w:eastAsia="zh-CN"/>
              </w:rPr>
              <w:t>原辅料在密闭式喂料机中再一次进行搅拌混合，搅拌均匀后的物料经管路 进入两排12台造粒机造粒，项目造粒机为物理挤压造粒，且12台造粒机设备整体密封。造粒机产生的颗粒状产品经密闭的传送带装置传送至密闭式筛分机，进行第一次筛分。合格的产品经密闭的传送带传送至密闭式烘干设备进行烘干，不合格的产品经另外一条密闭的传送带传送至密闭式破碎机进行破碎回用。</w:t>
            </w:r>
          </w:p>
          <w:p>
            <w:pPr>
              <w:rPr>
                <w:rFonts w:hint="eastAsia"/>
                <w:bCs/>
                <w:color w:val="auto"/>
                <w:szCs w:val="21"/>
              </w:rPr>
            </w:pPr>
            <w:r>
              <w:rPr>
                <w:rFonts w:hint="eastAsia"/>
                <w:bCs/>
                <w:color w:val="auto"/>
                <w:szCs w:val="21"/>
                <w:lang w:val="en-US" w:eastAsia="zh-CN"/>
              </w:rPr>
              <w:t xml:space="preserve">（4）烘干工序 </w:t>
            </w:r>
          </w:p>
          <w:p>
            <w:pPr>
              <w:rPr>
                <w:rFonts w:hint="eastAsia"/>
                <w:bCs/>
                <w:color w:val="auto"/>
                <w:szCs w:val="21"/>
              </w:rPr>
            </w:pPr>
            <w:r>
              <w:rPr>
                <w:rFonts w:hint="eastAsia"/>
                <w:bCs/>
                <w:color w:val="auto"/>
                <w:szCs w:val="21"/>
                <w:lang w:val="en-US" w:eastAsia="zh-CN"/>
              </w:rPr>
              <w:t>筛分合格的颗粒状产品经密闭的传送带传送至密闭式烘干机，与烘干机连接的天然气热风炉为烘干机提供加热后的燃烧烟气和空气。产品在烘干机中烘干将含水量降至2%以下，烘干机进料口温度为150℃左右，出料口温度为60℃左右。</w:t>
            </w:r>
          </w:p>
          <w:p>
            <w:pPr>
              <w:rPr>
                <w:rFonts w:hint="eastAsia"/>
                <w:bCs/>
                <w:color w:val="auto"/>
                <w:szCs w:val="21"/>
              </w:rPr>
            </w:pPr>
            <w:r>
              <w:rPr>
                <w:rFonts w:hint="eastAsia"/>
                <w:bCs/>
                <w:color w:val="auto"/>
                <w:szCs w:val="21"/>
                <w:lang w:val="en-US" w:eastAsia="zh-CN"/>
              </w:rPr>
              <w:t xml:space="preserve">（5）冷却工序 </w:t>
            </w:r>
          </w:p>
          <w:p>
            <w:pPr>
              <w:rPr>
                <w:rFonts w:hint="eastAsia"/>
                <w:bCs/>
                <w:color w:val="auto"/>
                <w:szCs w:val="21"/>
              </w:rPr>
            </w:pPr>
            <w:r>
              <w:rPr>
                <w:rFonts w:hint="eastAsia"/>
                <w:bCs/>
                <w:color w:val="auto"/>
                <w:szCs w:val="21"/>
                <w:lang w:val="en-US" w:eastAsia="zh-CN"/>
              </w:rPr>
              <w:t>产品经密闭式烘干机烘干后进入密闭式冷却机冷却处理，冷却机使用常温 空气对烘干后的产品进行冷却处理，冷却机出料口温度为40℃左右。</w:t>
            </w:r>
          </w:p>
          <w:p>
            <w:pPr>
              <w:rPr>
                <w:rFonts w:hint="eastAsia"/>
                <w:bCs/>
                <w:color w:val="auto"/>
                <w:szCs w:val="21"/>
              </w:rPr>
            </w:pPr>
            <w:r>
              <w:rPr>
                <w:rFonts w:hint="eastAsia"/>
                <w:bCs/>
                <w:color w:val="auto"/>
                <w:szCs w:val="21"/>
                <w:lang w:val="en-US" w:eastAsia="zh-CN"/>
              </w:rPr>
              <w:t xml:space="preserve">（6）筛分、抛光、装袋工序 </w:t>
            </w:r>
          </w:p>
          <w:p>
            <w:pPr>
              <w:rPr>
                <w:rFonts w:hint="eastAsia"/>
                <w:bCs/>
                <w:color w:val="auto"/>
                <w:szCs w:val="21"/>
              </w:rPr>
            </w:pPr>
            <w:r>
              <w:rPr>
                <w:rFonts w:hint="eastAsia"/>
                <w:bCs/>
                <w:color w:val="auto"/>
                <w:szCs w:val="21"/>
                <w:lang w:val="en-US" w:eastAsia="zh-CN"/>
              </w:rPr>
              <w:t>冷却后的物料经密闭提升机进入密闭的筛分机进行第二次筛分，合格的 产品经密闭的传送带传送至进入抛光机抛光，抛光后经密闭的传送带传送至装 袋机装袋待用；不合格的物料经另外一条密闭的传送带传送至破碎机进行破碎 重新造粒。装袋过程会对产品抽样送至化验室化验，检测产品是否合格。</w:t>
            </w:r>
          </w:p>
          <w:p>
            <w:pPr>
              <w:rPr>
                <w:rFonts w:hint="eastAsia"/>
                <w:bCs/>
                <w:color w:val="auto"/>
                <w:szCs w:val="21"/>
              </w:rPr>
            </w:pPr>
            <w:r>
              <w:rPr>
                <w:rFonts w:hint="eastAsia"/>
                <w:bCs/>
                <w:color w:val="auto"/>
                <w:szCs w:val="21"/>
                <w:lang w:val="en-US" w:eastAsia="zh-CN"/>
              </w:rPr>
              <w:t xml:space="preserve">（7）码垛、入库待用工序 </w:t>
            </w:r>
          </w:p>
          <w:p>
            <w:pPr>
              <w:rPr>
                <w:rFonts w:hint="eastAsia"/>
                <w:bCs/>
                <w:color w:val="auto"/>
                <w:szCs w:val="21"/>
                <w:lang w:val="en-US" w:eastAsia="zh-CN"/>
              </w:rPr>
            </w:pPr>
            <w:r>
              <w:rPr>
                <w:rFonts w:hint="eastAsia"/>
                <w:bCs/>
                <w:color w:val="auto"/>
                <w:szCs w:val="21"/>
                <w:lang w:val="en-US" w:eastAsia="zh-CN"/>
              </w:rPr>
              <w:t>装袋的产品会由 1 台机器人自动码垛机进行码垛，码垛好的成品由叉车运 送入库等待复混肥生产线使用。</w:t>
            </w:r>
          </w:p>
          <w:p>
            <w:pPr>
              <w:pStyle w:val="40"/>
              <w:rPr>
                <w:color w:val="auto"/>
              </w:rPr>
            </w:pPr>
            <w:r>
              <w:rPr>
                <w:color w:val="auto"/>
              </w:rPr>
              <w:t>表2-</w:t>
            </w:r>
            <w:r>
              <w:rPr>
                <w:rFonts w:hint="eastAsia"/>
                <w:color w:val="auto"/>
                <w:lang w:val="en-US" w:eastAsia="zh-CN"/>
              </w:rPr>
              <w:t>14</w:t>
            </w:r>
            <w:r>
              <w:rPr>
                <w:color w:val="auto"/>
              </w:rPr>
              <w:t xml:space="preserve"> </w:t>
            </w:r>
            <w:r>
              <w:rPr>
                <w:rFonts w:hint="eastAsia"/>
                <w:color w:val="auto"/>
              </w:rPr>
              <w:t xml:space="preserve"> 排污</w:t>
            </w:r>
            <w:r>
              <w:rPr>
                <w:color w:val="auto"/>
              </w:rPr>
              <w:t>节点及处理方式一览表</w:t>
            </w:r>
          </w:p>
          <w:tbl>
            <w:tblPr>
              <w:tblpPr w:leftFromText="180" w:rightFromText="180" w:vertAnchor="text" w:tblpXSpec="left" w:tblpY="1"/>
              <w:tblOverlap w:val="never"/>
              <w:tblW w:w="8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668"/>
              <w:gridCol w:w="664"/>
              <w:gridCol w:w="1516"/>
              <w:gridCol w:w="1672"/>
              <w:gridCol w:w="901"/>
              <w:gridCol w:w="2936"/>
            </w:tblGrid>
            <w:tr>
              <w:trPr>
                <w:trHeight w:val="23"/>
              </w:trPr>
              <w:tc>
                <w:tcPr>
                  <w:tcW w:w="668" w:type="dxa"/>
                  <w:vAlign w:val="center"/>
                </w:tcPr>
                <w:p>
                  <w:pPr>
                    <w:pStyle w:val="39"/>
                    <w:rPr>
                      <w:rFonts w:eastAsia="宋体"/>
                      <w:color w:val="auto"/>
                      <w:kern w:val="2"/>
                      <w:szCs w:val="21"/>
                      <w:lang w:val="en-US" w:eastAsia="zh-CN"/>
                    </w:rPr>
                  </w:pPr>
                  <w:r>
                    <w:rPr>
                      <w:rFonts w:hint="eastAsia"/>
                      <w:color w:val="auto"/>
                      <w:kern w:val="2"/>
                      <w:szCs w:val="21"/>
                      <w:lang w:val="en-US" w:eastAsia="zh-CN"/>
                    </w:rPr>
                    <w:t>项目</w:t>
                  </w:r>
                </w:p>
              </w:tc>
              <w:tc>
                <w:tcPr>
                  <w:tcW w:w="664" w:type="dxa"/>
                  <w:vAlign w:val="center"/>
                </w:tcPr>
                <w:p>
                  <w:pPr>
                    <w:pStyle w:val="39"/>
                    <w:rPr>
                      <w:color w:val="auto"/>
                      <w:kern w:val="2"/>
                      <w:szCs w:val="21"/>
                    </w:rPr>
                  </w:pPr>
                  <w:r>
                    <w:rPr>
                      <w:rFonts w:hint="eastAsia"/>
                      <w:color w:val="auto"/>
                    </w:rPr>
                    <w:t>序号</w:t>
                  </w:r>
                </w:p>
              </w:tc>
              <w:tc>
                <w:tcPr>
                  <w:tcW w:w="1516" w:type="dxa"/>
                  <w:vAlign w:val="center"/>
                </w:tcPr>
                <w:p>
                  <w:pPr>
                    <w:pStyle w:val="39"/>
                    <w:rPr>
                      <w:color w:val="auto"/>
                      <w:kern w:val="2"/>
                      <w:szCs w:val="21"/>
                    </w:rPr>
                  </w:pPr>
                  <w:r>
                    <w:rPr>
                      <w:rFonts w:hint="eastAsia"/>
                      <w:color w:val="auto"/>
                    </w:rPr>
                    <w:t>污染源</w:t>
                  </w:r>
                </w:p>
              </w:tc>
              <w:tc>
                <w:tcPr>
                  <w:tcW w:w="1672" w:type="dxa"/>
                  <w:vAlign w:val="center"/>
                </w:tcPr>
                <w:p>
                  <w:pPr>
                    <w:pStyle w:val="39"/>
                    <w:rPr>
                      <w:color w:val="auto"/>
                      <w:kern w:val="2"/>
                      <w:szCs w:val="21"/>
                    </w:rPr>
                  </w:pPr>
                  <w:r>
                    <w:rPr>
                      <w:rFonts w:hint="eastAsia"/>
                      <w:color w:val="auto"/>
                    </w:rPr>
                    <w:t>污染物</w:t>
                  </w:r>
                </w:p>
              </w:tc>
              <w:tc>
                <w:tcPr>
                  <w:tcW w:w="901" w:type="dxa"/>
                  <w:vAlign w:val="center"/>
                </w:tcPr>
                <w:p>
                  <w:pPr>
                    <w:pStyle w:val="39"/>
                    <w:rPr>
                      <w:color w:val="auto"/>
                    </w:rPr>
                  </w:pPr>
                  <w:r>
                    <w:rPr>
                      <w:rFonts w:hint="eastAsia"/>
                      <w:color w:val="auto"/>
                    </w:rPr>
                    <w:t>排放</w:t>
                  </w:r>
                </w:p>
                <w:p>
                  <w:pPr>
                    <w:pStyle w:val="39"/>
                    <w:rPr>
                      <w:rFonts w:eastAsia="宋体" w:hint="eastAsia"/>
                      <w:color w:val="auto"/>
                      <w:kern w:val="2"/>
                      <w:szCs w:val="21"/>
                      <w:lang w:eastAsia="zh-CN"/>
                    </w:rPr>
                  </w:pPr>
                  <w:r>
                    <w:rPr>
                      <w:rFonts w:hint="eastAsia"/>
                      <w:color w:val="auto"/>
                      <w:lang w:val="en-US" w:eastAsia="zh-CN"/>
                    </w:rPr>
                    <w:t>特征</w:t>
                  </w:r>
                </w:p>
              </w:tc>
              <w:tc>
                <w:tcPr>
                  <w:tcW w:w="2936" w:type="dxa"/>
                  <w:vAlign w:val="center"/>
                </w:tcPr>
                <w:p>
                  <w:pPr>
                    <w:pStyle w:val="39"/>
                    <w:rPr>
                      <w:color w:val="auto"/>
                      <w:kern w:val="2"/>
                      <w:szCs w:val="21"/>
                    </w:rPr>
                  </w:pPr>
                  <w:r>
                    <w:rPr>
                      <w:rFonts w:hint="eastAsia"/>
                      <w:color w:val="auto"/>
                    </w:rPr>
                    <w:t>治理措施</w:t>
                  </w:r>
                </w:p>
              </w:tc>
            </w:tr>
            <w:tr>
              <w:trPr>
                <w:trHeight w:val="23"/>
              </w:trPr>
              <w:tc>
                <w:tcPr>
                  <w:tcW w:w="668" w:type="dxa"/>
                  <w:vMerge w:val="restart"/>
                  <w:vAlign w:val="center"/>
                </w:tcPr>
                <w:p>
                  <w:pPr>
                    <w:pStyle w:val="39"/>
                    <w:rPr>
                      <w:color w:val="auto"/>
                    </w:rPr>
                  </w:pPr>
                  <w:r>
                    <w:rPr>
                      <w:rFonts w:hint="eastAsia"/>
                      <w:color w:val="auto"/>
                    </w:rPr>
                    <w:t>废气</w:t>
                  </w: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1</w:t>
                  </w:r>
                </w:p>
              </w:tc>
              <w:tc>
                <w:tcPr>
                  <w:tcW w:w="1516" w:type="dxa"/>
                  <w:tcBorders>
                    <w:bottom w:val="single" w:sz="4" w:space="0" w:color="auto"/>
                  </w:tcBorders>
                  <w:vAlign w:val="center"/>
                </w:tcPr>
                <w:p>
                  <w:pPr>
                    <w:pStyle w:val="39"/>
                    <w:rPr>
                      <w:rFonts w:eastAsia="宋体"/>
                      <w:color w:val="auto"/>
                      <w:lang w:val="en-US" w:eastAsia="zh-CN"/>
                    </w:rPr>
                  </w:pPr>
                  <w:r>
                    <w:rPr>
                      <w:rFonts w:hint="eastAsia"/>
                      <w:color w:val="auto"/>
                      <w:lang w:val="en-US" w:eastAsia="zh-CN"/>
                    </w:rPr>
                    <w:t>投料废气</w:t>
                  </w:r>
                </w:p>
              </w:tc>
              <w:tc>
                <w:tcPr>
                  <w:tcW w:w="1672" w:type="dxa"/>
                  <w:tcBorders>
                    <w:bottom w:val="single" w:sz="4" w:space="0" w:color="auto"/>
                  </w:tcBorders>
                  <w:vAlign w:val="center"/>
                </w:tcPr>
                <w:p>
                  <w:pPr>
                    <w:pStyle w:val="39"/>
                    <w:rPr>
                      <w:rFonts w:eastAsia="宋体"/>
                      <w:color w:val="auto"/>
                      <w:lang w:val="en-US" w:eastAsia="zh-CN"/>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rFonts w:eastAsia="宋体" w:hint="eastAsia"/>
                      <w:color w:val="auto"/>
                      <w:lang w:val="en-US" w:eastAsia="zh-CN"/>
                    </w:rPr>
                  </w:pPr>
                  <w:r>
                    <w:rPr>
                      <w:rFonts w:hint="eastAsia"/>
                      <w:color w:val="auto"/>
                      <w:lang w:val="en-US" w:eastAsia="zh-CN"/>
                    </w:rPr>
                    <w:t>间歇</w:t>
                  </w:r>
                </w:p>
              </w:tc>
              <w:tc>
                <w:tcPr>
                  <w:tcW w:w="2936" w:type="dxa"/>
                  <w:vMerge w:val="restart"/>
                  <w:tcBorders>
                    <w:left w:val="single" w:sz="6" w:space="0" w:color="000000"/>
                  </w:tcBorders>
                  <w:shd w:val="clear" w:color="auto" w:fill="auto"/>
                  <w:vAlign w:val="center"/>
                </w:tcPr>
                <w:p>
                  <w:pPr>
                    <w:pStyle w:val="39"/>
                    <w:ind w:firstLine="0"/>
                    <w:rPr>
                      <w:rFonts w:eastAsia="宋体"/>
                      <w:color w:val="auto"/>
                      <w:lang w:val="en-US" w:eastAsia="zh-CN"/>
                    </w:rPr>
                  </w:pPr>
                  <w:r>
                    <w:rPr>
                      <w:rFonts w:hint="eastAsia"/>
                      <w:color w:val="auto"/>
                      <w:lang w:val="en-US" w:eastAsia="zh-CN"/>
                    </w:rPr>
                    <w:t>投料废气由集气罩+软帘收集，其他废气由密闭管道收集经旋风除尘器TA001+袋式除尘器TA002+15m排气筒P2</w:t>
                  </w: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2</w:t>
                  </w:r>
                </w:p>
              </w:tc>
              <w:tc>
                <w:tcPr>
                  <w:tcW w:w="1516" w:type="dxa"/>
                  <w:tcBorders>
                    <w:bottom w:val="single" w:sz="4" w:space="0" w:color="auto"/>
                  </w:tcBorders>
                  <w:vAlign w:val="center"/>
                </w:tcPr>
                <w:p>
                  <w:pPr>
                    <w:pStyle w:val="39"/>
                    <w:rPr>
                      <w:rFonts w:eastAsia="宋体" w:hint="eastAsia"/>
                      <w:color w:val="auto"/>
                      <w:lang w:val="en-US" w:eastAsia="zh-CN"/>
                    </w:rPr>
                  </w:pPr>
                  <w:r>
                    <w:rPr>
                      <w:rFonts w:hint="eastAsia"/>
                      <w:color w:val="auto"/>
                      <w:lang w:val="en-US" w:eastAsia="zh-CN"/>
                    </w:rPr>
                    <w:t>第一次破碎工序废气</w:t>
                  </w:r>
                </w:p>
              </w:tc>
              <w:tc>
                <w:tcPr>
                  <w:tcW w:w="1672" w:type="dxa"/>
                  <w:tcBorders>
                    <w:bottom w:val="single" w:sz="4" w:space="0" w:color="auto"/>
                  </w:tcBorders>
                  <w:vAlign w:val="center"/>
                </w:tcPr>
                <w:p>
                  <w:pPr>
                    <w:pStyle w:val="39"/>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rFonts w:eastAsia="宋体" w:hint="eastAsia"/>
                      <w:color w:val="auto"/>
                      <w:lang w:val="en-US" w:eastAsia="zh-CN"/>
                    </w:rPr>
                  </w:pPr>
                  <w:r>
                    <w:rPr>
                      <w:rFonts w:hint="eastAsia"/>
                      <w:color w:val="auto"/>
                      <w:lang w:val="en-US" w:eastAsia="zh-CN"/>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3</w:t>
                  </w:r>
                </w:p>
              </w:tc>
              <w:tc>
                <w:tcPr>
                  <w:tcW w:w="1516" w:type="dxa"/>
                  <w:tcBorders>
                    <w:bottom w:val="single" w:sz="4" w:space="0" w:color="auto"/>
                  </w:tcBorders>
                  <w:vAlign w:val="center"/>
                </w:tcPr>
                <w:p>
                  <w:pPr>
                    <w:pStyle w:val="39"/>
                    <w:rPr>
                      <w:rFonts w:eastAsia="宋体" w:hint="eastAsia"/>
                      <w:color w:val="auto"/>
                      <w:lang w:val="en-US" w:eastAsia="zh-CN"/>
                    </w:rPr>
                  </w:pPr>
                  <w:r>
                    <w:rPr>
                      <w:rFonts w:hint="eastAsia"/>
                      <w:color w:val="auto"/>
                      <w:lang w:val="en-US" w:eastAsia="zh-CN"/>
                    </w:rPr>
                    <w:t>第二次破碎工序废气</w:t>
                  </w:r>
                </w:p>
              </w:tc>
              <w:tc>
                <w:tcPr>
                  <w:tcW w:w="1672" w:type="dxa"/>
                  <w:tcBorders>
                    <w:bottom w:val="single" w:sz="4" w:space="0" w:color="auto"/>
                  </w:tcBorders>
                  <w:vAlign w:val="center"/>
                </w:tcPr>
                <w:p>
                  <w:pPr>
                    <w:pStyle w:val="39"/>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4</w:t>
                  </w:r>
                </w:p>
              </w:tc>
              <w:tc>
                <w:tcPr>
                  <w:tcW w:w="1516" w:type="dxa"/>
                  <w:tcBorders>
                    <w:bottom w:val="single" w:sz="4" w:space="0" w:color="auto"/>
                  </w:tcBorders>
                  <w:vAlign w:val="center"/>
                </w:tcPr>
                <w:p>
                  <w:pPr>
                    <w:pStyle w:val="39"/>
                    <w:rPr>
                      <w:rFonts w:eastAsia="宋体" w:hint="eastAsia"/>
                      <w:color w:val="auto"/>
                      <w:lang w:eastAsia="zh-CN"/>
                    </w:rPr>
                  </w:pPr>
                  <w:r>
                    <w:rPr>
                      <w:rFonts w:hint="eastAsia"/>
                      <w:color w:val="auto"/>
                      <w:lang w:val="en-US" w:eastAsia="zh-CN"/>
                    </w:rPr>
                    <w:t>挤压造粒工序废气</w:t>
                  </w:r>
                </w:p>
              </w:tc>
              <w:tc>
                <w:tcPr>
                  <w:tcW w:w="1672" w:type="dxa"/>
                  <w:tcBorders>
                    <w:bottom w:val="single" w:sz="4" w:space="0" w:color="auto"/>
                  </w:tcBorders>
                  <w:vAlign w:val="center"/>
                </w:tcPr>
                <w:p>
                  <w:pPr>
                    <w:pStyle w:val="39"/>
                    <w:rPr>
                      <w:rFonts w:eastAsia="宋体"/>
                      <w:color w:val="auto"/>
                      <w:lang w:val="en-US" w:eastAsia="zh-CN"/>
                    </w:rPr>
                  </w:pPr>
                  <w:r>
                    <w:rPr>
                      <w:rFonts w:eastAsia="宋体"/>
                      <w:color w:val="auto"/>
                      <w:lang w:val="en-US" w:eastAsia="zh-CN"/>
                    </w:rPr>
                    <w:t>颗粒物、氨、臭气浓度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5</w:t>
                  </w:r>
                </w:p>
              </w:tc>
              <w:tc>
                <w:tcPr>
                  <w:tcW w:w="1516" w:type="dxa"/>
                  <w:tcBorders>
                    <w:bottom w:val="single" w:sz="4" w:space="0" w:color="auto"/>
                  </w:tcBorders>
                  <w:vAlign w:val="center"/>
                </w:tcPr>
                <w:p>
                  <w:pPr>
                    <w:pStyle w:val="39"/>
                    <w:rPr>
                      <w:color w:val="auto"/>
                      <w:lang w:val="en-US" w:eastAsia="zh-CN"/>
                    </w:rPr>
                  </w:pPr>
                  <w:r>
                    <w:rPr>
                      <w:rFonts w:hint="eastAsia"/>
                      <w:color w:val="auto"/>
                      <w:lang w:val="en-US" w:eastAsia="zh-CN"/>
                    </w:rPr>
                    <w:t>第一次筛分废气</w:t>
                  </w:r>
                </w:p>
              </w:tc>
              <w:tc>
                <w:tcPr>
                  <w:tcW w:w="1672" w:type="dxa"/>
                  <w:tcBorders>
                    <w:bottom w:val="single" w:sz="4" w:space="0" w:color="auto"/>
                  </w:tcBorders>
                  <w:vAlign w:val="center"/>
                </w:tcPr>
                <w:p>
                  <w:pPr>
                    <w:pStyle w:val="39"/>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tcBorders>
                    <w:bottom w:val="single" w:sz="4" w:space="0" w:color="auto"/>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6</w:t>
                  </w:r>
                </w:p>
              </w:tc>
              <w:tc>
                <w:tcPr>
                  <w:tcW w:w="1516" w:type="dxa"/>
                  <w:tcBorders>
                    <w:bottom w:val="single" w:sz="4" w:space="0" w:color="auto"/>
                  </w:tcBorders>
                  <w:vAlign w:val="center"/>
                </w:tcPr>
                <w:p>
                  <w:pPr>
                    <w:pStyle w:val="39"/>
                    <w:rPr>
                      <w:color w:val="auto"/>
                      <w:lang w:val="en-US" w:eastAsia="zh-CN"/>
                    </w:rPr>
                  </w:pPr>
                  <w:r>
                    <w:rPr>
                      <w:rFonts w:hint="eastAsia"/>
                      <w:color w:val="auto"/>
                      <w:lang w:val="en-US" w:eastAsia="zh-CN"/>
                    </w:rPr>
                    <w:t>烘干废气</w:t>
                  </w:r>
                </w:p>
              </w:tc>
              <w:tc>
                <w:tcPr>
                  <w:tcW w:w="1672" w:type="dxa"/>
                  <w:tcBorders>
                    <w:bottom w:val="single" w:sz="4" w:space="0" w:color="auto"/>
                  </w:tcBorders>
                  <w:vAlign w:val="center"/>
                </w:tcPr>
                <w:p>
                  <w:pPr>
                    <w:pStyle w:val="39"/>
                    <w:rPr>
                      <w:color w:val="auto"/>
                      <w:lang w:val="en-US"/>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val="restart"/>
                  <w:tcBorders>
                    <w:top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管道收集经旋风除尘器TA002+袋式除尘器TA003+旋转吸附机+水喷淋塔+15m排气筒P3</w:t>
                  </w: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7</w:t>
                  </w:r>
                </w:p>
              </w:tc>
              <w:tc>
                <w:tcPr>
                  <w:tcW w:w="1516" w:type="dxa"/>
                  <w:tcBorders>
                    <w:bottom w:val="single" w:sz="4" w:space="0" w:color="auto"/>
                  </w:tcBorders>
                  <w:vAlign w:val="center"/>
                </w:tcPr>
                <w:p>
                  <w:pPr>
                    <w:pStyle w:val="39"/>
                    <w:rPr>
                      <w:color w:val="auto"/>
                      <w:lang w:val="en-US" w:eastAsia="zh-CN"/>
                    </w:rPr>
                  </w:pPr>
                  <w:r>
                    <w:rPr>
                      <w:rFonts w:hint="eastAsia"/>
                      <w:color w:val="auto"/>
                      <w:lang w:val="en-US" w:eastAsia="zh-CN"/>
                    </w:rPr>
                    <w:t>燃烧烟气</w:t>
                  </w:r>
                </w:p>
              </w:tc>
              <w:tc>
                <w:tcPr>
                  <w:tcW w:w="1672" w:type="dxa"/>
                  <w:tcBorders>
                    <w:bottom w:val="single" w:sz="4" w:space="0" w:color="auto"/>
                  </w:tcBorders>
                  <w:vAlign w:val="center"/>
                </w:tcPr>
                <w:p>
                  <w:pPr>
                    <w:pStyle w:val="39"/>
                    <w:rPr>
                      <w:color w:val="auto"/>
                      <w:lang w:val="en-US"/>
                    </w:rPr>
                  </w:pPr>
                  <w:r>
                    <w:rPr>
                      <w:rFonts w:hint="eastAsia"/>
                      <w:color w:val="auto"/>
                      <w:lang w:val="en-US" w:eastAsia="zh-CN"/>
                    </w:rPr>
                    <w:t>二氧化硫、氮氧化物、烟气黑度、颗粒物</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tcBorders>
                    <w:bottom w:val="single" w:sz="4" w:space="0" w:color="auto"/>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8</w:t>
                  </w:r>
                </w:p>
              </w:tc>
              <w:tc>
                <w:tcPr>
                  <w:tcW w:w="1516" w:type="dxa"/>
                  <w:tcBorders>
                    <w:bottom w:val="single" w:sz="4" w:space="0" w:color="auto"/>
                  </w:tcBorders>
                  <w:vAlign w:val="center"/>
                </w:tcPr>
                <w:p>
                  <w:pPr>
                    <w:pStyle w:val="39"/>
                    <w:rPr>
                      <w:color w:val="auto"/>
                      <w:lang w:val="en-US" w:eastAsia="zh-CN"/>
                    </w:rPr>
                  </w:pPr>
                  <w:r>
                    <w:rPr>
                      <w:rFonts w:hint="eastAsia"/>
                      <w:color w:val="auto"/>
                      <w:lang w:val="en-US" w:eastAsia="zh-CN"/>
                    </w:rPr>
                    <w:t>冷却工序废气</w:t>
                  </w:r>
                </w:p>
              </w:tc>
              <w:tc>
                <w:tcPr>
                  <w:tcW w:w="1672" w:type="dxa"/>
                  <w:tcBorders>
                    <w:bottom w:val="single" w:sz="4" w:space="0" w:color="auto"/>
                  </w:tcBorders>
                  <w:vAlign w:val="center"/>
                </w:tcPr>
                <w:p>
                  <w:pPr>
                    <w:pStyle w:val="39"/>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val="restart"/>
                  <w:tcBorders>
                    <w:top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装袋工序废气由集气罩+软帘，其他废气由密闭管道收集经旋风除尘器TA001+袋式除尘器TA002+15m排气筒P2</w:t>
                  </w: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G</w:t>
                  </w:r>
                  <w:r>
                    <w:rPr>
                      <w:rFonts w:hint="eastAsia"/>
                      <w:color w:val="auto"/>
                      <w:lang w:val="en-US" w:eastAsia="zh-CN"/>
                    </w:rPr>
                    <w:t>9</w:t>
                  </w:r>
                </w:p>
              </w:tc>
              <w:tc>
                <w:tcPr>
                  <w:tcW w:w="1516" w:type="dxa"/>
                  <w:tcBorders>
                    <w:bottom w:val="single" w:sz="4" w:space="0" w:color="auto"/>
                  </w:tcBorders>
                  <w:vAlign w:val="center"/>
                </w:tcPr>
                <w:p>
                  <w:pPr>
                    <w:pStyle w:val="39"/>
                    <w:rPr>
                      <w:rFonts w:hint="eastAsia"/>
                      <w:color w:val="auto"/>
                      <w:lang w:val="en-US" w:eastAsia="zh-CN"/>
                    </w:rPr>
                  </w:pPr>
                  <w:r>
                    <w:rPr>
                      <w:rFonts w:hint="eastAsia"/>
                      <w:color w:val="auto"/>
                      <w:lang w:val="en-US" w:eastAsia="zh-CN"/>
                    </w:rPr>
                    <w:t>第二次筛分废气</w:t>
                  </w:r>
                </w:p>
              </w:tc>
              <w:tc>
                <w:tcPr>
                  <w:tcW w:w="1672" w:type="dxa"/>
                  <w:tcBorders>
                    <w:bottom w:val="single" w:sz="4" w:space="0" w:color="auto"/>
                  </w:tcBorders>
                  <w:vAlign w:val="center"/>
                </w:tcPr>
                <w:p>
                  <w:pPr>
                    <w:pStyle w:val="39"/>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color w:val="auto"/>
                      <w:lang w:val="en-US" w:eastAsia="zh-CN"/>
                    </w:rPr>
                  </w:pPr>
                  <w:r>
                    <w:rPr>
                      <w:rFonts w:hint="eastAsia"/>
                      <w:color w:val="auto"/>
                    </w:rPr>
                    <w:t>G</w:t>
                  </w:r>
                  <w:r>
                    <w:rPr>
                      <w:rFonts w:hint="eastAsia"/>
                      <w:color w:val="auto"/>
                      <w:lang w:val="en-US" w:eastAsia="zh-CN"/>
                    </w:rPr>
                    <w:t>10</w:t>
                  </w:r>
                </w:p>
              </w:tc>
              <w:tc>
                <w:tcPr>
                  <w:tcW w:w="1516" w:type="dxa"/>
                  <w:tcBorders>
                    <w:bottom w:val="single" w:sz="4" w:space="0" w:color="auto"/>
                  </w:tcBorders>
                  <w:vAlign w:val="center"/>
                </w:tcPr>
                <w:p>
                  <w:pPr>
                    <w:pStyle w:val="39"/>
                    <w:rPr>
                      <w:color w:val="auto"/>
                      <w:lang w:val="en-US" w:eastAsia="zh-CN"/>
                    </w:rPr>
                  </w:pPr>
                  <w:r>
                    <w:rPr>
                      <w:rFonts w:hint="eastAsia"/>
                      <w:color w:val="auto"/>
                      <w:lang w:val="en-US" w:eastAsia="zh-CN"/>
                    </w:rPr>
                    <w:t>抛光工序废气</w:t>
                  </w:r>
                </w:p>
              </w:tc>
              <w:tc>
                <w:tcPr>
                  <w:tcW w:w="1672" w:type="dxa"/>
                  <w:tcBorders>
                    <w:bottom w:val="single" w:sz="4" w:space="0" w:color="auto"/>
                  </w:tcBorders>
                  <w:vAlign w:val="center"/>
                </w:tcPr>
                <w:p>
                  <w:pPr>
                    <w:pStyle w:val="39"/>
                    <w:rPr>
                      <w:color w:val="auto"/>
                    </w:rPr>
                  </w:pPr>
                  <w:r>
                    <w:rPr>
                      <w:color w:val="auto"/>
                    </w:rPr>
                    <w:t>颗粒物</w:t>
                  </w:r>
                  <w:r>
                    <w:rPr>
                      <w:rFonts w:hint="eastAsia"/>
                      <w:color w:val="auto"/>
                      <w:lang w:eastAsia="zh-CN"/>
                    </w:rPr>
                    <w:t>、</w:t>
                  </w:r>
                  <w:r>
                    <w:rPr>
                      <w:rFonts w:hint="eastAsia"/>
                      <w:color w:val="auto"/>
                      <w:lang w:val="en-US" w:eastAsia="zh-CN"/>
                    </w:rPr>
                    <w:t>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color w:val="auto"/>
                      <w:lang w:val="en-US" w:eastAsia="zh-CN"/>
                    </w:rPr>
                  </w:pPr>
                  <w:r>
                    <w:rPr>
                      <w:rFonts w:hint="eastAsia"/>
                      <w:color w:val="auto"/>
                    </w:rPr>
                    <w:t>G</w:t>
                  </w:r>
                  <w:r>
                    <w:rPr>
                      <w:rFonts w:hint="eastAsia"/>
                      <w:color w:val="auto"/>
                      <w:lang w:val="en-US" w:eastAsia="zh-CN"/>
                    </w:rPr>
                    <w:t>11</w:t>
                  </w:r>
                </w:p>
              </w:tc>
              <w:tc>
                <w:tcPr>
                  <w:tcW w:w="1516" w:type="dxa"/>
                  <w:tcBorders>
                    <w:bottom w:val="single" w:sz="4" w:space="0" w:color="auto"/>
                  </w:tcBorders>
                  <w:vAlign w:val="center"/>
                </w:tcPr>
                <w:p>
                  <w:pPr>
                    <w:pStyle w:val="39"/>
                    <w:rPr>
                      <w:rFonts w:eastAsia="宋体"/>
                      <w:color w:val="auto"/>
                      <w:lang w:val="en-US" w:eastAsia="zh-CN"/>
                    </w:rPr>
                  </w:pPr>
                  <w:r>
                    <w:rPr>
                      <w:rFonts w:hint="eastAsia"/>
                      <w:color w:val="auto"/>
                      <w:lang w:val="en-US" w:eastAsia="zh-CN"/>
                    </w:rPr>
                    <w:t>袋装工序废气</w:t>
                  </w:r>
                </w:p>
              </w:tc>
              <w:tc>
                <w:tcPr>
                  <w:tcW w:w="1672" w:type="dxa"/>
                  <w:tcBorders>
                    <w:bottom w:val="single" w:sz="4" w:space="0" w:color="auto"/>
                  </w:tcBorders>
                  <w:vAlign w:val="center"/>
                </w:tcPr>
                <w:p>
                  <w:pPr>
                    <w:pStyle w:val="39"/>
                    <w:rPr>
                      <w:rFonts w:eastAsia="宋体"/>
                      <w:color w:val="auto"/>
                      <w:lang w:val="en-US" w:eastAsia="zh-CN"/>
                    </w:rPr>
                  </w:pPr>
                  <w:r>
                    <w:rPr>
                      <w:rFonts w:hint="eastAsia"/>
                      <w:color w:val="auto"/>
                      <w:lang w:val="en-US" w:eastAsia="zh-CN"/>
                    </w:rPr>
                    <w:t>颗粒物、氨、臭气浓度</w:t>
                  </w:r>
                </w:p>
              </w:tc>
              <w:tc>
                <w:tcPr>
                  <w:tcW w:w="901" w:type="dxa"/>
                  <w:tcBorders>
                    <w:bottom w:val="single" w:sz="4" w:space="0" w:color="auto"/>
                  </w:tcBorders>
                  <w:vAlign w:val="center"/>
                </w:tcPr>
                <w:p>
                  <w:pPr>
                    <w:pStyle w:val="39"/>
                    <w:rPr>
                      <w:color w:val="auto"/>
                    </w:rPr>
                  </w:pPr>
                  <w:r>
                    <w:rPr>
                      <w:rFonts w:hint="eastAsia"/>
                      <w:color w:val="auto"/>
                      <w:lang w:val="en-US" w:eastAsia="zh-CN"/>
                    </w:rPr>
                    <w:t>连续</w:t>
                  </w:r>
                </w:p>
              </w:tc>
              <w:tc>
                <w:tcPr>
                  <w:tcW w:w="2936" w:type="dxa"/>
                  <w:vMerge/>
                  <w:tcBorders>
                    <w:bottom w:val="single" w:sz="4" w:space="0" w:color="auto"/>
                  </w:tcBorders>
                  <w:vAlign w:val="center"/>
                </w:tcPr>
                <w:p/>
              </w:tc>
            </w:tr>
            <w:tr>
              <w:trPr>
                <w:trHeight w:val="23"/>
              </w:trPr>
              <w:tc>
                <w:tcPr>
                  <w:tcW w:w="668" w:type="dxa"/>
                  <w:vMerge w:val="restart"/>
                  <w:vAlign w:val="center"/>
                </w:tcPr>
                <w:p>
                  <w:pPr>
                    <w:pStyle w:val="39"/>
                    <w:rPr>
                      <w:color w:val="auto"/>
                      <w:kern w:val="2"/>
                      <w:szCs w:val="21"/>
                    </w:rPr>
                  </w:pPr>
                  <w:r>
                    <w:rPr>
                      <w:rFonts w:hint="eastAsia"/>
                      <w:color w:val="auto"/>
                    </w:rPr>
                    <w:t>噪声</w:t>
                  </w:r>
                </w:p>
              </w:tc>
              <w:tc>
                <w:tcPr>
                  <w:tcW w:w="664" w:type="dxa"/>
                  <w:tcBorders>
                    <w:left w:val="single" w:sz="6" w:space="0" w:color="000000"/>
                  </w:tcBorders>
                  <w:vAlign w:val="center"/>
                </w:tcPr>
                <w:p>
                  <w:pPr>
                    <w:pStyle w:val="39"/>
                    <w:rPr>
                      <w:rFonts w:eastAsia="宋体"/>
                      <w:color w:val="auto"/>
                      <w:kern w:val="2"/>
                      <w:szCs w:val="21"/>
                      <w:lang w:val="en-US" w:eastAsia="zh-CN"/>
                    </w:rPr>
                  </w:pPr>
                  <w:r>
                    <w:rPr>
                      <w:rFonts w:hint="eastAsia"/>
                      <w:color w:val="auto"/>
                    </w:rPr>
                    <w:t>N</w:t>
                  </w:r>
                  <w:r>
                    <w:rPr>
                      <w:rFonts w:hint="eastAsia"/>
                      <w:color w:val="auto"/>
                      <w:lang w:val="en-US" w:eastAsia="zh-CN"/>
                    </w:rPr>
                    <w:t>1</w:t>
                  </w:r>
                </w:p>
              </w:tc>
              <w:tc>
                <w:tcPr>
                  <w:tcW w:w="1516" w:type="dxa"/>
                  <w:tcBorders>
                    <w:left w:val="single" w:sz="6" w:space="0" w:color="000000"/>
                  </w:tcBorders>
                  <w:vAlign w:val="center"/>
                </w:tcPr>
                <w:p>
                  <w:pPr>
                    <w:pStyle w:val="39"/>
                    <w:rPr>
                      <w:color w:val="auto"/>
                      <w:kern w:val="2"/>
                      <w:szCs w:val="21"/>
                    </w:rPr>
                  </w:pPr>
                  <w:r>
                    <w:rPr>
                      <w:rFonts w:hint="eastAsia"/>
                      <w:color w:val="auto"/>
                      <w:lang w:val="en-US" w:eastAsia="zh-CN"/>
                    </w:rPr>
                    <w:t>密闭破碎机</w:t>
                  </w:r>
                </w:p>
              </w:tc>
              <w:tc>
                <w:tcPr>
                  <w:tcW w:w="1672" w:type="dxa"/>
                  <w:vMerge w:val="restart"/>
                  <w:tcBorders>
                    <w:left w:val="single" w:sz="6" w:space="0" w:color="000000"/>
                  </w:tcBorders>
                  <w:vAlign w:val="center"/>
                </w:tcPr>
                <w:p>
                  <w:pPr>
                    <w:pStyle w:val="39"/>
                    <w:rPr>
                      <w:rFonts w:eastAsia="宋体" w:hint="eastAsia"/>
                      <w:color w:val="auto"/>
                      <w:kern w:val="2"/>
                      <w:szCs w:val="21"/>
                      <w:lang w:eastAsia="zh-CN"/>
                    </w:rPr>
                  </w:pPr>
                  <w:r>
                    <w:rPr>
                      <w:rFonts w:hint="eastAsia"/>
                      <w:color w:val="auto"/>
                      <w:lang w:val="en-US" w:eastAsia="zh-CN"/>
                    </w:rPr>
                    <w:t>噪声</w:t>
                  </w:r>
                </w:p>
              </w:tc>
              <w:tc>
                <w:tcPr>
                  <w:tcW w:w="901" w:type="dxa"/>
                  <w:vMerge w:val="restart"/>
                  <w:tcBorders>
                    <w:left w:val="single" w:sz="6" w:space="0" w:color="000000"/>
                  </w:tcBorders>
                  <w:vAlign w:val="center"/>
                </w:tcPr>
                <w:p>
                  <w:pPr>
                    <w:pStyle w:val="39"/>
                    <w:rPr>
                      <w:color w:val="auto"/>
                      <w:kern w:val="2"/>
                      <w:szCs w:val="21"/>
                    </w:rPr>
                  </w:pPr>
                  <w:r>
                    <w:rPr>
                      <w:rFonts w:hint="eastAsia"/>
                      <w:color w:val="auto"/>
                    </w:rPr>
                    <w:t>间歇</w:t>
                  </w:r>
                </w:p>
              </w:tc>
              <w:tc>
                <w:tcPr>
                  <w:tcW w:w="2936" w:type="dxa"/>
                  <w:vMerge w:val="restart"/>
                  <w:tcBorders>
                    <w:left w:val="single" w:sz="6" w:space="0" w:color="000000"/>
                  </w:tcBorders>
                  <w:vAlign w:val="center"/>
                </w:tcPr>
                <w:p>
                  <w:pPr>
                    <w:pStyle w:val="39"/>
                    <w:rPr>
                      <w:color w:val="auto"/>
                      <w:kern w:val="2"/>
                      <w:szCs w:val="21"/>
                    </w:rPr>
                  </w:pPr>
                  <w:r>
                    <w:rPr>
                      <w:rFonts w:hint="eastAsia"/>
                      <w:color w:val="auto"/>
                      <w:lang w:val="en-US" w:eastAsia="zh-CN"/>
                    </w:rPr>
                    <w:t>厂房隔声、选用低噪声设备，采取基础减振等措施</w:t>
                  </w: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2</w:t>
                  </w:r>
                </w:p>
              </w:tc>
              <w:tc>
                <w:tcPr>
                  <w:tcW w:w="1516" w:type="dxa"/>
                  <w:tcBorders>
                    <w:left w:val="single" w:sz="6" w:space="0" w:color="000000"/>
                  </w:tcBorders>
                  <w:vAlign w:val="center"/>
                </w:tcPr>
                <w:p>
                  <w:pPr>
                    <w:pStyle w:val="39"/>
                    <w:rPr>
                      <w:rFonts w:hint="eastAsia"/>
                      <w:color w:val="auto"/>
                    </w:rPr>
                  </w:pPr>
                  <w:r>
                    <w:rPr>
                      <w:rFonts w:hint="eastAsia"/>
                      <w:color w:val="auto"/>
                      <w:lang w:val="en-US" w:eastAsia="zh-CN"/>
                    </w:rPr>
                    <w:t>密闭破碎机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3</w:t>
                  </w:r>
                </w:p>
              </w:tc>
              <w:tc>
                <w:tcPr>
                  <w:tcW w:w="1516" w:type="dxa"/>
                  <w:tcBorders>
                    <w:left w:val="single" w:sz="6" w:space="0" w:color="000000"/>
                  </w:tcBorders>
                  <w:vAlign w:val="center"/>
                </w:tcPr>
                <w:p>
                  <w:pPr>
                    <w:pStyle w:val="39"/>
                    <w:rPr>
                      <w:rFonts w:eastAsia="宋体" w:hint="eastAsia"/>
                      <w:color w:val="auto"/>
                      <w:lang w:val="en-US" w:eastAsia="zh-CN"/>
                    </w:rPr>
                  </w:pPr>
                  <w:r>
                    <w:rPr>
                      <w:rFonts w:hint="eastAsia"/>
                      <w:color w:val="auto"/>
                      <w:lang w:val="en-US" w:eastAsia="zh-CN"/>
                    </w:rPr>
                    <w:t>混合送料机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4</w:t>
                  </w:r>
                </w:p>
              </w:tc>
              <w:tc>
                <w:tcPr>
                  <w:tcW w:w="1516" w:type="dxa"/>
                  <w:tcBorders>
                    <w:left w:val="single" w:sz="6" w:space="0" w:color="000000"/>
                  </w:tcBorders>
                  <w:vAlign w:val="center"/>
                </w:tcPr>
                <w:p>
                  <w:pPr>
                    <w:pStyle w:val="39"/>
                    <w:rPr>
                      <w:rFonts w:eastAsia="宋体" w:hint="eastAsia"/>
                      <w:color w:val="auto"/>
                      <w:lang w:val="en-US" w:eastAsia="zh-CN"/>
                    </w:rPr>
                  </w:pPr>
                  <w:r>
                    <w:rPr>
                      <w:rFonts w:hint="eastAsia"/>
                      <w:color w:val="auto"/>
                      <w:lang w:val="en-US" w:eastAsia="zh-CN"/>
                    </w:rPr>
                    <w:t>造粒机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5</w:t>
                  </w:r>
                </w:p>
              </w:tc>
              <w:tc>
                <w:tcPr>
                  <w:tcW w:w="1516" w:type="dxa"/>
                  <w:tcBorders>
                    <w:left w:val="single" w:sz="6" w:space="0" w:color="000000"/>
                  </w:tcBorders>
                  <w:vAlign w:val="center"/>
                </w:tcPr>
                <w:p>
                  <w:pPr>
                    <w:pStyle w:val="39"/>
                    <w:rPr>
                      <w:rFonts w:eastAsia="宋体" w:hint="eastAsia"/>
                      <w:color w:val="auto"/>
                      <w:lang w:val="en-US" w:eastAsia="zh-CN"/>
                    </w:rPr>
                  </w:pPr>
                  <w:r>
                    <w:rPr>
                      <w:rFonts w:hint="eastAsia"/>
                      <w:color w:val="auto"/>
                      <w:lang w:val="en-US" w:eastAsia="zh-CN"/>
                    </w:rPr>
                    <w:t>密闭式筛分机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6</w:t>
                  </w:r>
                </w:p>
              </w:tc>
              <w:tc>
                <w:tcPr>
                  <w:tcW w:w="1516" w:type="dxa"/>
                  <w:tcBorders>
                    <w:left w:val="single" w:sz="6" w:space="0" w:color="000000"/>
                  </w:tcBorders>
                  <w:vAlign w:val="center"/>
                </w:tcPr>
                <w:p>
                  <w:pPr>
                    <w:pStyle w:val="39"/>
                    <w:rPr>
                      <w:rFonts w:eastAsia="宋体" w:hint="eastAsia"/>
                      <w:color w:val="auto"/>
                      <w:lang w:val="en-US" w:eastAsia="zh-CN"/>
                    </w:rPr>
                  </w:pPr>
                  <w:r>
                    <w:rPr>
                      <w:rFonts w:hint="eastAsia"/>
                      <w:color w:val="auto"/>
                      <w:lang w:val="en-US" w:eastAsia="zh-CN"/>
                    </w:rPr>
                    <w:t>烘干机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7</w:t>
                  </w:r>
                </w:p>
              </w:tc>
              <w:tc>
                <w:tcPr>
                  <w:tcW w:w="1516" w:type="dxa"/>
                  <w:tcBorders>
                    <w:left w:val="single" w:sz="6" w:space="0" w:color="000000"/>
                  </w:tcBorders>
                  <w:vAlign w:val="center"/>
                </w:tcPr>
                <w:p>
                  <w:pPr>
                    <w:pStyle w:val="39"/>
                    <w:rPr>
                      <w:rFonts w:eastAsia="宋体" w:hint="eastAsia"/>
                      <w:color w:val="auto"/>
                      <w:lang w:val="en-US" w:eastAsia="zh-CN"/>
                    </w:rPr>
                  </w:pPr>
                  <w:r>
                    <w:rPr>
                      <w:rFonts w:hint="eastAsia"/>
                      <w:color w:val="auto"/>
                      <w:lang w:val="en-US" w:eastAsia="zh-CN"/>
                    </w:rPr>
                    <w:t>冷却机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8</w:t>
                  </w:r>
                </w:p>
              </w:tc>
              <w:tc>
                <w:tcPr>
                  <w:tcW w:w="1516" w:type="dxa"/>
                  <w:tcBorders>
                    <w:left w:val="single" w:sz="6" w:space="0" w:color="000000"/>
                  </w:tcBorders>
                  <w:vAlign w:val="center"/>
                </w:tcPr>
                <w:p>
                  <w:pPr>
                    <w:pStyle w:val="39"/>
                    <w:rPr>
                      <w:rFonts w:hint="eastAsia"/>
                      <w:color w:val="auto"/>
                    </w:rPr>
                  </w:pPr>
                  <w:r>
                    <w:rPr>
                      <w:rFonts w:hint="eastAsia"/>
                      <w:color w:val="auto"/>
                      <w:lang w:val="en-US" w:eastAsia="zh-CN"/>
                    </w:rPr>
                    <w:t>密闭式筛分机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pStyle w:val="39"/>
                    <w:rPr>
                      <w:rFonts w:eastAsia="宋体" w:hint="eastAsia"/>
                      <w:color w:val="auto"/>
                      <w:lang w:val="en-US" w:eastAsia="zh-CN"/>
                    </w:rPr>
                  </w:pPr>
                  <w:r>
                    <w:rPr>
                      <w:rFonts w:hint="eastAsia"/>
                      <w:color w:val="auto"/>
                    </w:rPr>
                    <w:t>N</w:t>
                  </w:r>
                  <w:r>
                    <w:rPr>
                      <w:rFonts w:hint="eastAsia"/>
                      <w:color w:val="auto"/>
                      <w:lang w:val="en-US" w:eastAsia="zh-CN"/>
                    </w:rPr>
                    <w:t>9</w:t>
                  </w:r>
                </w:p>
              </w:tc>
              <w:tc>
                <w:tcPr>
                  <w:tcW w:w="1516" w:type="dxa"/>
                  <w:tcBorders>
                    <w:left w:val="single" w:sz="6" w:space="0" w:color="000000"/>
                  </w:tcBorders>
                  <w:vAlign w:val="center"/>
                </w:tcPr>
                <w:p>
                  <w:pPr>
                    <w:pStyle w:val="39"/>
                    <w:rPr>
                      <w:rFonts w:eastAsia="宋体" w:hint="eastAsia"/>
                      <w:color w:val="auto"/>
                      <w:lang w:val="en-US" w:eastAsia="zh-CN"/>
                    </w:rPr>
                  </w:pPr>
                  <w:r>
                    <w:rPr>
                      <w:rFonts w:hint="eastAsia"/>
                      <w:color w:val="auto"/>
                      <w:lang w:val="en-US" w:eastAsia="zh-CN"/>
                    </w:rPr>
                    <w:t>抛光机</w:t>
                  </w:r>
                </w:p>
              </w:tc>
              <w:tc>
                <w:tcPr>
                  <w:tcW w:w="1672" w:type="dxa"/>
                  <w:vMerge/>
                  <w:tcBorders>
                    <w:left w:val="single" w:sz="6" w:space="0" w:color="000000"/>
                  </w:tcBorders>
                  <w:vAlign w:val="center"/>
                </w:tcP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restart"/>
                  <w:vAlign w:val="center"/>
                </w:tcPr>
                <w:p>
                  <w:pPr>
                    <w:spacing w:line="240" w:lineRule="auto"/>
                    <w:ind w:firstLineChars="0" w:firstLine="0"/>
                    <w:jc w:val="center"/>
                    <w:rPr>
                      <w:color w:val="auto"/>
                      <w:sz w:val="21"/>
                      <w:szCs w:val="21"/>
                    </w:rPr>
                  </w:pPr>
                  <w:r>
                    <w:rPr>
                      <w:rFonts w:hint="eastAsia"/>
                      <w:color w:val="auto"/>
                      <w:sz w:val="21"/>
                      <w:szCs w:val="21"/>
                    </w:rPr>
                    <w:t>固体废物</w:t>
                  </w:r>
                </w:p>
              </w:tc>
              <w:tc>
                <w:tcPr>
                  <w:tcW w:w="664" w:type="dxa"/>
                  <w:tcBorders>
                    <w:left w:val="single" w:sz="6" w:space="0" w:color="000000"/>
                  </w:tcBorders>
                  <w:vAlign w:val="center"/>
                </w:tcPr>
                <w:p>
                  <w:pPr>
                    <w:spacing w:line="240" w:lineRule="auto"/>
                    <w:ind w:firstLineChars="0" w:firstLine="0"/>
                    <w:jc w:val="center"/>
                    <w:rPr>
                      <w:color w:val="auto"/>
                      <w:sz w:val="21"/>
                      <w:szCs w:val="21"/>
                    </w:rPr>
                  </w:pPr>
                  <w:r>
                    <w:rPr>
                      <w:rFonts w:hint="eastAsia"/>
                      <w:color w:val="auto"/>
                      <w:sz w:val="21"/>
                      <w:szCs w:val="21"/>
                    </w:rPr>
                    <w:t>S1</w:t>
                  </w:r>
                </w:p>
              </w:tc>
              <w:tc>
                <w:tcPr>
                  <w:tcW w:w="1516" w:type="dxa"/>
                  <w:tcBorders>
                    <w:top w:val="single" w:sz="4" w:space="0" w:color="auto"/>
                  </w:tcBorders>
                  <w:vAlign w:val="center"/>
                </w:tcPr>
                <w:p>
                  <w:pPr>
                    <w:pStyle w:val="39"/>
                    <w:rPr>
                      <w:rFonts w:eastAsia="宋体" w:hint="eastAsia"/>
                      <w:color w:val="auto"/>
                      <w:kern w:val="2"/>
                      <w:szCs w:val="21"/>
                      <w:lang w:eastAsia="zh-CN"/>
                    </w:rPr>
                  </w:pPr>
                  <w:r>
                    <w:rPr>
                      <w:rFonts w:eastAsia="宋体" w:hint="eastAsia"/>
                      <w:color w:val="auto"/>
                      <w:kern w:val="2"/>
                      <w:szCs w:val="21"/>
                      <w:lang w:val="en-US" w:eastAsia="zh-CN"/>
                    </w:rPr>
                    <w:t>化验室废液</w:t>
                  </w:r>
                </w:p>
              </w:tc>
              <w:tc>
                <w:tcPr>
                  <w:tcW w:w="1672" w:type="dxa"/>
                  <w:tcBorders>
                    <w:top w:val="single" w:sz="4" w:space="0" w:color="auto"/>
                  </w:tcBorders>
                  <w:vAlign w:val="center"/>
                </w:tcPr>
                <w:p>
                  <w:pPr>
                    <w:pStyle w:val="39"/>
                    <w:rPr>
                      <w:rFonts w:eastAsia="宋体"/>
                      <w:color w:val="auto"/>
                      <w:kern w:val="2"/>
                      <w:szCs w:val="21"/>
                      <w:lang w:val="en-US" w:eastAsia="zh-CN"/>
                    </w:rPr>
                  </w:pPr>
                  <w:r>
                    <w:rPr>
                      <w:rFonts w:hint="eastAsia"/>
                      <w:color w:val="auto"/>
                      <w:kern w:val="2"/>
                      <w:szCs w:val="21"/>
                      <w:lang w:val="en-US" w:eastAsia="zh-CN"/>
                    </w:rPr>
                    <w:t>废液</w:t>
                  </w:r>
                </w:p>
              </w:tc>
              <w:tc>
                <w:tcPr>
                  <w:tcW w:w="901" w:type="dxa"/>
                  <w:vMerge w:val="restart"/>
                  <w:tcBorders>
                    <w:top w:val="single" w:sz="4" w:space="0" w:color="auto"/>
                  </w:tcBorders>
                  <w:vAlign w:val="center"/>
                </w:tcPr>
                <w:p>
                  <w:pPr>
                    <w:pStyle w:val="39"/>
                    <w:rPr>
                      <w:color w:val="auto"/>
                      <w:kern w:val="2"/>
                      <w:szCs w:val="21"/>
                    </w:rPr>
                  </w:pPr>
                  <w:r>
                    <w:rPr>
                      <w:rFonts w:hint="eastAsia"/>
                      <w:color w:val="auto"/>
                      <w:kern w:val="2"/>
                      <w:szCs w:val="21"/>
                    </w:rPr>
                    <w:t>间歇</w:t>
                  </w:r>
                </w:p>
              </w:tc>
              <w:tc>
                <w:tcPr>
                  <w:tcW w:w="2936" w:type="dxa"/>
                  <w:vMerge w:val="restart"/>
                  <w:tcBorders>
                    <w:top w:val="single" w:sz="4" w:space="0" w:color="auto"/>
                  </w:tcBorders>
                  <w:vAlign w:val="center"/>
                </w:tcPr>
                <w:p>
                  <w:pPr>
                    <w:pStyle w:val="39"/>
                    <w:rPr>
                      <w:color w:val="auto"/>
                    </w:rPr>
                  </w:pPr>
                  <w:r>
                    <w:rPr>
                      <w:rFonts w:hint="eastAsia"/>
                      <w:color w:val="auto"/>
                      <w:kern w:val="2"/>
                      <w:szCs w:val="21"/>
                      <w:lang w:val="en-US" w:eastAsia="zh-CN"/>
                    </w:rPr>
                    <w:t>分类收集后暂存于危废间，定期交有资质单位处置</w:t>
                  </w:r>
                </w:p>
              </w:tc>
            </w:tr>
            <w:tr>
              <w:trPr>
                <w:trHeight w:val="524"/>
              </w:trPr>
              <w:tc>
                <w:tcPr>
                  <w:tcW w:w="668" w:type="dxa"/>
                  <w:vMerge/>
                  <w:vAlign w:val="center"/>
                </w:tcPr>
                <w:p/>
              </w:tc>
              <w:tc>
                <w:tcPr>
                  <w:tcW w:w="664" w:type="dxa"/>
                  <w:tcBorders>
                    <w:left w:val="single" w:sz="6" w:space="0" w:color="000000"/>
                  </w:tcBorders>
                  <w:vAlign w:val="center"/>
                </w:tcPr>
                <w:p>
                  <w:pPr>
                    <w:spacing w:line="240" w:lineRule="auto"/>
                    <w:ind w:firstLineChars="0" w:firstLine="0"/>
                    <w:jc w:val="center"/>
                    <w:rPr>
                      <w:color w:val="auto"/>
                      <w:sz w:val="21"/>
                      <w:szCs w:val="21"/>
                    </w:rPr>
                  </w:pPr>
                  <w:r>
                    <w:rPr>
                      <w:rFonts w:hint="eastAsia"/>
                      <w:color w:val="auto"/>
                      <w:sz w:val="21"/>
                      <w:szCs w:val="21"/>
                    </w:rPr>
                    <w:t>S2</w:t>
                  </w:r>
                </w:p>
              </w:tc>
              <w:tc>
                <w:tcPr>
                  <w:tcW w:w="1516" w:type="dxa"/>
                  <w:tcBorders>
                    <w:top w:val="single" w:sz="4" w:space="0" w:color="auto"/>
                  </w:tcBorders>
                  <w:vAlign w:val="center"/>
                </w:tcPr>
                <w:p>
                  <w:pPr>
                    <w:pStyle w:val="39"/>
                    <w:rPr>
                      <w:rFonts w:eastAsia="宋体"/>
                      <w:color w:val="auto"/>
                      <w:kern w:val="2"/>
                      <w:szCs w:val="21"/>
                      <w:lang w:val="en-US" w:eastAsia="zh-CN"/>
                    </w:rPr>
                  </w:pPr>
                  <w:r>
                    <w:rPr>
                      <w:rFonts w:hint="eastAsia"/>
                      <w:color w:val="auto"/>
                      <w:kern w:val="2"/>
                      <w:szCs w:val="21"/>
                      <w:lang w:val="en-US" w:eastAsia="zh-CN"/>
                    </w:rPr>
                    <w:t>化验室废包装</w:t>
                  </w:r>
                </w:p>
              </w:tc>
              <w:tc>
                <w:tcPr>
                  <w:tcW w:w="1672" w:type="dxa"/>
                  <w:tcBorders>
                    <w:top w:val="single" w:sz="4" w:space="0" w:color="auto"/>
                  </w:tcBorders>
                  <w:vAlign w:val="center"/>
                </w:tcPr>
                <w:p>
                  <w:pPr>
                    <w:pStyle w:val="39"/>
                    <w:ind w:firstLine="0"/>
                    <w:rPr>
                      <w:rFonts w:ascii="Times New Roman" w:eastAsia="宋体" w:cs="Times New Roman" w:hAnsi="Times New Roman"/>
                      <w:color w:val="auto"/>
                      <w:kern w:val="2"/>
                      <w:sz w:val="21"/>
                      <w:szCs w:val="21"/>
                      <w:lang w:val="en-US" w:eastAsia="zh-CN" w:bidi="ar-SA"/>
                    </w:rPr>
                  </w:pPr>
                  <w:r>
                    <w:rPr>
                      <w:rFonts w:hint="eastAsia"/>
                      <w:color w:val="auto"/>
                      <w:kern w:val="2"/>
                      <w:szCs w:val="21"/>
                      <w:lang w:val="en-US" w:eastAsia="zh-CN"/>
                    </w:rPr>
                    <w:t>废包装</w:t>
                  </w: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3"/>
              </w:trPr>
              <w:tc>
                <w:tcPr>
                  <w:tcW w:w="668" w:type="dxa"/>
                  <w:vMerge/>
                  <w:vAlign w:val="center"/>
                </w:tcPr>
                <w:p/>
              </w:tc>
              <w:tc>
                <w:tcPr>
                  <w:tcW w:w="664" w:type="dxa"/>
                  <w:tcBorders>
                    <w:left w:val="single" w:sz="6" w:space="0" w:color="000000"/>
                  </w:tcBorders>
                  <w:vAlign w:val="center"/>
                </w:tcPr>
                <w:p>
                  <w:pPr>
                    <w:spacing w:line="240" w:lineRule="auto"/>
                    <w:ind w:firstLineChars="0" w:firstLine="0"/>
                    <w:jc w:val="center"/>
                    <w:rPr>
                      <w:rFonts w:eastAsia="宋体"/>
                      <w:color w:val="auto"/>
                      <w:sz w:val="21"/>
                      <w:szCs w:val="21"/>
                      <w:lang w:val="en-US" w:eastAsia="zh-CN"/>
                    </w:rPr>
                  </w:pPr>
                  <w:r>
                    <w:rPr>
                      <w:rFonts w:ascii="Times New Roman" w:eastAsia="宋体" w:hAnsi="Times New Roman" w:hint="eastAsia"/>
                      <w:color w:val="auto"/>
                      <w:sz w:val="21"/>
                      <w:szCs w:val="21"/>
                      <w:lang w:val="en-US" w:eastAsia="zh-CN"/>
                    </w:rPr>
                    <w:t>S</w:t>
                  </w:r>
                  <w:r>
                    <w:rPr>
                      <w:rFonts w:hint="eastAsia"/>
                      <w:color w:val="auto"/>
                      <w:sz w:val="21"/>
                      <w:szCs w:val="21"/>
                      <w:lang w:val="en-US" w:eastAsia="zh-CN"/>
                    </w:rPr>
                    <w:t>4</w:t>
                  </w:r>
                </w:p>
              </w:tc>
              <w:tc>
                <w:tcPr>
                  <w:tcW w:w="1516" w:type="dxa"/>
                  <w:tcBorders>
                    <w:top w:val="single" w:sz="4" w:space="0" w:color="auto"/>
                  </w:tcBorders>
                  <w:vAlign w:val="center"/>
                </w:tcPr>
                <w:p>
                  <w:pPr>
                    <w:pStyle w:val="39"/>
                    <w:rPr>
                      <w:rFonts w:eastAsia="宋体" w:hint="eastAsia"/>
                      <w:color w:val="auto"/>
                      <w:kern w:val="2"/>
                      <w:szCs w:val="21"/>
                      <w:lang w:eastAsia="zh-CN"/>
                    </w:rPr>
                  </w:pPr>
                  <w:r>
                    <w:rPr>
                      <w:rFonts w:eastAsia="宋体" w:hint="eastAsia"/>
                      <w:color w:val="auto"/>
                      <w:kern w:val="2"/>
                      <w:szCs w:val="21"/>
                      <w:lang w:val="en-US" w:eastAsia="zh-CN"/>
                    </w:rPr>
                    <w:t>化验室废液</w:t>
                  </w:r>
                </w:p>
              </w:tc>
              <w:tc>
                <w:tcPr>
                  <w:tcW w:w="1672" w:type="dxa"/>
                  <w:tcBorders>
                    <w:top w:val="single" w:sz="4" w:space="0" w:color="auto"/>
                  </w:tcBorders>
                  <w:vAlign w:val="center"/>
                </w:tcPr>
                <w:p>
                  <w:pPr>
                    <w:pStyle w:val="39"/>
                    <w:rPr>
                      <w:rFonts w:eastAsia="宋体" w:hint="eastAsia"/>
                      <w:color w:val="auto"/>
                      <w:kern w:val="2"/>
                      <w:szCs w:val="21"/>
                      <w:lang w:eastAsia="zh-CN"/>
                    </w:rPr>
                  </w:pPr>
                  <w:r>
                    <w:rPr>
                      <w:rFonts w:hint="eastAsia"/>
                      <w:color w:val="auto"/>
                      <w:kern w:val="2"/>
                      <w:szCs w:val="21"/>
                      <w:lang w:val="en-US" w:eastAsia="zh-CN"/>
                    </w:rPr>
                    <w:t>废包装</w:t>
                  </w: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796"/>
              </w:trPr>
              <w:tc>
                <w:tcPr>
                  <w:tcW w:w="668" w:type="dxa"/>
                  <w:vMerge/>
                  <w:vAlign w:val="center"/>
                </w:tcPr>
                <w:p/>
              </w:tc>
              <w:tc>
                <w:tcPr>
                  <w:tcW w:w="664" w:type="dxa"/>
                  <w:tcBorders>
                    <w:left w:val="single" w:sz="6" w:space="0" w:color="000000"/>
                  </w:tcBorders>
                  <w:vAlign w:val="center"/>
                </w:tcPr>
                <w:p>
                  <w:pPr>
                    <w:spacing w:line="240" w:lineRule="auto"/>
                    <w:ind w:firstLineChars="0" w:firstLine="0"/>
                    <w:jc w:val="center"/>
                    <w:rPr>
                      <w:rFonts w:eastAsia="宋体" w:hint="eastAsia"/>
                      <w:color w:val="auto"/>
                      <w:sz w:val="21"/>
                      <w:szCs w:val="21"/>
                      <w:lang w:val="en-US" w:eastAsia="zh-CN"/>
                    </w:rPr>
                  </w:pPr>
                  <w:r>
                    <w:rPr>
                      <w:rFonts w:hint="eastAsia"/>
                      <w:color w:val="auto"/>
                      <w:sz w:val="21"/>
                      <w:szCs w:val="21"/>
                    </w:rPr>
                    <w:t>S</w:t>
                  </w:r>
                  <w:r>
                    <w:rPr>
                      <w:rFonts w:hint="eastAsia"/>
                      <w:color w:val="auto"/>
                      <w:sz w:val="21"/>
                      <w:szCs w:val="21"/>
                      <w:lang w:val="en-US" w:eastAsia="zh-CN"/>
                    </w:rPr>
                    <w:t>6</w:t>
                  </w:r>
                </w:p>
              </w:tc>
              <w:tc>
                <w:tcPr>
                  <w:tcW w:w="1516" w:type="dxa"/>
                  <w:tcBorders>
                    <w:top w:val="single" w:sz="4" w:space="0" w:color="auto"/>
                  </w:tcBorders>
                  <w:vAlign w:val="center"/>
                </w:tcPr>
                <w:p>
                  <w:pPr>
                    <w:pStyle w:val="39"/>
                    <w:rPr>
                      <w:rFonts w:eastAsia="宋体" w:hint="eastAsia"/>
                      <w:color w:val="auto"/>
                      <w:kern w:val="2"/>
                      <w:szCs w:val="21"/>
                      <w:lang w:val="en-US" w:eastAsia="zh-CN"/>
                    </w:rPr>
                  </w:pPr>
                  <w:r>
                    <w:rPr>
                      <w:rFonts w:hint="eastAsia"/>
                      <w:color w:val="auto"/>
                      <w:kern w:val="2"/>
                      <w:szCs w:val="21"/>
                      <w:lang w:val="en-US" w:eastAsia="zh-CN"/>
                    </w:rPr>
                    <w:t>废机油、废润滑油</w:t>
                  </w:r>
                </w:p>
              </w:tc>
              <w:tc>
                <w:tcPr>
                  <w:tcW w:w="1672" w:type="dxa"/>
                  <w:tcBorders>
                    <w:top w:val="single" w:sz="4" w:space="0" w:color="auto"/>
                  </w:tcBorders>
                  <w:vAlign w:val="center"/>
                </w:tcPr>
                <w:p>
                  <w:pPr>
                    <w:pStyle w:val="39"/>
                    <w:rPr>
                      <w:color w:val="auto"/>
                      <w:kern w:val="2"/>
                      <w:szCs w:val="21"/>
                      <w:highlight w:val="yellow"/>
                    </w:rPr>
                  </w:pPr>
                  <w:r>
                    <w:rPr>
                      <w:rFonts w:hint="eastAsia"/>
                      <w:color w:val="auto"/>
                      <w:kern w:val="2"/>
                      <w:szCs w:val="21"/>
                      <w:lang w:val="en-US" w:eastAsia="zh-CN"/>
                    </w:rPr>
                    <w:t>废油</w:t>
                  </w:r>
                </w:p>
              </w:tc>
              <w:tc>
                <w:tcPr>
                  <w:tcW w:w="901" w:type="dxa"/>
                  <w:vMerge/>
                  <w:tcBorders>
                    <w:left w:val="single" w:sz="6" w:space="0" w:color="000000"/>
                  </w:tcBorders>
                  <w:vAlign w:val="center"/>
                </w:tcPr>
                <w:p/>
              </w:tc>
              <w:tc>
                <w:tcPr>
                  <w:tcW w:w="2936" w:type="dxa"/>
                  <w:vMerge/>
                  <w:tcBorders>
                    <w:left w:val="single" w:sz="6" w:space="0" w:color="000000"/>
                  </w:tcBorders>
                  <w:vAlign w:val="center"/>
                </w:tcPr>
                <w:p/>
              </w:tc>
            </w:tr>
            <w:tr>
              <w:trPr>
                <w:trHeight w:val="249"/>
              </w:trPr>
              <w:tc>
                <w:tcPr>
                  <w:tcW w:w="668" w:type="dxa"/>
                  <w:vMerge/>
                  <w:vAlign w:val="center"/>
                </w:tcPr>
                <w:p/>
              </w:tc>
              <w:tc>
                <w:tcPr>
                  <w:tcW w:w="664" w:type="dxa"/>
                  <w:tcBorders>
                    <w:left w:val="single" w:sz="6" w:space="0" w:color="000000"/>
                  </w:tcBorders>
                  <w:shd w:val="clear" w:color="auto" w:fill="auto"/>
                  <w:vAlign w:val="center"/>
                </w:tcPr>
                <w:p>
                  <w:pPr>
                    <w:spacing w:line="240" w:lineRule="auto"/>
                    <w:ind w:firstLineChars="0" w:firstLine="0"/>
                    <w:jc w:val="center"/>
                    <w:rPr>
                      <w:rFonts w:ascii="Times New Roman" w:eastAsia="宋体" w:cs="Times New Roman" w:hAnsi="Times New Roman"/>
                      <w:color w:val="auto"/>
                      <w:kern w:val="2"/>
                      <w:sz w:val="21"/>
                      <w:szCs w:val="21"/>
                      <w:lang w:val="en-US" w:eastAsia="zh-CN" w:bidi="ar-SA"/>
                    </w:rPr>
                  </w:pPr>
                  <w:r>
                    <w:rPr>
                      <w:rFonts w:hint="eastAsia"/>
                      <w:color w:val="auto"/>
                      <w:sz w:val="21"/>
                      <w:szCs w:val="21"/>
                    </w:rPr>
                    <w:t>S</w:t>
                  </w:r>
                  <w:r>
                    <w:rPr>
                      <w:rFonts w:hint="eastAsia"/>
                      <w:color w:val="auto"/>
                      <w:sz w:val="21"/>
                      <w:szCs w:val="21"/>
                      <w:lang w:val="en-US" w:eastAsia="zh-CN"/>
                    </w:rPr>
                    <w:t>3</w:t>
                  </w:r>
                </w:p>
              </w:tc>
              <w:tc>
                <w:tcPr>
                  <w:tcW w:w="1516" w:type="dxa"/>
                  <w:tcBorders>
                    <w:top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2"/>
                      <w:sz w:val="21"/>
                      <w:szCs w:val="21"/>
                      <w:lang w:val="en-US" w:eastAsia="zh-CN" w:bidi="ar-SA"/>
                    </w:rPr>
                  </w:pPr>
                  <w:r>
                    <w:rPr>
                      <w:rFonts w:hint="eastAsia"/>
                      <w:color w:val="auto"/>
                      <w:kern w:val="2"/>
                      <w:szCs w:val="21"/>
                      <w:lang w:val="en-US" w:eastAsia="zh-CN"/>
                    </w:rPr>
                    <w:t>废原料包装</w:t>
                  </w:r>
                </w:p>
              </w:tc>
              <w:tc>
                <w:tcPr>
                  <w:tcW w:w="1672" w:type="dxa"/>
                  <w:tcBorders>
                    <w:top w:val="single" w:sz="4" w:space="0" w:color="auto"/>
                  </w:tcBorders>
                  <w:shd w:val="clear" w:color="auto" w:fill="auto"/>
                  <w:vAlign w:val="center"/>
                </w:tcPr>
                <w:p>
                  <w:pPr>
                    <w:pStyle w:val="39"/>
                    <w:ind w:firstLine="0"/>
                    <w:rPr>
                      <w:rFonts w:ascii="Times New Roman" w:eastAsia="宋体" w:cs="Times New Roman" w:hAnsi="Times New Roman"/>
                      <w:color w:val="auto"/>
                      <w:kern w:val="2"/>
                      <w:sz w:val="21"/>
                      <w:szCs w:val="21"/>
                      <w:lang w:val="en-US" w:eastAsia="zh-CN" w:bidi="ar-SA"/>
                      <w:highlight w:val="yellow"/>
                    </w:rPr>
                  </w:pPr>
                  <w:r>
                    <w:rPr>
                      <w:rFonts w:hint="eastAsia"/>
                      <w:color w:val="auto"/>
                      <w:kern w:val="2"/>
                      <w:szCs w:val="21"/>
                      <w:lang w:val="en-US" w:eastAsia="zh-CN"/>
                    </w:rPr>
                    <w:t>废包装</w:t>
                  </w:r>
                </w:p>
              </w:tc>
              <w:tc>
                <w:tcPr>
                  <w:tcW w:w="901" w:type="dxa"/>
                  <w:vMerge/>
                  <w:tcBorders>
                    <w:left w:val="single" w:sz="6" w:space="0" w:color="000000"/>
                  </w:tcBorders>
                  <w:vAlign w:val="center"/>
                </w:tcPr>
                <w:p/>
              </w:tc>
              <w:tc>
                <w:tcPr>
                  <w:tcW w:w="2936" w:type="dxa"/>
                  <w:tcBorders>
                    <w:top w:val="single" w:sz="4" w:space="0" w:color="auto"/>
                  </w:tcBorders>
                  <w:vAlign w:val="center"/>
                </w:tcPr>
                <w:p>
                  <w:pPr>
                    <w:pStyle w:val="39"/>
                    <w:rPr>
                      <w:color w:val="auto"/>
                      <w:kern w:val="2"/>
                      <w:szCs w:val="21"/>
                    </w:rPr>
                  </w:pPr>
                  <w:r>
                    <w:rPr>
                      <w:rFonts w:hint="eastAsia"/>
                      <w:color w:val="auto"/>
                      <w:kern w:val="2"/>
                      <w:szCs w:val="21"/>
                      <w:lang w:val="en-US" w:eastAsia="zh-CN"/>
                    </w:rPr>
                    <w:t>统一收集后定期外售</w:t>
                  </w:r>
                </w:p>
              </w:tc>
            </w:tr>
            <w:tr>
              <w:trPr>
                <w:trHeight w:val="23"/>
              </w:trPr>
              <w:tc>
                <w:tcPr>
                  <w:tcW w:w="668" w:type="dxa"/>
                  <w:vMerge/>
                  <w:vAlign w:val="center"/>
                </w:tcPr>
                <w:p/>
              </w:tc>
              <w:tc>
                <w:tcPr>
                  <w:tcW w:w="664" w:type="dxa"/>
                  <w:tcBorders>
                    <w:left w:val="single" w:sz="6" w:space="0" w:color="000000"/>
                  </w:tcBorders>
                  <w:vAlign w:val="center"/>
                </w:tcPr>
                <w:p>
                  <w:pPr>
                    <w:spacing w:line="240" w:lineRule="auto"/>
                    <w:ind w:firstLineChars="0" w:firstLine="0"/>
                    <w:jc w:val="center"/>
                    <w:rPr>
                      <w:rFonts w:eastAsia="宋体"/>
                      <w:color w:val="auto"/>
                      <w:sz w:val="21"/>
                      <w:szCs w:val="21"/>
                      <w:lang w:val="en-US" w:eastAsia="zh-CN"/>
                    </w:rPr>
                  </w:pPr>
                  <w:r>
                    <w:rPr>
                      <w:rFonts w:hint="eastAsia"/>
                      <w:color w:val="auto"/>
                      <w:sz w:val="21"/>
                      <w:szCs w:val="21"/>
                      <w:lang w:val="en-US" w:eastAsia="zh-CN"/>
                    </w:rPr>
                    <w:t>S5</w:t>
                  </w:r>
                </w:p>
              </w:tc>
              <w:tc>
                <w:tcPr>
                  <w:tcW w:w="1516" w:type="dxa"/>
                  <w:tcBorders>
                    <w:top w:val="single" w:sz="4" w:space="0" w:color="auto"/>
                    <w:bottom w:val="single" w:sz="4" w:space="0" w:color="auto"/>
                  </w:tcBorders>
                  <w:vAlign w:val="center"/>
                </w:tcPr>
                <w:p>
                  <w:pPr>
                    <w:pStyle w:val="39"/>
                    <w:rPr>
                      <w:color w:val="auto"/>
                      <w:kern w:val="2"/>
                      <w:szCs w:val="21"/>
                    </w:rPr>
                  </w:pPr>
                  <w:r>
                    <w:rPr>
                      <w:rFonts w:hint="eastAsia"/>
                      <w:color w:val="auto"/>
                      <w:kern w:val="2"/>
                      <w:szCs w:val="21"/>
                      <w:lang w:val="en-US" w:eastAsia="zh-CN"/>
                    </w:rPr>
                    <w:t>除尘灰</w:t>
                  </w:r>
                </w:p>
              </w:tc>
              <w:tc>
                <w:tcPr>
                  <w:tcW w:w="1672" w:type="dxa"/>
                  <w:tcBorders>
                    <w:left w:val="single" w:sz="6" w:space="0" w:color="000000"/>
                  </w:tcBorders>
                  <w:vAlign w:val="center"/>
                </w:tcPr>
                <w:p>
                  <w:pPr>
                    <w:pStyle w:val="39"/>
                    <w:rPr>
                      <w:rFonts w:eastAsia="宋体"/>
                      <w:color w:val="auto"/>
                      <w:kern w:val="2"/>
                      <w:szCs w:val="21"/>
                      <w:lang w:val="en-US" w:eastAsia="zh-CN"/>
                    </w:rPr>
                  </w:pPr>
                  <w:r>
                    <w:rPr>
                      <w:rFonts w:hint="eastAsia"/>
                      <w:color w:val="auto"/>
                      <w:kern w:val="2"/>
                      <w:szCs w:val="21"/>
                      <w:lang w:val="en-US" w:eastAsia="zh-CN"/>
                    </w:rPr>
                    <w:t>原料</w:t>
                  </w:r>
                </w:p>
              </w:tc>
              <w:tc>
                <w:tcPr>
                  <w:tcW w:w="901" w:type="dxa"/>
                  <w:vMerge/>
                  <w:tcBorders>
                    <w:left w:val="single" w:sz="6" w:space="0" w:color="000000"/>
                  </w:tcBorders>
                  <w:vAlign w:val="center"/>
                </w:tcPr>
                <w:p/>
              </w:tc>
              <w:tc>
                <w:tcPr>
                  <w:tcW w:w="2936" w:type="dxa"/>
                  <w:tcBorders>
                    <w:top w:val="single" w:sz="4" w:space="0" w:color="auto"/>
                    <w:bottom w:val="single" w:sz="4" w:space="0" w:color="auto"/>
                  </w:tcBorders>
                  <w:vAlign w:val="center"/>
                </w:tcPr>
                <w:p>
                  <w:pPr>
                    <w:pStyle w:val="39"/>
                    <w:rPr>
                      <w:rFonts w:eastAsia="宋体" w:hint="eastAsia"/>
                      <w:color w:val="auto"/>
                      <w:kern w:val="2"/>
                      <w:szCs w:val="21"/>
                      <w:lang w:val="en-US" w:eastAsia="zh-CN"/>
                    </w:rPr>
                  </w:pPr>
                  <w:r>
                    <w:rPr>
                      <w:rFonts w:hint="eastAsia"/>
                      <w:color w:val="auto"/>
                      <w:kern w:val="2"/>
                      <w:szCs w:val="21"/>
                      <w:lang w:val="en-US" w:eastAsia="zh-CN"/>
                    </w:rPr>
                    <w:t>回用于生产</w:t>
                  </w:r>
                </w:p>
              </w:tc>
            </w:tr>
            <w:tr>
              <w:trPr>
                <w:trHeight w:val="23"/>
              </w:trPr>
              <w:tc>
                <w:tcPr>
                  <w:tcW w:w="668" w:type="dxa"/>
                  <w:vMerge/>
                  <w:vAlign w:val="center"/>
                </w:tcPr>
                <w:p/>
              </w:tc>
              <w:tc>
                <w:tcPr>
                  <w:tcW w:w="664" w:type="dxa"/>
                  <w:tcBorders>
                    <w:left w:val="single" w:sz="6" w:space="0" w:color="000000"/>
                  </w:tcBorders>
                  <w:vAlign w:val="center"/>
                </w:tcPr>
                <w:p>
                  <w:pPr>
                    <w:spacing w:line="240" w:lineRule="auto"/>
                    <w:ind w:firstLineChars="0" w:firstLine="0"/>
                    <w:jc w:val="center"/>
                    <w:rPr>
                      <w:rFonts w:eastAsia="宋体"/>
                      <w:color w:val="auto"/>
                      <w:sz w:val="21"/>
                      <w:szCs w:val="21"/>
                      <w:lang w:val="en-US" w:eastAsia="zh-CN"/>
                    </w:rPr>
                  </w:pPr>
                  <w:r>
                    <w:rPr>
                      <w:rFonts w:hint="eastAsia"/>
                      <w:color w:val="auto"/>
                      <w:sz w:val="21"/>
                      <w:szCs w:val="21"/>
                      <w:lang w:val="en-US" w:eastAsia="zh-CN"/>
                    </w:rPr>
                    <w:t>S7</w:t>
                  </w:r>
                </w:p>
              </w:tc>
              <w:tc>
                <w:tcPr>
                  <w:tcW w:w="1516" w:type="dxa"/>
                  <w:tcBorders>
                    <w:top w:val="single" w:sz="4" w:space="0" w:color="auto"/>
                    <w:bottom w:val="single" w:sz="4" w:space="0" w:color="auto"/>
                  </w:tcBorders>
                  <w:vAlign w:val="center"/>
                </w:tcPr>
                <w:p>
                  <w:pPr>
                    <w:pStyle w:val="39"/>
                    <w:ind w:firstLine="0"/>
                    <w:rPr>
                      <w:color w:val="auto"/>
                      <w:kern w:val="2"/>
                      <w:szCs w:val="21"/>
                    </w:rPr>
                  </w:pPr>
                  <w:r>
                    <w:rPr>
                      <w:color w:val="auto"/>
                      <w:kern w:val="2"/>
                      <w:szCs w:val="21"/>
                    </w:rPr>
                    <w:t>职工</w:t>
                  </w:r>
                  <w:r>
                    <w:rPr>
                      <w:rFonts w:hint="eastAsia"/>
                      <w:color w:val="auto"/>
                      <w:kern w:val="2"/>
                      <w:szCs w:val="21"/>
                    </w:rPr>
                    <w:t>办公生活</w:t>
                  </w:r>
                </w:p>
              </w:tc>
              <w:tc>
                <w:tcPr>
                  <w:tcW w:w="1672" w:type="dxa"/>
                  <w:tcBorders>
                    <w:left w:val="single" w:sz="6" w:space="0" w:color="000000"/>
                  </w:tcBorders>
                  <w:vAlign w:val="center"/>
                </w:tcPr>
                <w:p>
                  <w:pPr>
                    <w:pStyle w:val="39"/>
                    <w:ind w:firstLine="0"/>
                    <w:rPr>
                      <w:rFonts w:eastAsia="宋体" w:hint="eastAsia"/>
                      <w:color w:val="auto"/>
                      <w:kern w:val="2"/>
                      <w:szCs w:val="21"/>
                      <w:lang w:val="en-US" w:eastAsia="zh-CN"/>
                    </w:rPr>
                  </w:pPr>
                  <w:r>
                    <w:rPr>
                      <w:rFonts w:hint="eastAsia"/>
                      <w:color w:val="auto"/>
                      <w:kern w:val="2"/>
                      <w:szCs w:val="21"/>
                    </w:rPr>
                    <w:t>生活垃圾</w:t>
                  </w:r>
                </w:p>
              </w:tc>
              <w:tc>
                <w:tcPr>
                  <w:tcW w:w="901" w:type="dxa"/>
                  <w:vMerge/>
                  <w:tcBorders>
                    <w:left w:val="single" w:sz="6" w:space="0" w:color="000000"/>
                  </w:tcBorders>
                  <w:vAlign w:val="center"/>
                </w:tcPr>
                <w:p/>
              </w:tc>
              <w:tc>
                <w:tcPr>
                  <w:tcW w:w="2936" w:type="dxa"/>
                  <w:tcBorders>
                    <w:top w:val="single" w:sz="4" w:space="0" w:color="auto"/>
                    <w:bottom w:val="single" w:sz="4" w:space="0" w:color="auto"/>
                  </w:tcBorders>
                  <w:vAlign w:val="center"/>
                </w:tcPr>
                <w:p>
                  <w:pPr>
                    <w:pStyle w:val="39"/>
                    <w:rPr>
                      <w:color w:val="auto"/>
                      <w:kern w:val="2"/>
                      <w:szCs w:val="21"/>
                    </w:rPr>
                  </w:pPr>
                  <w:r>
                    <w:rPr>
                      <w:rFonts w:hint="eastAsia"/>
                      <w:color w:val="auto"/>
                      <w:kern w:val="2"/>
                      <w:szCs w:val="21"/>
                      <w:lang w:val="en-US" w:eastAsia="zh-CN"/>
                    </w:rPr>
                    <w:t>由环卫部门定期清运</w:t>
                  </w:r>
                </w:p>
              </w:tc>
            </w:tr>
          </w:tbl>
          <w:p>
            <w:pPr>
              <w:ind w:left="0" w:firstLineChars="0" w:firstLine="0"/>
              <w:rPr>
                <w:rFonts w:hint="eastAsia"/>
                <w:bCs/>
                <w:color w:val="auto"/>
                <w:szCs w:val="21"/>
                <w:lang w:val="en-US" w:eastAsia="zh-CN"/>
              </w:rPr>
            </w:pPr>
          </w:p>
          <w:p>
            <w:pPr>
              <w:ind w:left="0" w:firstLineChars="0" w:firstLine="0"/>
              <w:rPr>
                <w:rFonts w:hint="eastAsia"/>
                <w:bCs/>
                <w:color w:val="auto"/>
                <w:szCs w:val="21"/>
                <w:lang w:val="en-US" w:eastAsia="zh-CN"/>
              </w:rPr>
            </w:pPr>
            <w:r>
              <w:rPr>
                <w:rFonts w:hint="eastAsia"/>
                <w:bCs/>
                <w:color w:val="auto"/>
                <w:szCs w:val="21"/>
                <w:lang w:val="en-US" w:eastAsia="zh-CN"/>
              </w:rPr>
              <mc:AlternateContent>
                <mc:Choice Requires="wps">
                  <w:drawing>
                    <wp:anchor distT="0" distB="0" distL="114300" distR="114300" simplePos="0" relativeHeight="682" behindDoc="0" locked="0" layoutInCell="1" hidden="0" allowOverlap="1">
                      <wp:simplePos x="0" y="0"/>
                      <wp:positionH relativeFrom="column">
                        <wp:posOffset>1361440</wp:posOffset>
                      </wp:positionH>
                      <wp:positionV relativeFrom="paragraph">
                        <wp:posOffset>247015</wp:posOffset>
                      </wp:positionV>
                      <wp:extent cx="2673984" cy="2642235"/>
                      <wp:wrapNone/>
                      <wp:docPr id="1048" name="组合 1048"/>
                      <wp:cNvGraphicFramePr>
                        <a:graphicFrameLocks noChangeAspect="0"/>
                      </wp:cNvGraphicFramePr>
                      <a:graphic>
                        <a:graphicData uri="http://schemas.microsoft.com/office/word/2010/wordprocessingGroup">
                          <wpg:wgp>
                            <wpg:cNvPr id="417" name="组合 417"/>
                            <wpg:cNvGrpSpPr/>
                            <wpg:grpSpPr>
                              <a:xfrm rot="0">
                                <a:off x="0" y="0"/>
                                <a:ext cx="2673984" cy="2642235"/>
                                <a:chOff x="0" y="0"/>
                                <a:chExt cx="2673984" cy="2642235"/>
                              </a:xfrm>
                              <a:prstGeom prst="rect"/>
                              <a:solidFill>
                                <a:srgbClr val="FFFFFF"/>
                              </a:solidFill>
                              <a:ln w="9525" cmpd="sng" cap="flat">
                                <a:solidFill>
                                  <a:srgbClr val="000000"/>
                                </a:solidFill>
                                <a:prstDash val="solid"/>
                                <a:miter/>
                              </a:ln>
                            </wpg:grpSpPr>
                            <wps:wsp>
                              <wps:cNvPr id="418" name="文本框 27 418"/>
                              <wps:cNvSpPr/>
                              <wps:spPr>
                                <a:xfrm rot="0">
                                  <a:off x="488315" y="95244"/>
                                  <a:ext cx="477520" cy="271795"/>
                                </a:xfrm>
                                <a:prstGeom prst="rect"/>
                                <a:noFill/>
                                <a:ln w="6350" cmpd="sng" cap="flat">
                                  <a:noFill/>
                                  <a:prstDash val="solid"/>
                                  <a:round/>
                                </a:ln>
                              </wps:spPr>
                              <wps:txbx id="419">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wps:txbx>
                              <wps:bodyPr vert="horz" wrap="square" lIns="91440" tIns="45720" rIns="91440" bIns="45720" anchor="t" anchorCtr="0" upright="0">
                                <a:noAutofit/>
                              </wps:bodyPr>
                            </wps:wsp>
                            <wps:wsp>
                              <wps:cNvPr id="420" name="直接箭头连接符 38 420"/>
                              <wps:cNvSpPr/>
                              <wps:spPr>
                                <a:xfrm rot="0">
                                  <a:off x="747395" y="2064403"/>
                                  <a:ext cx="8254" cy="30986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21" name="直接箭头连接符 28 421"/>
                              <wps:cNvSpPr/>
                              <wps:spPr>
                                <a:xfrm flipV="1" rot="21600000">
                                  <a:off x="906781" y="262889"/>
                                  <a:ext cx="368935" cy="3830"/>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22" name="文本框 29 422"/>
                              <wps:cNvSpPr/>
                              <wps:spPr>
                                <a:xfrm rot="0">
                                  <a:off x="1262380" y="144158"/>
                                  <a:ext cx="477520" cy="271795"/>
                                </a:xfrm>
                                <a:prstGeom prst="rect"/>
                                <a:noFill/>
                                <a:ln w="6350" cmpd="sng" cap="flat">
                                  <a:noFill/>
                                  <a:prstDash val="solid"/>
                                  <a:round/>
                                </a:ln>
                              </wps:spPr>
                              <wps:txbx id="423">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wps:txbx>
                              <wps:bodyPr vert="horz" wrap="square" lIns="91440" tIns="45720" rIns="91440" bIns="45720" anchor="t" anchorCtr="0" upright="0">
                                <a:noAutofit/>
                              </wps:bodyPr>
                            </wps:wsp>
                            <wps:wsp>
                              <wps:cNvPr id="424" name="直接箭头连接符 30 424"/>
                              <wps:cNvSpPr/>
                              <wps:spPr>
                                <a:xfrm rot="0">
                                  <a:off x="721995" y="346089"/>
                                  <a:ext cx="8254" cy="30986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25" name="文本框 31 425"/>
                              <wps:cNvSpPr/>
                              <wps:spPr>
                                <a:xfrm rot="0">
                                  <a:off x="310515" y="642619"/>
                                  <a:ext cx="761999" cy="271795"/>
                                </a:xfrm>
                                <a:prstGeom prst="rect"/>
                                <a:noFill/>
                                <a:ln w="6350" cmpd="sng" cap="flat">
                                  <a:solidFill>
                                    <a:srgbClr val="000000"/>
                                  </a:solidFill>
                                  <a:prstDash val="solid"/>
                                  <a:round/>
                                </a:ln>
                              </wps:spPr>
                              <wps:txbx id="426">
                                <w:txbxContent>
                                  <w:p>
                                    <w:pPr>
                                      <w:ind w:left="0" w:firstLineChars="0" w:firstLine="0"/>
                                      <w:rPr>
                                        <w:rFonts w:eastAsia="宋体"/>
                                        <w:sz w:val="21"/>
                                        <w:szCs w:val="21"/>
                                        <w:lang w:val="en-US" w:eastAsia="zh-CN"/>
                                      </w:rPr>
                                    </w:pPr>
                                    <w:r>
                                      <w:rPr>
                                        <w:rFonts w:eastAsia="宋体" w:hint="eastAsia"/>
                                        <w:sz w:val="21"/>
                                        <w:szCs w:val="21"/>
                                        <w:lang w:val="en-US" w:eastAsia="zh-CN"/>
                                      </w:rPr>
                                      <w:t>称量投料</w:t>
                                    </w:r>
                                  </w:p>
                                </w:txbxContent>
                              </wps:txbx>
                              <wps:bodyPr vert="horz" wrap="square" lIns="91440" tIns="45720" rIns="91440" bIns="45720" anchor="t" anchorCtr="0" upright="0">
                                <a:noAutofit/>
                              </wps:bodyPr>
                            </wps:wsp>
                            <wps:wsp>
                              <wps:cNvPr id="427" name="直接箭头连接符 32 427"/>
                              <wps:cNvSpPr/>
                              <wps:spPr>
                                <a:xfrm rot="0">
                                  <a:off x="749935" y="923921"/>
                                  <a:ext cx="8255" cy="30986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28" name="文本框 36 428"/>
                              <wps:cNvSpPr/>
                              <wps:spPr>
                                <a:xfrm rot="0">
                                  <a:off x="342900" y="1218606"/>
                                  <a:ext cx="731519" cy="271796"/>
                                </a:xfrm>
                                <a:prstGeom prst="rect"/>
                                <a:noFill/>
                                <a:ln w="6350" cmpd="sng" cap="flat">
                                  <a:solidFill>
                                    <a:srgbClr val="000000"/>
                                  </a:solidFill>
                                  <a:prstDash val="solid"/>
                                  <a:round/>
                                </a:ln>
                              </wps:spPr>
                              <wps:txbx id="429">
                                <w:txbxContent>
                                  <w:p>
                                    <w:pPr>
                                      <w:ind w:left="0" w:firstLineChars="0" w:firstLine="0"/>
                                      <w:rPr>
                                        <w:rFonts w:eastAsia="宋体"/>
                                        <w:sz w:val="21"/>
                                        <w:szCs w:val="21"/>
                                        <w:lang w:val="en-US" w:eastAsia="zh-CN"/>
                                      </w:rPr>
                                    </w:pPr>
                                    <w:r>
                                      <w:rPr>
                                        <w:rFonts w:eastAsia="宋体" w:hint="eastAsia"/>
                                        <w:sz w:val="21"/>
                                        <w:szCs w:val="21"/>
                                        <w:lang w:val="en-US" w:eastAsia="zh-CN"/>
                                      </w:rPr>
                                      <w:t>混合搅拌</w:t>
                                    </w:r>
                                  </w:p>
                                </w:txbxContent>
                              </wps:txbx>
                              <wps:bodyPr vert="horz" wrap="square" lIns="91440" tIns="45720" rIns="91440" bIns="45720" anchor="t" anchorCtr="0" upright="0">
                                <a:noAutofit/>
                              </wps:bodyPr>
                            </wps:wsp>
                            <wps:wsp>
                              <wps:cNvPr id="430" name="直接箭头连接符 37 430"/>
                              <wps:cNvSpPr/>
                              <wps:spPr>
                                <a:xfrm rot="0">
                                  <a:off x="761364" y="1492893"/>
                                  <a:ext cx="8255" cy="309865"/>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31" name="文本框 39 431"/>
                              <wps:cNvSpPr/>
                              <wps:spPr>
                                <a:xfrm rot="0">
                                  <a:off x="496570" y="1781209"/>
                                  <a:ext cx="504824" cy="271796"/>
                                </a:xfrm>
                                <a:prstGeom prst="rect"/>
                                <a:noFill/>
                                <a:ln w="6350" cmpd="sng" cap="flat">
                                  <a:solidFill>
                                    <a:srgbClr val="000000"/>
                                  </a:solidFill>
                                  <a:prstDash val="solid"/>
                                  <a:round/>
                                </a:ln>
                              </wps:spPr>
                              <wps:txbx id="432">
                                <w:txbxContent>
                                  <w:p>
                                    <w:pPr>
                                      <w:ind w:left="0" w:firstLineChars="0" w:firstLine="0"/>
                                      <w:rPr>
                                        <w:rFonts w:eastAsia="宋体"/>
                                        <w:sz w:val="21"/>
                                        <w:szCs w:val="21"/>
                                        <w:lang w:val="en-US" w:eastAsia="zh-CN"/>
                                      </w:rPr>
                                    </w:pPr>
                                    <w:r>
                                      <w:rPr>
                                        <w:rFonts w:eastAsia="宋体" w:hint="eastAsia"/>
                                        <w:sz w:val="21"/>
                                        <w:szCs w:val="21"/>
                                        <w:lang w:val="en-US" w:eastAsia="zh-CN"/>
                                      </w:rPr>
                                      <w:t>包装</w:t>
                                    </w:r>
                                  </w:p>
                                </w:txbxContent>
                              </wps:txbx>
                              <wps:bodyPr vert="horz" wrap="square" lIns="91440" tIns="45720" rIns="91440" bIns="45720" anchor="t" anchorCtr="0" upright="0">
                                <a:noAutofit/>
                              </wps:bodyPr>
                            </wps:wsp>
                            <wps:wsp>
                              <wps:cNvPr id="433" name="文本框 40 433"/>
                              <wps:cNvSpPr/>
                              <wps:spPr>
                                <a:xfrm rot="0">
                                  <a:off x="374650" y="2370439"/>
                                  <a:ext cx="893445" cy="271795"/>
                                </a:xfrm>
                                <a:prstGeom prst="rect"/>
                                <a:noFill/>
                                <a:ln w="6350" cmpd="sng" cap="flat">
                                  <a:noFill/>
                                  <a:prstDash val="solid"/>
                                  <a:round/>
                                </a:ln>
                              </wps:spPr>
                              <wps:txbx id="434">
                                <w:txbxContent>
                                  <w:p>
                                    <w:pPr>
                                      <w:ind w:left="0" w:firstLineChars="0" w:firstLine="0"/>
                                      <w:rPr>
                                        <w:rFonts w:eastAsia="宋体"/>
                                        <w:sz w:val="21"/>
                                        <w:szCs w:val="21"/>
                                        <w:lang w:val="en-US" w:eastAsia="zh-CN"/>
                                      </w:rPr>
                                    </w:pPr>
                                    <w:r>
                                      <w:rPr>
                                        <w:rFonts w:eastAsia="宋体" w:hint="eastAsia"/>
                                        <w:sz w:val="21"/>
                                        <w:szCs w:val="21"/>
                                        <w:lang w:val="en-US" w:eastAsia="zh-CN"/>
                                      </w:rPr>
                                      <w:t>入库、待售</w:t>
                                    </w:r>
                                  </w:p>
                                </w:txbxContent>
                              </wps:txbx>
                              <wps:bodyPr vert="horz" wrap="square" lIns="91440" tIns="45720" rIns="91440" bIns="45720" anchor="t" anchorCtr="0" upright="0">
                                <a:noAutofit/>
                              </wps:bodyPr>
                            </wps:wsp>
                            <wps:wsp>
                              <wps:cNvPr id="435" name="直接箭头连接符 41 435"/>
                              <wps:cNvSpPr/>
                              <wps:spPr>
                                <a:xfrm flipV="1" rot="21600000">
                                  <a:off x="1015365" y="1934227"/>
                                  <a:ext cx="472440" cy="1292"/>
                                </a:xfrm>
                                <a:prstGeom prst="straightConnector1"/>
                                <a:noFill/>
                                <a:ln w="9525" cmpd="sng" cap="flat">
                                  <a:solidFill>
                                    <a:srgbClr val="000000"/>
                                  </a:solidFill>
                                  <a:prstDash val="solid"/>
                                  <a:round/>
                                  <a:tailEnd type="arrow" w="med" len="med"/>
                                </a:ln>
                              </wps:spPr>
                              <wps:bodyPr vert="horz" wrap="square" lIns="91440" tIns="45720" rIns="91440" bIns="45720" anchor="t" anchorCtr="0" upright="0">
                                <a:noAutofit/>
                              </wps:bodyPr>
                            </wps:wsp>
                            <wps:wsp>
                              <wps:cNvPr id="436" name="文本框 42 436"/>
                              <wps:cNvSpPr/>
                              <wps:spPr>
                                <a:xfrm rot="0">
                                  <a:off x="1444624" y="1798283"/>
                                  <a:ext cx="477519" cy="271795"/>
                                </a:xfrm>
                                <a:prstGeom prst="rect"/>
                                <a:noFill/>
                                <a:ln w="6350" cmpd="sng" cap="flat">
                                  <a:noFill/>
                                  <a:prstDash val="solid"/>
                                  <a:round/>
                                </a:ln>
                              </wps:spPr>
                              <wps:txbx id="437">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wps:txbx>
                              <wps:bodyPr vert="horz" wrap="square" lIns="91440" tIns="45720" rIns="91440" bIns="45720" anchor="t" anchorCtr="0" upright="0">
                                <a:noAutofit/>
                              </wps:bodyPr>
                            </wps:wsp>
                            <wps:wsp>
                              <wps:cNvPr id="438" name="文本框 43 438"/>
                              <wps:cNvSpPr/>
                              <wps:spPr>
                                <a:xfrm rot="0">
                                  <a:off x="922655" y="1656709"/>
                                  <a:ext cx="726440" cy="271796"/>
                                </a:xfrm>
                                <a:prstGeom prst="rect"/>
                                <a:noFill/>
                                <a:ln w="6350" cmpd="sng" cap="flat">
                                  <a:noFill/>
                                  <a:prstDash val="solid"/>
                                  <a:round/>
                                </a:ln>
                              </wps:spPr>
                              <wps:txbx id="439">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wps:txbx>
                              <wps:bodyPr vert="horz" wrap="square" lIns="91440" tIns="45720" rIns="91440" bIns="45720" anchor="t" anchorCtr="0" upright="0">
                                <a:noAutofit/>
                              </wps:bodyPr>
                            </wps:wsp>
                            <wps:wsp>
                              <wps:cNvPr id="440" name="文本框 44 440"/>
                              <wps:cNvSpPr/>
                              <wps:spPr>
                                <a:xfrm rot="0">
                                  <a:off x="796926" y="0"/>
                                  <a:ext cx="726440" cy="271795"/>
                                </a:xfrm>
                                <a:prstGeom prst="rect"/>
                                <a:noFill/>
                                <a:ln w="6350" cmpd="sng" cap="flat">
                                  <a:noFill/>
                                  <a:prstDash val="solid"/>
                                  <a:round/>
                                </a:ln>
                              </wps:spPr>
                              <wps:txbx id="441">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wps:txbx>
                              <wps:bodyPr vert="horz" wrap="square" lIns="91440" tIns="45720" rIns="91440" bIns="45720" anchor="t" anchorCtr="0" upright="0">
                                <a:noAutofit/>
                              </wps:bodyPr>
                            </wps:wsp>
                            <wps:wsp>
                              <wps:cNvPr id="442" name="文本框 45 442"/>
                              <wps:cNvSpPr/>
                              <wps:spPr>
                                <a:xfrm rot="0">
                                  <a:off x="1578610" y="130775"/>
                                  <a:ext cx="924559" cy="271795"/>
                                </a:xfrm>
                                <a:prstGeom prst="rect"/>
                                <a:noFill/>
                                <a:ln w="6350" cmpd="sng" cap="flat">
                                  <a:noFill/>
                                  <a:prstDash val="solid"/>
                                  <a:round/>
                                </a:ln>
                              </wps:spPr>
                              <wps:txbx id="443">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wps:txbx>
                              <wps:bodyPr vert="horz" wrap="square" lIns="91440" tIns="45720" rIns="91440" bIns="45720" anchor="t" anchorCtr="0" upright="0">
                                <a:noAutofit/>
                              </wps:bodyPr>
                            </wps:wsp>
                            <wps:wsp>
                              <wps:cNvPr id="444" name="文本框 46 444"/>
                              <wps:cNvSpPr/>
                              <wps:spPr>
                                <a:xfrm rot="0">
                                  <a:off x="1122681" y="641973"/>
                                  <a:ext cx="829944" cy="271795"/>
                                </a:xfrm>
                                <a:prstGeom prst="rect"/>
                                <a:noFill/>
                                <a:ln w="6350" cmpd="sng" cap="flat">
                                  <a:noFill/>
                                  <a:prstDash val="solid"/>
                                  <a:round/>
                                </a:ln>
                              </wps:spPr>
                              <wps:txbx id="445">
                                <w:txbxContent>
                                  <w:p>
                                    <w:pPr>
                                      <w:ind w:left="0" w:firstLineChars="0" w:firstLine="0"/>
                                      <w:rPr>
                                        <w:rFonts w:eastAsia="宋体"/>
                                        <w:sz w:val="21"/>
                                        <w:szCs w:val="21"/>
                                        <w:lang w:val="en-US" w:eastAsia="zh-CN"/>
                                      </w:rPr>
                                    </w:pPr>
                                    <w:r>
                                      <w:rPr>
                                        <w:rFonts w:eastAsia="宋体" w:hint="eastAsia"/>
                                        <w:sz w:val="21"/>
                                        <w:szCs w:val="21"/>
                                        <w:lang w:val="en-US" w:eastAsia="zh-CN"/>
                                      </w:rPr>
                                      <w:t>G2、S3、N</w:t>
                                    </w:r>
                                  </w:p>
                                </w:txbxContent>
                              </wps:txbx>
                              <wps:bodyPr vert="horz" wrap="square" lIns="91440" tIns="45720" rIns="91440" bIns="45720" anchor="t" anchorCtr="0" upright="0">
                                <a:noAutofit/>
                              </wps:bodyPr>
                            </wps:wsp>
                            <wps:wsp>
                              <wps:cNvPr id="446" name="文本框 48 446"/>
                              <wps:cNvSpPr/>
                              <wps:spPr>
                                <a:xfrm rot="0">
                                  <a:off x="1836420" y="1803405"/>
                                  <a:ext cx="837564" cy="271796"/>
                                </a:xfrm>
                                <a:prstGeom prst="rect"/>
                                <a:noFill/>
                                <a:ln w="6350" cmpd="sng" cap="flat">
                                  <a:noFill/>
                                  <a:prstDash val="solid"/>
                                  <a:round/>
                                </a:ln>
                              </wps:spPr>
                              <wps:txbx id="447">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wps:txbx>
                              <wps:bodyPr vert="horz" wrap="square" lIns="91440" tIns="45720" rIns="91440" bIns="45720" anchor="t" anchorCtr="0" upright="0">
                                <a:noAutofit/>
                              </wps:bodyPr>
                            </wps:wsp>
                            <wps:wsp>
                              <wps:cNvPr id="448" name="文本框 49 448"/>
                              <wps:cNvSpPr/>
                              <wps:spPr>
                                <a:xfrm rot="0">
                                  <a:off x="1031875" y="1197009"/>
                                  <a:ext cx="302259" cy="271795"/>
                                </a:xfrm>
                                <a:prstGeom prst="rect"/>
                                <a:noFill/>
                                <a:ln w="6350" cmpd="sng" cap="flat">
                                  <a:noFill/>
                                  <a:prstDash val="solid"/>
                                  <a:round/>
                                </a:ln>
                              </wps:spPr>
                              <wps:txbx id="449">
                                <w:txbxContent>
                                  <w:p>
                                    <w:pPr>
                                      <w:ind w:left="0" w:firstLineChars="0" w:firstLine="0"/>
                                      <w:rPr>
                                        <w:rFonts w:eastAsia="宋体"/>
                                        <w:sz w:val="21"/>
                                        <w:szCs w:val="21"/>
                                        <w:lang w:val="en-US" w:eastAsia="zh-CN"/>
                                      </w:rPr>
                                    </w:pPr>
                                    <w:r>
                                      <w:rPr>
                                        <w:rFonts w:eastAsia="宋体" w:hint="eastAsia"/>
                                        <w:sz w:val="21"/>
                                        <w:szCs w:val="21"/>
                                        <w:lang w:val="en-US" w:eastAsia="zh-CN"/>
                                      </w:rPr>
                                      <w:t>N</w:t>
                                    </w:r>
                                  </w:p>
                                </w:txbxContent>
                              </wps:txbx>
                              <wps:bodyPr vert="horz" wrap="square" lIns="91440" tIns="45720" rIns="91440" bIns="45720" anchor="t" anchorCtr="0" upright="0">
                                <a:noAutofit/>
                              </wps:bodyPr>
                            </wps:wsp>
                            <wps:wsp>
                              <wps:cNvPr id="450" name="文本框 52 450"/>
                              <wps:cNvSpPr/>
                              <wps:spPr>
                                <a:xfrm rot="0">
                                  <a:off x="0" y="1783701"/>
                                  <a:ext cx="610235" cy="271796"/>
                                </a:xfrm>
                                <a:prstGeom prst="rect"/>
                                <a:noFill/>
                                <a:ln w="6350" cmpd="sng" cap="flat">
                                  <a:noFill/>
                                  <a:prstDash val="solid"/>
                                  <a:round/>
                                </a:ln>
                              </wps:spPr>
                              <wps:txbx id="451">
                                <w:txbxContent>
                                  <w:p>
                                    <w:pPr>
                                      <w:ind w:left="0" w:firstLineChars="0" w:firstLine="0"/>
                                      <w:rPr>
                                        <w:rFonts w:eastAsia="宋体"/>
                                        <w:sz w:val="21"/>
                                        <w:szCs w:val="21"/>
                                        <w:lang w:val="en-US" w:eastAsia="zh-CN"/>
                                      </w:rPr>
                                    </w:pPr>
                                    <w:r>
                                      <w:rPr>
                                        <w:rFonts w:eastAsia="宋体" w:hint="eastAsia"/>
                                        <w:sz w:val="21"/>
                                        <w:szCs w:val="21"/>
                                        <w:lang w:val="en-US" w:eastAsia="zh-CN"/>
                                      </w:rPr>
                                      <w:t>G3、N</w:t>
                                    </w:r>
                                  </w:p>
                                </w:txbxContent>
                              </wps:txbx>
                              <wps:bodyPr vert="horz" wrap="square" lIns="91440" tIns="45720" rIns="91440" bIns="45720" anchor="t" anchorCtr="0" upright="0">
                                <a:noAutofit/>
                              </wps:bodyPr>
                            </wps:wsp>
                            <wps:bodyPr vert="horz" wrap="square" lIns="91440" tIns="45720" rIns="91440" bIns="45720" anchor="t" anchorCtr="0" upright="1">
                              <a:noAutofit/>
                            </wps:bodyPr>
                          </wpg:wgp>
                        </a:graphicData>
                      </a:graphic>
                    </wp:anchor>
                  </w:drawing>
                </mc:Choice>
                <mc:Fallback>
                  <w:pict>
                    <v:group type="#_x0000_t1" id="组合 1048" o:spid="_x0000_s452" coordorigin="4192,2545" coordsize="4210,4161" style="position:absolute;margin-left:107.2pt;margin-top:19.45pt;width:210.54996pt;height:208.05002pt;z-index:682;mso-position-horizontal:absolute;mso-position-vertical:absolute;">
                      <v:rect type="#_x0000_t1" id="_s453" o:spid="_x0000_s453" style="position:absolute;left:4961;top:2695;width:752;height:428;mso-wrap-style:square;" filled="f" stroked="f" strokeweight="0.5pt">
                        <v:textbox id="961"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原料</w:t>
                              </w:r>
                            </w:p>
                          </w:txbxContent>
                        </v:textbox>
                        <v:stroke/>
                      </v:rect>
                      <v:shape type="#_x0000_t32" id="直接箭头连接符 38 420" o:spid="_x0000_s454" style="position:absolute;left:5369;top:5796;width:13;height:488;" filled="f" stroked="t">
                        <v:stroke color="#000000" endarrow="open"/>
                      </v:shape>
                      <v:shape type="#_x0000_t32" id="直接箭头连接符 28 421" o:spid="_x0000_s455" style="position:absolute;left:5620;top:2959;width:581;height:6;flip:y;" filled="f" stroked="t">
                        <v:stroke color="#000000" endarrow="open"/>
                      </v:shape>
                      <v:rect type="#_x0000_t1" id="_s456" o:spid="_x0000_s456" style="position:absolute;left:6180;top:2772;width:752;height:428;mso-wrap-style:square;" filled="f" stroked="f" strokeweight="0.5pt">
                        <v:textbox id="962"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v:textbox>
                        <v:stroke/>
                      </v:rect>
                      <v:shape type="#_x0000_t32" id="直接箭头连接符 30 424" o:spid="_x0000_s457" style="position:absolute;left:5329;top:3090;width:13;height:488;" filled="f" stroked="t">
                        <v:stroke color="#000000" endarrow="open"/>
                      </v:shape>
                      <v:rect type="#_x0000_t1" id="_s458" o:spid="_x0000_s458" style="position:absolute;left:4681;top:3557;width:1199;height:428;mso-wrap-style:square;" filled="f" stroked="t" strokeweight="0.5pt">
                        <v:textbox id="963"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称量投料</w:t>
                              </w:r>
                            </w:p>
                          </w:txbxContent>
                        </v:textbox>
                        <v:stroke color="#000000"/>
                      </v:rect>
                      <v:shape type="#_x0000_t32" id="直接箭头连接符 32 427" o:spid="_x0000_s459" style="position:absolute;left:5373;top:4000;width:13;height:488;" filled="f" stroked="t">
                        <v:stroke color="#000000" endarrow="open"/>
                      </v:shape>
                      <v:rect type="#_x0000_t1" id="_s460" o:spid="_x0000_s460" style="position:absolute;left:4732;top:4464;width:1151;height:428;mso-wrap-style:square;" filled="f" stroked="t" strokeweight="0.5pt">
                        <v:textbox id="964"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混合搅拌</w:t>
                              </w:r>
                            </w:p>
                          </w:txbxContent>
                        </v:textbox>
                        <v:stroke color="#000000"/>
                      </v:rect>
                      <v:shape type="#_x0000_t32" id="直接箭头连接符 37 430" o:spid="_x0000_s461" style="position:absolute;left:5391;top:4896;width:13;height:488;" filled="f" stroked="t">
                        <v:stroke color="#000000" endarrow="open"/>
                      </v:shape>
                      <v:rect type="#_x0000_t1" id="_s462" o:spid="_x0000_s462" style="position:absolute;left:4974;top:5350;width:794;height:428;mso-wrap-style:square;" filled="f" stroked="t" strokeweight="0.5pt">
                        <v:textbox id="965"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包装</w:t>
                              </w:r>
                            </w:p>
                          </w:txbxContent>
                        </v:textbox>
                        <v:stroke color="#000000"/>
                      </v:rect>
                      <v:rect type="#_x0000_t1" id="_s463" o:spid="_x0000_s463" style="position:absolute;left:4782;top:6278;width:1407;height:428;mso-wrap-style:square;" filled="f" stroked="f" strokeweight="0.5pt">
                        <v:textbox id="966"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入库、待售</w:t>
                              </w:r>
                            </w:p>
                          </w:txbxContent>
                        </v:textbox>
                        <v:stroke/>
                      </v:rect>
                      <v:shape type="#_x0000_t32" id="直接箭头连接符 41 435" o:spid="_x0000_s464" style="position:absolute;left:5791;top:5591;width:744;height:2;flip:y;" filled="f" stroked="t">
                        <v:stroke color="#000000" endarrow="open"/>
                      </v:shape>
                      <v:rect type="#_x0000_t1" id="_s465" o:spid="_x0000_s465" style="position:absolute;left:6467;top:5377;width:752;height:428;mso-wrap-style:square;" filled="f" stroked="f" strokeweight="0.5pt">
                        <v:textbox id="967"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化验</w:t>
                              </w:r>
                            </w:p>
                          </w:txbxContent>
                        </v:textbox>
                        <v:stroke/>
                      </v:rect>
                      <v:rect type="#_x0000_t1" id="_s466" o:spid="_x0000_s466" style="position:absolute;left:5645;top:5154;width:1144;height:428;mso-wrap-style:square;" filled="f" stroked="f" strokeweight="0.5pt">
                        <v:textbox id="968"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v:textbox>
                        <v:stroke/>
                      </v:rect>
                      <v:rect type="#_x0000_t1" id="_s467" o:spid="_x0000_s467" style="position:absolute;left:5447;top:2545;width:1144;height:428;mso-wrap-style:square;" filled="f" stroked="f" strokeweight="0.5pt">
                        <v:textbox id="969"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抽样检测</w:t>
                              </w:r>
                            </w:p>
                          </w:txbxContent>
                        </v:textbox>
                        <v:stroke/>
                      </v:rect>
                      <v:rect type="#_x0000_t1" id="_s468" o:spid="_x0000_s468" style="position:absolute;left:6678;top:2751;width:1455;height:428;mso-wrap-style:square;" filled="f" stroked="f" strokeweight="0.5pt">
                        <v:textbox id="970"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v:textbox>
                        <v:stroke/>
                      </v:rect>
                      <v:rect type="#_x0000_t1" id="_s469" o:spid="_x0000_s469" style="position:absolute;left:5960;top:3556;width:1307;height:428;mso-wrap-style:square;" filled="f" stroked="f" strokeweight="0.5pt">
                        <v:textbox id="971"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G2、S3、N</w:t>
                              </w:r>
                            </w:p>
                          </w:txbxContent>
                        </v:textbox>
                        <v:stroke/>
                      </v:rect>
                      <v:rect type="#_x0000_t1" id="_s470" o:spid="_x0000_s470" style="position:absolute;left:7084;top:5385;width:1318;height:428;mso-wrap-style:square;" filled="f" stroked="f" strokeweight="0.5pt">
                        <v:textbox id="972"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G1、S1、S2</w:t>
                              </w:r>
                            </w:p>
                          </w:txbxContent>
                        </v:textbox>
                        <v:stroke/>
                      </v:rect>
                      <v:rect type="#_x0000_t1" id="_s471" o:spid="_x0000_s471" style="position:absolute;left:5817;top:4430;width:475;height:428;mso-wrap-style:square;" filled="f" stroked="f" strokeweight="0.5pt">
                        <v:textbox id="973"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N</w:t>
                              </w:r>
                            </w:p>
                          </w:txbxContent>
                        </v:textbox>
                        <v:stroke/>
                      </v:rect>
                      <v:rect type="#_x0000_t1" id="_s472" o:spid="_x0000_s472" style="position:absolute;left:4192;top:5354;width:961;height:428;mso-wrap-style:square;" filled="f" stroked="f" strokeweight="0.5pt">
                        <v:textbox id="974" inset="2.54mm,1.27mm,2.54mm,1.27mm" o:insetmode="custom" style="layout-flow:horizontal;v-text-anchor:top;">
                          <w:txbxContent>
                            <w:p>
                              <w:pPr>
                                <w:ind w:left="0" w:firstLineChars="0" w:firstLine="0"/>
                                <w:rPr>
                                  <w:rFonts w:eastAsia="宋体"/>
                                  <w:sz w:val="21"/>
                                  <w:szCs w:val="21"/>
                                  <w:lang w:val="en-US" w:eastAsia="zh-CN"/>
                                </w:rPr>
                              </w:pPr>
                              <w:r>
                                <w:rPr>
                                  <w:rFonts w:eastAsia="宋体" w:hint="eastAsia"/>
                                  <w:sz w:val="21"/>
                                  <w:szCs w:val="21"/>
                                  <w:lang w:val="en-US" w:eastAsia="zh-CN"/>
                                </w:rPr>
                                <w:t>G3、N</w:t>
                              </w:r>
                            </w:p>
                          </w:txbxContent>
                        </v:textbox>
                        <v:stroke/>
                      </v:rect>
                    </v:group>
                  </w:pict>
                </mc:Fallback>
              </mc:AlternateContent>
            </w:r>
            <w:r>
              <w:rPr>
                <w:rFonts w:hint="eastAsia"/>
                <w:bCs/>
                <w:color w:val="auto"/>
                <w:szCs w:val="21"/>
                <w:lang w:val="en-US" w:eastAsia="zh-CN"/>
              </w:rPr>
              <w:t>复混肥生产线：</w:t>
            </w: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center"/>
              <w:rPr>
                <w:rFonts w:hint="eastAsia"/>
                <w:bCs/>
                <w:color w:val="auto"/>
                <w:szCs w:val="21"/>
                <w:lang w:val="en-US" w:eastAsia="zh-CN"/>
              </w:rPr>
            </w:pPr>
          </w:p>
          <w:p>
            <w:pPr>
              <w:ind w:left="0" w:firstLineChars="0" w:firstLine="0"/>
              <w:jc w:val="both"/>
              <w:rPr>
                <w:rFonts w:hint="eastAsia"/>
                <w:bCs/>
                <w:color w:val="auto"/>
                <w:szCs w:val="21"/>
                <w:lang w:val="en-US" w:eastAsia="zh-CN"/>
              </w:rPr>
            </w:pPr>
          </w:p>
          <w:p>
            <w:pPr>
              <w:ind w:left="0" w:firstLineChars="0" w:firstLine="0"/>
              <w:jc w:val="right"/>
              <w:rPr>
                <w:rFonts w:hint="eastAsia"/>
                <w:b/>
                <w:bCs w:val="0"/>
                <w:color w:val="auto"/>
                <w:szCs w:val="21"/>
                <w:lang w:val="en-US" w:eastAsia="zh-CN"/>
              </w:rPr>
            </w:pPr>
            <w:r>
              <w:rPr>
                <w:rFonts w:hint="eastAsia"/>
                <w:b w:val="0"/>
                <w:bCs/>
                <w:color w:val="auto"/>
                <w:szCs w:val="21"/>
                <w:lang w:val="en-US" w:eastAsia="zh-CN"/>
              </w:rPr>
              <w:t>图例：G 废气、N 噪声、S 固体废物</w:t>
            </w:r>
          </w:p>
          <w:p>
            <w:pPr>
              <w:ind w:left="0" w:firstLineChars="0" w:firstLine="0"/>
              <w:jc w:val="center"/>
              <w:rPr>
                <w:rFonts w:hint="eastAsia"/>
                <w:bCs/>
                <w:color w:val="auto"/>
                <w:szCs w:val="21"/>
                <w:lang w:val="en-US" w:eastAsia="zh-CN"/>
              </w:rPr>
            </w:pPr>
            <w:r>
              <w:rPr>
                <w:rFonts w:ascii="Times New Roman" w:eastAsia="宋体" w:cs="Times New Roman" w:hAnsi="Times New Roman" w:hint="eastAsia"/>
                <w:b/>
                <w:color w:val="auto"/>
                <w:kern w:val="2"/>
                <w:sz w:val="24"/>
                <w:szCs w:val="21"/>
                <w:lang w:val="en-US" w:eastAsia="zh-CN" w:bidi="ar-SA"/>
              </w:rPr>
              <w:t>图2-</w:t>
            </w:r>
            <w:r>
              <w:rPr>
                <w:rFonts w:cs="Times New Roman" w:hint="eastAsia"/>
                <w:b/>
                <w:color w:val="auto"/>
                <w:kern w:val="2"/>
                <w:sz w:val="24"/>
                <w:szCs w:val="21"/>
                <w:lang w:val="en-US" w:eastAsia="zh-CN" w:bidi="ar-SA"/>
              </w:rPr>
              <w:t>10</w:t>
            </w:r>
            <w:r>
              <w:rPr>
                <w:rFonts w:ascii="Times New Roman" w:eastAsia="宋体" w:cs="Times New Roman" w:hAnsi="Times New Roman" w:hint="eastAsia"/>
                <w:b/>
                <w:color w:val="auto"/>
                <w:kern w:val="2"/>
                <w:sz w:val="24"/>
                <w:szCs w:val="21"/>
                <w:lang w:val="en-US" w:eastAsia="zh-CN" w:bidi="ar-SA"/>
              </w:rPr>
              <w:t xml:space="preserve">  现有复混肥生产线工艺流程及排污节点图</w:t>
            </w:r>
          </w:p>
          <w:p>
            <w:pPr>
              <w:rPr>
                <w:rFonts w:hint="eastAsia"/>
                <w:bCs/>
                <w:color w:val="auto"/>
                <w:szCs w:val="21"/>
                <w:lang w:val="en-US" w:eastAsia="zh-CN"/>
              </w:rPr>
            </w:pPr>
            <w:r>
              <w:rPr>
                <w:rFonts w:hint="eastAsia"/>
                <w:bCs/>
                <w:color w:val="auto"/>
                <w:szCs w:val="21"/>
                <w:lang w:val="en-US" w:eastAsia="zh-CN"/>
              </w:rPr>
              <w:t>（1）原料抽样检测</w:t>
            </w:r>
          </w:p>
          <w:p>
            <w:pPr>
              <w:rPr>
                <w:rFonts w:hint="eastAsia"/>
                <w:bCs/>
                <w:color w:val="auto"/>
                <w:szCs w:val="21"/>
                <w:lang w:val="en-US" w:eastAsia="zh-CN"/>
              </w:rPr>
            </w:pPr>
            <w:r>
              <w:rPr>
                <w:rFonts w:hint="eastAsia"/>
                <w:bCs/>
                <w:color w:val="auto"/>
                <w:szCs w:val="21"/>
                <w:lang w:val="en-US" w:eastAsia="zh-CN"/>
              </w:rPr>
              <w:t>外购颗粒状原料抽样送至厂区化验室检测主要元素含量是否达到产品标准和生产要求。</w:t>
            </w:r>
          </w:p>
          <w:p>
            <w:pPr>
              <w:rPr>
                <w:rFonts w:hint="eastAsia"/>
                <w:bCs/>
                <w:color w:val="auto"/>
                <w:szCs w:val="21"/>
                <w:lang w:val="en-US" w:eastAsia="zh-CN"/>
              </w:rPr>
            </w:pPr>
            <w:r>
              <w:rPr>
                <w:rFonts w:hint="eastAsia"/>
                <w:bCs/>
                <w:color w:val="auto"/>
                <w:szCs w:val="21"/>
                <w:lang w:val="en-US" w:eastAsia="zh-CN"/>
              </w:rPr>
              <w:t>（2）混合搅拌</w:t>
            </w:r>
          </w:p>
          <w:p>
            <w:pPr>
              <w:rPr>
                <w:rFonts w:hint="eastAsia"/>
                <w:bCs/>
                <w:color w:val="auto"/>
                <w:szCs w:val="21"/>
                <w:lang w:val="en-US" w:eastAsia="zh-CN"/>
              </w:rPr>
            </w:pPr>
            <w:r>
              <w:rPr>
                <w:rFonts w:hint="eastAsia"/>
                <w:bCs/>
                <w:color w:val="auto"/>
                <w:szCs w:val="21"/>
                <w:lang w:val="en-US" w:eastAsia="zh-CN"/>
              </w:rPr>
              <w:t>将外购的原辅材料和准备好的中微量元素由工人投入投料口。原辅材料按电脑配料控制系统称量一定的比例后经密闭的传送带装置传送至密闭的提升机将原料提升至密闭式混料机中搅拌，搅拌均匀的物料即为掺混肥产品。</w:t>
            </w:r>
          </w:p>
          <w:p>
            <w:pPr>
              <w:rPr>
                <w:rFonts w:hint="eastAsia"/>
                <w:bCs/>
                <w:color w:val="auto"/>
                <w:szCs w:val="21"/>
                <w:lang w:val="en-US" w:eastAsia="zh-CN"/>
              </w:rPr>
            </w:pPr>
            <w:r>
              <w:rPr>
                <w:rFonts w:hint="eastAsia"/>
                <w:bCs/>
                <w:color w:val="auto"/>
                <w:szCs w:val="21"/>
                <w:lang w:val="en-US" w:eastAsia="zh-CN"/>
              </w:rPr>
              <w:t>（3）装袋、入库</w:t>
            </w:r>
          </w:p>
          <w:p>
            <w:pPr>
              <w:rPr>
                <w:rFonts w:hint="eastAsia"/>
                <w:bCs/>
                <w:color w:val="auto"/>
                <w:szCs w:val="21"/>
                <w:lang w:val="en-US" w:eastAsia="zh-CN"/>
              </w:rPr>
            </w:pPr>
            <w:r>
              <w:rPr>
                <w:rFonts w:hint="eastAsia"/>
                <w:bCs/>
                <w:color w:val="auto"/>
                <w:szCs w:val="21"/>
                <w:lang w:val="en-US" w:eastAsia="zh-CN"/>
              </w:rPr>
              <w:t>混合均匀的产品经定量电子计量包装称称量后，从密闭式混料机出料口出料进行装袋处理。产品包装过程中会抽样送至化验室化验处理，产品包装完成入库待售。</w:t>
            </w:r>
          </w:p>
          <w:p>
            <w:pPr>
              <w:widowControl w:val="0"/>
              <w:spacing w:line="240" w:lineRule="auto"/>
              <w:ind w:firstLineChars="0" w:firstLine="0"/>
              <w:jc w:val="center"/>
              <w:rPr>
                <w:rFonts w:ascii="Times New Roman" w:eastAsia="宋体" w:cs="Times New Roman" w:hAnsi="Times New Roman"/>
                <w:b/>
                <w:color w:val="auto"/>
                <w:kern w:val="2"/>
                <w:sz w:val="24"/>
                <w:szCs w:val="21"/>
                <w:lang w:val="en-US" w:eastAsia="zh-CN" w:bidi="ar-SA"/>
              </w:rPr>
            </w:pPr>
            <w:r>
              <w:rPr>
                <w:rFonts w:ascii="Times New Roman" w:eastAsia="宋体" w:cs="Times New Roman" w:hAnsi="Times New Roman"/>
                <w:b/>
                <w:color w:val="auto"/>
                <w:kern w:val="2"/>
                <w:sz w:val="24"/>
                <w:szCs w:val="21"/>
                <w:lang w:val="en-US" w:eastAsia="zh-CN" w:bidi="ar-SA"/>
              </w:rPr>
              <w:t>表2-</w:t>
            </w:r>
            <w:r>
              <w:rPr>
                <w:rFonts w:cs="Times New Roman" w:hint="eastAsia"/>
                <w:b/>
                <w:color w:val="auto"/>
                <w:kern w:val="2"/>
                <w:sz w:val="24"/>
                <w:szCs w:val="21"/>
                <w:lang w:val="en-US" w:eastAsia="zh-CN" w:bidi="ar-SA"/>
              </w:rPr>
              <w:t>15</w:t>
            </w:r>
            <w:r>
              <w:rPr>
                <w:rFonts w:ascii="Times New Roman" w:eastAsia="宋体" w:cs="Times New Roman" w:hAnsi="Times New Roman"/>
                <w:b/>
                <w:color w:val="auto"/>
                <w:kern w:val="2"/>
                <w:sz w:val="24"/>
                <w:szCs w:val="21"/>
                <w:lang w:val="en-US" w:eastAsia="zh-CN" w:bidi="ar-SA"/>
              </w:rPr>
              <w:t xml:space="preserve"> </w:t>
            </w:r>
            <w:r>
              <w:rPr>
                <w:rFonts w:ascii="Times New Roman" w:eastAsia="宋体" w:cs="Times New Roman" w:hAnsi="Times New Roman" w:hint="eastAsia"/>
                <w:b/>
                <w:color w:val="auto"/>
                <w:kern w:val="2"/>
                <w:sz w:val="24"/>
                <w:szCs w:val="21"/>
                <w:lang w:val="en-US" w:eastAsia="zh-CN" w:bidi="ar-SA"/>
              </w:rPr>
              <w:t xml:space="preserve"> 排污</w:t>
            </w:r>
            <w:r>
              <w:rPr>
                <w:rFonts w:ascii="Times New Roman" w:eastAsia="宋体" w:cs="Times New Roman" w:hAnsi="Times New Roman"/>
                <w:b/>
                <w:color w:val="auto"/>
                <w:kern w:val="2"/>
                <w:sz w:val="24"/>
                <w:szCs w:val="21"/>
                <w:lang w:val="en-US" w:eastAsia="zh-CN" w:bidi="ar-SA"/>
              </w:rPr>
              <w:t>节点及处理方式一览表</w:t>
            </w:r>
          </w:p>
          <w:tbl>
            <w:tblPr>
              <w:tblpPr w:leftFromText="180" w:rightFromText="180" w:vertAnchor="text" w:tblpXSpec="left" w:tblpY="1"/>
              <w:tblOverlap w:val="never"/>
              <w:tblW w:w="8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668"/>
              <w:gridCol w:w="843"/>
              <w:gridCol w:w="1337"/>
              <w:gridCol w:w="1672"/>
              <w:gridCol w:w="901"/>
              <w:gridCol w:w="2936"/>
            </w:tblGrid>
            <w:tr>
              <w:trPr>
                <w:trHeight w:val="23"/>
              </w:trPr>
              <w:tc>
                <w:tcPr>
                  <w:tcW w:w="668"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项目</w:t>
                  </w:r>
                </w:p>
              </w:tc>
              <w:tc>
                <w:tcPr>
                  <w:tcW w:w="843"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序号</w:t>
                  </w:r>
                </w:p>
              </w:tc>
              <w:tc>
                <w:tcPr>
                  <w:tcW w:w="1337"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污染源</w:t>
                  </w:r>
                </w:p>
              </w:tc>
              <w:tc>
                <w:tcPr>
                  <w:tcW w:w="1672"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污染物</w:t>
                  </w:r>
                </w:p>
              </w:tc>
              <w:tc>
                <w:tcPr>
                  <w:tcW w:w="901"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排放</w:t>
                  </w:r>
                </w:p>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特征</w:t>
                  </w:r>
                </w:p>
              </w:tc>
              <w:tc>
                <w:tcPr>
                  <w:tcW w:w="2936"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治理措施</w:t>
                  </w:r>
                </w:p>
              </w:tc>
            </w:tr>
            <w:tr>
              <w:trPr>
                <w:trHeight w:val="23"/>
              </w:trPr>
              <w:tc>
                <w:tcPr>
                  <w:tcW w:w="668" w:type="dxa"/>
                  <w:vMerge w:val="restart"/>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废气</w:t>
                  </w: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G1</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化验室废气</w:t>
                  </w:r>
                </w:p>
              </w:tc>
              <w:tc>
                <w:tcPr>
                  <w:tcW w:w="1672" w:type="dxa"/>
                  <w:tcBorders>
                    <w:bottom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硫酸雾、氯化氢、氮氧化物、非甲烷总烃</w:t>
                  </w:r>
                </w:p>
              </w:tc>
              <w:tc>
                <w:tcPr>
                  <w:tcW w:w="901" w:type="dxa"/>
                  <w:tcBorders>
                    <w:bottom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间歇</w:t>
                  </w:r>
                </w:p>
              </w:tc>
              <w:tc>
                <w:tcPr>
                  <w:tcW w:w="2936" w:type="dxa"/>
                  <w:tcBorders>
                    <w:left w:val="single" w:sz="6"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集气罩收集废气后经干式酸雾净化器+ 二级活性炭吸附装置TA001+15m排气筒P4</w:t>
                  </w:r>
                </w:p>
              </w:tc>
            </w:tr>
            <w:tr>
              <w:trPr>
                <w:trHeight w:val="23"/>
              </w:trPr>
              <w:tc>
                <w:tcPr>
                  <w:tcW w:w="668" w:type="dxa"/>
                  <w:vMerge/>
                  <w:vAlign w:val="center"/>
                </w:tcP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w:t>
                  </w:r>
                  <w:r>
                    <w:rPr>
                      <w:rFonts w:cs="Times New Roman" w:hint="eastAsia"/>
                      <w:color w:val="auto"/>
                      <w:kern w:val="0"/>
                      <w:sz w:val="21"/>
                      <w:szCs w:val="24"/>
                      <w:lang w:val="en-US" w:eastAsia="zh-CN" w:bidi="ar-SA"/>
                    </w:rPr>
                    <w:t>2</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投料废气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r>
                    <w:rPr>
                      <w:rFonts w:ascii="Times New Roman" w:eastAsia="宋体" w:cs="Times New Roman" w:hAnsi="Times New Roman" w:hint="eastAsia"/>
                      <w:color w:val="auto"/>
                      <w:kern w:val="0"/>
                      <w:sz w:val="21"/>
                      <w:szCs w:val="24"/>
                      <w:lang w:val="en-US" w:eastAsia="zh-CN" w:bidi="ar-SA"/>
                    </w:rPr>
                    <w:t>、氨、臭气浓度</w:t>
                  </w:r>
                  <w:r>
                    <w:rPr>
                      <w:rFonts w:cs="Times New Roman" w:hint="eastAsia"/>
                      <w:color w:val="auto"/>
                      <w:kern w:val="0"/>
                      <w:sz w:val="21"/>
                      <w:szCs w:val="24"/>
                      <w:lang w:val="en-US" w:eastAsia="zh-CN" w:bidi="ar-SA"/>
                    </w:rPr>
                    <w:t>、甲醛、非甲烷总烃</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间歇</w:t>
                  </w:r>
                </w:p>
              </w:tc>
              <w:tc>
                <w:tcPr>
                  <w:tcW w:w="2936" w:type="dxa"/>
                  <w:vMerge w:val="restart"/>
                  <w:tcBorders>
                    <w:left w:val="single" w:sz="6" w:space="0" w:color="000000"/>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由集气罩+管道收集经旋风除尘器TA001+袋式除尘器TA002+15m排气筒P2</w:t>
                  </w:r>
                </w:p>
              </w:tc>
            </w:tr>
            <w:tr>
              <w:trPr>
                <w:trHeight w:val="23"/>
              </w:trPr>
              <w:tc>
                <w:tcPr>
                  <w:tcW w:w="668" w:type="dxa"/>
                  <w:vMerge/>
                  <w:vAlign w:val="center"/>
                </w:tcP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G</w:t>
                  </w:r>
                  <w:r>
                    <w:rPr>
                      <w:rFonts w:cs="Times New Roman" w:hint="eastAsia"/>
                      <w:color w:val="auto"/>
                      <w:kern w:val="0"/>
                      <w:sz w:val="21"/>
                      <w:szCs w:val="24"/>
                      <w:lang w:val="en-US" w:eastAsia="zh-CN" w:bidi="ar-SA"/>
                    </w:rPr>
                    <w:t>3</w:t>
                  </w:r>
                </w:p>
              </w:tc>
              <w:tc>
                <w:tcPr>
                  <w:tcW w:w="1337"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包装废气</w:t>
                  </w:r>
                </w:p>
              </w:tc>
              <w:tc>
                <w:tcPr>
                  <w:tcW w:w="1672"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color w:val="auto"/>
                      <w:kern w:val="0"/>
                      <w:sz w:val="21"/>
                      <w:szCs w:val="24"/>
                      <w:lang w:val="en-US" w:eastAsia="zh-CN" w:bidi="ar-SA"/>
                    </w:rPr>
                    <w:t>颗粒物</w:t>
                  </w:r>
                  <w:r>
                    <w:rPr>
                      <w:rFonts w:ascii="Times New Roman" w:eastAsia="宋体" w:cs="Times New Roman" w:hAnsi="Times New Roman" w:hint="eastAsia"/>
                      <w:color w:val="auto"/>
                      <w:kern w:val="0"/>
                      <w:sz w:val="21"/>
                      <w:szCs w:val="24"/>
                      <w:lang w:val="en-US" w:eastAsia="zh-CN" w:bidi="ar-SA"/>
                    </w:rPr>
                    <w:t>、氨、臭气浓度</w:t>
                  </w:r>
                  <w:r>
                    <w:rPr>
                      <w:rFonts w:cs="Times New Roman" w:hint="eastAsia"/>
                      <w:color w:val="auto"/>
                      <w:kern w:val="0"/>
                      <w:sz w:val="21"/>
                      <w:szCs w:val="24"/>
                      <w:lang w:val="en-US" w:eastAsia="zh-CN" w:bidi="ar-SA"/>
                    </w:rPr>
                    <w:t>、</w:t>
                  </w:r>
                  <w:r>
                    <w:rPr>
                      <w:rFonts w:ascii="Times New Roman" w:eastAsia="宋体" w:cs="Times New Roman" w:hAnsi="Times New Roman" w:hint="eastAsia"/>
                      <w:color w:val="auto"/>
                      <w:kern w:val="0"/>
                      <w:sz w:val="21"/>
                      <w:szCs w:val="24"/>
                      <w:lang w:val="en-US" w:eastAsia="zh-CN" w:bidi="ar-SA"/>
                    </w:rPr>
                    <w:t>甲醛、非甲烷总烃</w:t>
                  </w:r>
                </w:p>
              </w:tc>
              <w:tc>
                <w:tcPr>
                  <w:tcW w:w="901" w:type="dxa"/>
                  <w:tcBorders>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连续</w:t>
                  </w:r>
                </w:p>
              </w:tc>
              <w:tc>
                <w:tcPr>
                  <w:tcW w:w="2936" w:type="dxa"/>
                  <w:vMerge/>
                  <w:tcBorders>
                    <w:left w:val="single" w:sz="6" w:space="0" w:color="000000"/>
                  </w:tcBorders>
                  <w:vAlign w:val="center"/>
                </w:tcPr>
                <w:p/>
              </w:tc>
            </w:tr>
            <w:tr>
              <w:trPr>
                <w:trHeight w:val="23"/>
              </w:trPr>
              <w:tc>
                <w:tcPr>
                  <w:tcW w:w="668" w:type="dxa"/>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噪声</w:t>
                  </w:r>
                </w:p>
              </w:tc>
              <w:tc>
                <w:tcPr>
                  <w:tcW w:w="843"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N</w:t>
                  </w:r>
                </w:p>
              </w:tc>
              <w:tc>
                <w:tcPr>
                  <w:tcW w:w="1337"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密闭筛分机、皮带输送机、提升机、密闭式混料机、包装封口机等生产设备</w:t>
                  </w:r>
                </w:p>
              </w:tc>
              <w:tc>
                <w:tcPr>
                  <w:tcW w:w="1672"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噪声</w:t>
                  </w:r>
                </w:p>
              </w:tc>
              <w:tc>
                <w:tcPr>
                  <w:tcW w:w="901"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间歇</w:t>
                  </w:r>
                </w:p>
              </w:tc>
              <w:tc>
                <w:tcPr>
                  <w:tcW w:w="2936" w:type="dxa"/>
                  <w:tcBorders>
                    <w:left w:val="single" w:sz="6" w:space="0" w:color="000000"/>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厂房隔声、选用低噪声设备，采取基础减振等措施</w:t>
                  </w:r>
                </w:p>
              </w:tc>
            </w:tr>
            <w:tr>
              <w:trPr>
                <w:trHeight w:val="23"/>
              </w:trPr>
              <w:tc>
                <w:tcPr>
                  <w:tcW w:w="668" w:type="dxa"/>
                  <w:vMerge w:val="restart"/>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固体废物</w:t>
                  </w:r>
                </w:p>
              </w:tc>
              <w:tc>
                <w:tcPr>
                  <w:tcW w:w="843" w:type="dxa"/>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S1</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化验室废液</w:t>
                  </w:r>
                </w:p>
              </w:tc>
              <w:tc>
                <w:tcPr>
                  <w:tcW w:w="901"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间歇</w:t>
                  </w:r>
                </w:p>
              </w:tc>
              <w:tc>
                <w:tcPr>
                  <w:tcW w:w="2936"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0"/>
                      <w:sz w:val="21"/>
                      <w:szCs w:val="24"/>
                      <w:lang w:val="en-US" w:eastAsia="zh-CN" w:bidi="ar-SA"/>
                    </w:rPr>
                  </w:pPr>
                  <w:r>
                    <w:rPr>
                      <w:rFonts w:ascii="Times New Roman" w:eastAsia="宋体" w:cs="Times New Roman" w:hAnsi="Times New Roman" w:hint="eastAsia"/>
                      <w:color w:val="auto"/>
                      <w:kern w:val="0"/>
                      <w:sz w:val="21"/>
                      <w:szCs w:val="24"/>
                      <w:lang w:val="en-US" w:eastAsia="zh-CN" w:bidi="ar-SA"/>
                    </w:rPr>
                    <w:t>分类密闭收集后暂存于危废间，定期交有资质单位处置</w:t>
                  </w:r>
                </w:p>
              </w:tc>
            </w:tr>
            <w:tr>
              <w:trPr>
                <w:trHeight w:val="524"/>
              </w:trPr>
              <w:tc>
                <w:tcPr>
                  <w:tcW w:w="668" w:type="dxa"/>
                  <w:vMerge/>
                  <w:vAlign w:val="center"/>
                </w:tcPr>
                <w:p/>
              </w:tc>
              <w:tc>
                <w:tcPr>
                  <w:tcW w:w="843" w:type="dxa"/>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rPr>
                  </w:pPr>
                  <w:r>
                    <w:rPr>
                      <w:rFonts w:ascii="Times New Roman" w:eastAsia="宋体" w:cs="Times New Roman" w:hAnsi="Times New Roman" w:hint="eastAsia"/>
                      <w:color w:val="auto"/>
                      <w:sz w:val="21"/>
                      <w:szCs w:val="21"/>
                    </w:rPr>
                    <w:t>S2</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化验室废包装</w:t>
                  </w:r>
                </w:p>
              </w:tc>
              <w:tc>
                <w:tcPr>
                  <w:tcW w:w="901" w:type="dxa"/>
                  <w:vMerge/>
                  <w:tcBorders>
                    <w:left w:val="single" w:sz="6" w:space="0" w:color="000000"/>
                  </w:tcBorders>
                  <w:vAlign w:val="center"/>
                </w:tcPr>
                <w:p/>
              </w:tc>
              <w:tc>
                <w:tcPr>
                  <w:tcW w:w="2936" w:type="dxa"/>
                  <w:vMerge/>
                  <w:tcBorders>
                    <w:bottom w:val="single" w:sz="4" w:space="0" w:color="auto"/>
                  </w:tcBorders>
                  <w:vAlign w:val="center"/>
                </w:tcPr>
                <w:p/>
              </w:tc>
            </w:tr>
            <w:tr>
              <w:trPr>
                <w:trHeight w:val="23"/>
              </w:trPr>
              <w:tc>
                <w:tcPr>
                  <w:tcW w:w="668" w:type="dxa"/>
                  <w:vMerge/>
                  <w:vAlign w:val="center"/>
                </w:tcPr>
                <w:p/>
              </w:tc>
              <w:tc>
                <w:tcPr>
                  <w:tcW w:w="843" w:type="dxa"/>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sz w:val="21"/>
                      <w:szCs w:val="21"/>
                      <w:lang w:val="en-US" w:eastAsia="zh-CN"/>
                    </w:rPr>
                  </w:pPr>
                  <w:r>
                    <w:rPr>
                      <w:rFonts w:ascii="Times New Roman" w:eastAsia="宋体" w:cs="Times New Roman" w:hAnsi="Times New Roman" w:hint="eastAsia"/>
                      <w:color w:val="auto"/>
                      <w:sz w:val="21"/>
                      <w:szCs w:val="21"/>
                      <w:lang w:val="en-US" w:eastAsia="zh-CN"/>
                    </w:rPr>
                    <w:t>S</w:t>
                  </w:r>
                  <w:r>
                    <w:rPr>
                      <w:rFonts w:cs="Times New Roman" w:hint="eastAsia"/>
                      <w:color w:val="auto"/>
                      <w:sz w:val="21"/>
                      <w:szCs w:val="21"/>
                      <w:lang w:val="en-US" w:eastAsia="zh-CN"/>
                    </w:rPr>
                    <w:t>3</w:t>
                  </w:r>
                </w:p>
              </w:tc>
              <w:tc>
                <w:tcPr>
                  <w:tcW w:w="1337"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hint="eastAsia"/>
                      <w:color w:val="auto"/>
                      <w:kern w:val="2"/>
                      <w:sz w:val="21"/>
                      <w:szCs w:val="21"/>
                      <w:lang w:val="en-US" w:eastAsia="zh-CN" w:bidi="ar-SA"/>
                    </w:rPr>
                  </w:pPr>
                  <w:r>
                    <w:rPr>
                      <w:rFonts w:cs="Times New Roman" w:hint="eastAsia"/>
                      <w:color w:val="auto"/>
                      <w:kern w:val="2"/>
                      <w:sz w:val="21"/>
                      <w:szCs w:val="21"/>
                      <w:lang w:val="en-US" w:eastAsia="zh-CN" w:bidi="ar-SA"/>
                    </w:rPr>
                    <w:t>原料</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2"/>
                      <w:sz w:val="21"/>
                      <w:szCs w:val="21"/>
                      <w:lang w:val="en-US" w:eastAsia="zh-CN" w:bidi="ar-SA"/>
                    </w:rPr>
                    <w:t>废包装</w:t>
                  </w:r>
                  <w:r>
                    <w:rPr>
                      <w:rFonts w:cs="Times New Roman" w:hint="eastAsia"/>
                      <w:color w:val="auto"/>
                      <w:kern w:val="2"/>
                      <w:sz w:val="21"/>
                      <w:szCs w:val="21"/>
                      <w:lang w:val="en-US" w:eastAsia="zh-CN" w:bidi="ar-SA"/>
                    </w:rPr>
                    <w:t>袋</w:t>
                  </w:r>
                </w:p>
              </w:tc>
              <w:tc>
                <w:tcPr>
                  <w:tcW w:w="901" w:type="dxa"/>
                  <w:vMerge/>
                  <w:tcBorders>
                    <w:left w:val="single" w:sz="6" w:space="0" w:color="000000"/>
                  </w:tcBorders>
                  <w:vAlign w:val="center"/>
                </w:tcPr>
                <w:p/>
              </w:tc>
              <w:tc>
                <w:tcPr>
                  <w:tcW w:w="2936" w:type="dxa"/>
                  <w:tcBorders>
                    <w:top w:val="single" w:sz="4" w:space="0" w:color="auto"/>
                    <w:bottom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统一收集后外售</w:t>
                  </w:r>
                </w:p>
              </w:tc>
            </w:tr>
            <w:tr>
              <w:trPr>
                <w:trHeight w:val="103"/>
              </w:trPr>
              <w:tc>
                <w:tcPr>
                  <w:tcW w:w="668" w:type="dxa"/>
                  <w:vMerge/>
                  <w:vAlign w:val="center"/>
                </w:tcPr>
                <w:p/>
              </w:tc>
              <w:tc>
                <w:tcPr>
                  <w:tcW w:w="843" w:type="dxa"/>
                  <w:vMerge w:val="restart"/>
                  <w:tcBorders>
                    <w:left w:val="single" w:sz="6" w:space="0" w:color="000000"/>
                  </w:tcBorders>
                  <w:vAlign w:val="center"/>
                </w:tcPr>
                <w:p>
                  <w:pPr>
                    <w:spacing w:line="240" w:lineRule="auto"/>
                    <w:ind w:firstLineChars="0" w:firstLine="0"/>
                    <w:jc w:val="center"/>
                    <w:rPr>
                      <w:rFonts w:ascii="Times New Roman" w:eastAsia="宋体" w:cs="Times New Roman" w:hAnsi="Times New Roman"/>
                      <w:color w:val="auto"/>
                      <w:kern w:val="2"/>
                      <w:sz w:val="21"/>
                      <w:szCs w:val="21"/>
                      <w:lang w:val="en-US" w:eastAsia="zh-CN" w:bidi="ar-SA"/>
                    </w:rPr>
                  </w:pPr>
                  <w:r>
                    <w:rPr>
                      <w:rFonts w:cs="Times New Roman" w:hint="eastAsia"/>
                      <w:color w:val="auto"/>
                      <w:sz w:val="21"/>
                      <w:szCs w:val="21"/>
                      <w:lang w:val="en-US" w:eastAsia="zh-CN"/>
                    </w:rPr>
                    <w:t>/</w:t>
                  </w:r>
                </w:p>
              </w:tc>
              <w:tc>
                <w:tcPr>
                  <w:tcW w:w="1337"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设备维护</w:t>
                  </w:r>
                </w:p>
              </w:tc>
              <w:tc>
                <w:tcPr>
                  <w:tcW w:w="1672" w:type="dxa"/>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废润滑油、废机油</w:t>
                  </w:r>
                </w:p>
              </w:tc>
              <w:tc>
                <w:tcPr>
                  <w:tcW w:w="901" w:type="dxa"/>
                  <w:vMerge/>
                  <w:tcBorders>
                    <w:left w:val="single" w:sz="6" w:space="0" w:color="000000"/>
                  </w:tcBorders>
                  <w:vAlign w:val="center"/>
                </w:tcPr>
                <w:p/>
              </w:tc>
              <w:tc>
                <w:tcPr>
                  <w:tcW w:w="2936" w:type="dxa"/>
                  <w:vMerge w:val="restart"/>
                  <w:tcBorders>
                    <w:top w:val="single" w:sz="4" w:space="0" w:color="auto"/>
                  </w:tcBorders>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hint="eastAsia"/>
                      <w:color w:val="auto"/>
                      <w:kern w:val="0"/>
                      <w:sz w:val="21"/>
                      <w:szCs w:val="24"/>
                      <w:lang w:val="en-US" w:eastAsia="zh-CN" w:bidi="ar-SA"/>
                    </w:rPr>
                    <w:t>分类密闭收集后暂存于危废间，定期交有资质单位处置</w:t>
                  </w:r>
                </w:p>
              </w:tc>
            </w:tr>
            <w:tr>
              <w:trPr>
                <w:trHeight w:val="249"/>
              </w:trPr>
              <w:tc>
                <w:tcPr>
                  <w:tcW w:w="668" w:type="dxa"/>
                  <w:vMerge/>
                  <w:vAlign w:val="center"/>
                </w:tcPr>
                <w:p/>
              </w:tc>
              <w:tc>
                <w:tcPr>
                  <w:tcW w:w="843" w:type="dxa"/>
                  <w:vMerge/>
                  <w:tcBorders>
                    <w:left w:val="single" w:sz="6" w:space="0" w:color="000000"/>
                  </w:tcBorders>
                  <w:shd w:val="clear" w:color="auto" w:fill="auto"/>
                  <w:vAlign w:val="center"/>
                </w:tcPr>
                <w:p/>
              </w:tc>
              <w:tc>
                <w:tcPr>
                  <w:tcW w:w="1337" w:type="dxa"/>
                  <w:vMerge/>
                  <w:tcBorders>
                    <w:left w:val="single" w:sz="6" w:space="0" w:color="000000"/>
                  </w:tcBorders>
                  <w:shd w:val="clear" w:color="auto" w:fill="auto"/>
                  <w:vAlign w:val="center"/>
                </w:tcPr>
                <w:p/>
              </w:tc>
              <w:tc>
                <w:tcPr>
                  <w:tcW w:w="1672" w:type="dxa"/>
                  <w:tcBorders>
                    <w:top w:val="single" w:sz="4" w:space="0" w:color="auto"/>
                    <w:bottom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废油桶</w:t>
                  </w:r>
                </w:p>
              </w:tc>
              <w:tc>
                <w:tcPr>
                  <w:tcW w:w="901" w:type="dxa"/>
                  <w:vMerge/>
                  <w:tcBorders>
                    <w:left w:val="single" w:sz="6" w:space="0" w:color="000000"/>
                  </w:tcBorders>
                  <w:vAlign w:val="center"/>
                </w:tcPr>
                <w:p/>
              </w:tc>
              <w:tc>
                <w:tcPr>
                  <w:tcW w:w="2936" w:type="dxa"/>
                  <w:vMerge/>
                  <w:tcBorders>
                    <w:bottom w:val="single" w:sz="4" w:space="0" w:color="auto"/>
                  </w:tcBorders>
                  <w:vAlign w:val="center"/>
                </w:tcPr>
                <w:p/>
              </w:tc>
            </w:tr>
            <w:tr>
              <w:trPr>
                <w:trHeight w:val="249"/>
              </w:trPr>
              <w:tc>
                <w:tcPr>
                  <w:tcW w:w="668" w:type="dxa"/>
                  <w:vMerge/>
                  <w:vAlign w:val="center"/>
                </w:tcPr>
                <w:p/>
              </w:tc>
              <w:tc>
                <w:tcPr>
                  <w:tcW w:w="843" w:type="dxa"/>
                  <w:vMerge w:val="restart"/>
                  <w:tcBorders>
                    <w:left w:val="single" w:sz="6" w:space="0" w:color="000000"/>
                  </w:tcBorders>
                  <w:shd w:val="clear" w:color="auto" w:fill="auto"/>
                  <w:vAlign w:val="center"/>
                </w:tcPr>
                <w:p>
                  <w:pPr>
                    <w:spacing w:line="240" w:lineRule="auto"/>
                    <w:ind w:firstLineChars="0" w:firstLine="0"/>
                    <w:jc w:val="center"/>
                    <w:rPr>
                      <w:rFonts w:cs="Times New Roman"/>
                      <w:color w:val="auto"/>
                      <w:kern w:val="2"/>
                      <w:sz w:val="21"/>
                      <w:szCs w:val="21"/>
                      <w:lang w:val="en-US" w:eastAsia="zh-CN" w:bidi="ar-SA"/>
                    </w:rPr>
                  </w:pPr>
                  <w:r>
                    <w:rPr>
                      <w:rFonts w:cs="Times New Roman" w:hint="eastAsia"/>
                      <w:color w:val="auto"/>
                      <w:kern w:val="2"/>
                      <w:sz w:val="21"/>
                      <w:szCs w:val="21"/>
                      <w:lang w:val="en-US" w:eastAsia="zh-CN" w:bidi="ar-SA"/>
                    </w:rPr>
                    <w:t>/</w:t>
                  </w:r>
                </w:p>
              </w:tc>
              <w:tc>
                <w:tcPr>
                  <w:tcW w:w="1337" w:type="dxa"/>
                  <w:vMerge w:val="restart"/>
                  <w:tcBorders>
                    <w:left w:val="single" w:sz="6" w:space="0" w:color="000000"/>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ascii="Times New Roman" w:eastAsia="宋体" w:cs="Times New Roman" w:hAnsi="Times New Roman"/>
                      <w:color w:val="auto"/>
                      <w:kern w:val="2"/>
                      <w:sz w:val="21"/>
                      <w:szCs w:val="21"/>
                      <w:lang w:val="en-US" w:eastAsia="zh-CN" w:bidi="ar-SA"/>
                    </w:rPr>
                  </w:pPr>
                  <w:r>
                    <w:rPr>
                      <w:rFonts w:cs="Times New Roman" w:hint="eastAsia"/>
                      <w:color w:val="auto"/>
                      <w:kern w:val="2"/>
                      <w:sz w:val="21"/>
                      <w:szCs w:val="21"/>
                      <w:lang w:val="en-US" w:eastAsia="zh-CN" w:bidi="ar-SA"/>
                    </w:rPr>
                    <w:t>环保设施</w:t>
                  </w:r>
                </w:p>
              </w:tc>
              <w:tc>
                <w:tcPr>
                  <w:tcW w:w="1672" w:type="dxa"/>
                  <w:tcBorders>
                    <w:top w:val="single" w:sz="4" w:space="0" w:color="auto"/>
                    <w:bottom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cs="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除尘灰</w:t>
                  </w:r>
                </w:p>
              </w:tc>
              <w:tc>
                <w:tcPr>
                  <w:tcW w:w="901" w:type="dxa"/>
                  <w:vMerge/>
                  <w:tcBorders>
                    <w:left w:val="single" w:sz="6" w:space="0" w:color="000000"/>
                  </w:tcBorders>
                  <w:vAlign w:val="center"/>
                </w:tcPr>
                <w:p/>
              </w:tc>
              <w:tc>
                <w:tcPr>
                  <w:tcW w:w="2936" w:type="dxa"/>
                  <w:tcBorders>
                    <w:top w:val="single" w:sz="4" w:space="0" w:color="auto"/>
                    <w:bottom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2"/>
                      <w:sz w:val="21"/>
                      <w:szCs w:val="21"/>
                      <w:lang w:val="en-US" w:eastAsia="zh-CN" w:bidi="ar-SA"/>
                    </w:rPr>
                  </w:pPr>
                  <w:r>
                    <w:rPr>
                      <w:rFonts w:hint="eastAsia"/>
                      <w:color w:val="auto"/>
                      <w:kern w:val="2"/>
                      <w:szCs w:val="21"/>
                      <w:lang w:val="en-US" w:eastAsia="zh-CN"/>
                    </w:rPr>
                    <w:t>回用于生产</w:t>
                  </w:r>
                </w:p>
              </w:tc>
            </w:tr>
            <w:tr>
              <w:trPr>
                <w:trHeight w:val="249"/>
              </w:trPr>
              <w:tc>
                <w:tcPr>
                  <w:tcW w:w="668" w:type="dxa"/>
                  <w:vMerge/>
                  <w:vAlign w:val="center"/>
                </w:tcPr>
                <w:p/>
              </w:tc>
              <w:tc>
                <w:tcPr>
                  <w:tcW w:w="843" w:type="dxa"/>
                  <w:vMerge/>
                  <w:tcBorders>
                    <w:left w:val="single" w:sz="6" w:space="0" w:color="000000"/>
                  </w:tcBorders>
                  <w:shd w:val="clear" w:color="auto" w:fill="auto"/>
                  <w:vAlign w:val="center"/>
                </w:tcPr>
                <w:p/>
              </w:tc>
              <w:tc>
                <w:tcPr>
                  <w:tcW w:w="1337" w:type="dxa"/>
                  <w:vMerge/>
                  <w:tcBorders>
                    <w:left w:val="single" w:sz="6" w:space="0" w:color="000000"/>
                  </w:tcBorders>
                  <w:shd w:val="clear" w:color="auto" w:fill="auto"/>
                  <w:vAlign w:val="center"/>
                </w:tcPr>
                <w:p/>
              </w:tc>
              <w:tc>
                <w:tcPr>
                  <w:tcW w:w="1672" w:type="dxa"/>
                  <w:tcBorders>
                    <w:top w:val="single" w:sz="4" w:space="0" w:color="auto"/>
                  </w:tcBorders>
                  <w:shd w:val="clear" w:color="auto" w:fill="auto"/>
                  <w:vAlign w:val="center"/>
                </w:tcPr>
                <w:p>
                  <w:pPr>
                    <w:widowControl w:val="0"/>
                    <w:overflowPunct w:val="0"/>
                    <w:adjustRightInd w:val="0"/>
                    <w:snapToGrid w:val="0"/>
                    <w:spacing w:line="240" w:lineRule="auto"/>
                    <w:ind w:firstLineChars="0" w:firstLine="0"/>
                    <w:jc w:val="center"/>
                    <w:textAlignment w:val="baseline"/>
                    <w:rPr>
                      <w:rFonts w:cs="Times New Roman"/>
                      <w:color w:val="auto"/>
                      <w:kern w:val="2"/>
                      <w:sz w:val="21"/>
                      <w:szCs w:val="21"/>
                      <w:lang w:val="en-US" w:eastAsia="zh-CN" w:bidi="ar-SA"/>
                      <w:highlight w:val="none"/>
                    </w:rPr>
                  </w:pPr>
                  <w:r>
                    <w:rPr>
                      <w:rFonts w:cs="Times New Roman" w:hint="eastAsia"/>
                      <w:color w:val="auto"/>
                      <w:kern w:val="2"/>
                      <w:sz w:val="21"/>
                      <w:szCs w:val="21"/>
                      <w:lang w:val="en-US" w:eastAsia="zh-CN" w:bidi="ar-SA"/>
                      <w:highlight w:val="none"/>
                    </w:rPr>
                    <w:t>废活性炭</w:t>
                  </w:r>
                </w:p>
              </w:tc>
              <w:tc>
                <w:tcPr>
                  <w:tcW w:w="901" w:type="dxa"/>
                  <w:vMerge/>
                  <w:tcBorders>
                    <w:left w:val="single" w:sz="6" w:space="0" w:color="000000"/>
                  </w:tcBorders>
                  <w:vAlign w:val="center"/>
                </w:tcPr>
                <w:p/>
              </w:tc>
              <w:tc>
                <w:tcPr>
                  <w:tcW w:w="2936" w:type="dxa"/>
                  <w:tcBorders>
                    <w:top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2"/>
                      <w:sz w:val="21"/>
                      <w:szCs w:val="21"/>
                      <w:lang w:val="en-US" w:eastAsia="zh-CN" w:bidi="ar-SA"/>
                    </w:rPr>
                  </w:pPr>
                  <w:r>
                    <w:rPr>
                      <w:rFonts w:hint="eastAsia"/>
                      <w:color w:val="auto"/>
                      <w:kern w:val="2"/>
                      <w:szCs w:val="21"/>
                      <w:lang w:val="en-US" w:eastAsia="zh-CN"/>
                    </w:rPr>
                    <w:t>厂商定期更换</w:t>
                  </w:r>
                </w:p>
              </w:tc>
            </w:tr>
          </w:tbl>
          <w:p>
            <w:pPr>
              <w:widowControl w:val="0"/>
              <w:spacing w:line="240" w:lineRule="auto"/>
              <w:ind w:firstLineChars="0" w:firstLine="0"/>
              <w:jc w:val="center"/>
              <w:rPr>
                <w:rFonts w:ascii="Times New Roman" w:eastAsia="宋体" w:cs="Times New Roman" w:hAnsi="Times New Roman"/>
                <w:b/>
                <w:color w:val="auto"/>
                <w:kern w:val="2"/>
                <w:sz w:val="24"/>
                <w:szCs w:val="21"/>
                <w:lang w:val="en-US" w:eastAsia="zh-CN" w:bidi="ar-SA"/>
              </w:rPr>
            </w:pPr>
          </w:p>
          <w:p>
            <w:pPr>
              <w:rPr>
                <w:rFonts w:hint="eastAsia"/>
                <w:bCs/>
                <w:color w:val="auto"/>
                <w:szCs w:val="21"/>
                <w:lang w:val="en-US" w:eastAsia="zh-CN"/>
              </w:rPr>
            </w:pPr>
            <w:r>
              <w:rPr>
                <w:rFonts w:hint="eastAsia"/>
                <w:bCs/>
                <w:color w:val="auto"/>
                <w:szCs w:val="21"/>
                <w:lang w:val="en-US" w:eastAsia="zh-CN"/>
              </w:rPr>
              <w:t>2、现有项目污染情况</w:t>
            </w:r>
          </w:p>
          <w:p>
            <w:pPr>
              <w:rPr>
                <w:rFonts w:hint="eastAsia"/>
                <w:bCs/>
                <w:color w:val="auto"/>
                <w:szCs w:val="21"/>
                <w:lang w:val="en-US" w:eastAsia="zh-CN"/>
              </w:rPr>
            </w:pPr>
            <w:r>
              <w:rPr>
                <w:rFonts w:hint="eastAsia"/>
                <w:bCs/>
                <w:color w:val="auto"/>
                <w:szCs w:val="21"/>
                <w:lang w:val="en-US" w:eastAsia="zh-CN"/>
              </w:rPr>
              <w:t>（1）废气</w:t>
            </w:r>
          </w:p>
          <w:p>
            <w:pPr>
              <w:rPr>
                <w:rFonts w:hint="eastAsia"/>
                <w:bCs/>
                <w:color w:val="auto"/>
                <w:szCs w:val="21"/>
                <w:lang w:val="en-US" w:eastAsia="zh-CN"/>
              </w:rPr>
            </w:pPr>
            <w:r>
              <w:rPr>
                <w:rFonts w:hint="eastAsia"/>
                <w:bCs/>
                <w:color w:val="auto"/>
                <w:szCs w:val="21"/>
                <w:lang w:val="en-US" w:eastAsia="zh-CN"/>
              </w:rPr>
              <w:t>现有工程中微量元素混合车间废气主要为颗粒对辊破碎机废气、搅拌机废气。废气经设备出料口上方集气罩收集后由管路引至一台袋式除尘器（TA001）处理，处理后由一根15m高排气筒（P1）排放。</w:t>
            </w:r>
          </w:p>
          <w:p>
            <w:pPr>
              <w:rPr>
                <w:rFonts w:hint="eastAsia"/>
                <w:bCs/>
                <w:color w:val="auto"/>
                <w:szCs w:val="21"/>
                <w:lang w:val="en-US" w:eastAsia="zh-CN"/>
              </w:rPr>
            </w:pPr>
            <w:r>
              <w:rPr>
                <w:rFonts w:hint="eastAsia"/>
                <w:bCs/>
                <w:color w:val="auto"/>
                <w:szCs w:val="21"/>
                <w:lang w:val="en-US" w:eastAsia="zh-CN"/>
              </w:rPr>
              <w:t>现有工程加压造粒生产线废气主要为投料口废气、第一次破碎废气、第二次破碎废气、造粒工序废气、第一次筛分废气、冷却废气、第二次筛分废气、抛光废气、装袋废气、烘干废气、燃烧烟气。投料工序废气经2套“集气罩+软帘”收集（粉末状投料废气和中微量元素投料废气），装袋废气经“集气罩+软帘”收集，其余废气（第一次破碎废气、造粒废气、第二次破碎废气、第一次筛分废气、第二次筛分废气、冷却废气、抛光废气）经设备密闭由管路负压收集；引入旋风除尘器（TA001）+袋式除尘器（TA002）+15m排气筒P2排放。烘干废气和燃烧烟气经管路负压收集，经旋风除尘器（TA002）+袋式除尘器（TA003）+旋转吸附机+水喷淋塔+15m排气筒P3排放。</w:t>
            </w:r>
          </w:p>
          <w:p>
            <w:pPr>
              <w:rPr>
                <w:bCs/>
                <w:color w:val="auto"/>
                <w:szCs w:val="21"/>
                <w:lang w:val="en-US" w:eastAsia="zh-CN"/>
              </w:rPr>
            </w:pPr>
            <w:r>
              <w:rPr>
                <w:rFonts w:hint="eastAsia"/>
                <w:bCs/>
                <w:color w:val="auto"/>
                <w:szCs w:val="21"/>
                <w:lang w:val="en-US" w:eastAsia="zh-CN"/>
              </w:rPr>
              <w:t>现有工程复混肥生产线废气主要为投料废气、包装废气。废气经集气罩+管道+旋风除尘器（TA001）+袋式除尘器（TA002）+15m排气筒P2排放。</w:t>
            </w:r>
          </w:p>
          <w:p>
            <w:pPr>
              <w:rPr>
                <w:rFonts w:hint="eastAsia"/>
                <w:bCs/>
                <w:color w:val="auto"/>
                <w:szCs w:val="21"/>
                <w:lang w:val="en-US" w:eastAsia="zh-CN"/>
                <w:highlight w:val="none"/>
              </w:rPr>
            </w:pPr>
            <w:r>
              <w:rPr>
                <w:rFonts w:hint="eastAsia"/>
                <w:bCs/>
                <w:color w:val="auto"/>
                <w:szCs w:val="21"/>
                <w:lang w:val="en-US" w:eastAsia="zh-CN"/>
              </w:rPr>
              <w:t>根</w:t>
            </w:r>
            <w:r>
              <w:rPr>
                <w:rFonts w:hint="eastAsia"/>
                <w:bCs/>
                <w:color w:val="auto"/>
                <w:szCs w:val="21"/>
                <w:lang w:val="en-US" w:eastAsia="zh-CN"/>
                <w:highlight w:val="none"/>
              </w:rPr>
              <w:t>据河北环海检测科技有限公司2025年6月为河北卓峰化肥有限公司出具的检测报告（HHJC自行监测【2025】298号）可知：P1排气筒出口颗粒物最大排放浓度为2.4mg/m</w:t>
            </w:r>
            <w:r>
              <w:rPr>
                <w:rFonts w:hint="eastAsia"/>
                <w:bCs/>
                <w:color w:val="auto"/>
                <w:szCs w:val="21"/>
                <w:vertAlign w:val="superscript"/>
                <w:lang w:val="en-US" w:eastAsia="zh-CN"/>
                <w:highlight w:val="none"/>
              </w:rPr>
              <w:t>3</w:t>
            </w:r>
            <w:r>
              <w:rPr>
                <w:rFonts w:hint="eastAsia"/>
                <w:bCs/>
                <w:color w:val="auto"/>
                <w:szCs w:val="21"/>
                <w:lang w:val="en-US" w:eastAsia="zh-CN"/>
                <w:highlight w:val="none"/>
              </w:rPr>
              <w:t>，最大排放速率为0.013kg/h；满足《大气污染物综合排放标准》(GB16297-1996)表2二级标准限值要求。</w:t>
            </w:r>
          </w:p>
          <w:p>
            <w:pPr>
              <w:rPr>
                <w:rFonts w:hint="eastAsia"/>
                <w:bCs/>
                <w:color w:val="auto"/>
                <w:szCs w:val="21"/>
                <w:lang w:val="en-US" w:eastAsia="zh-CN"/>
                <w:highlight w:val="none"/>
              </w:rPr>
            </w:pPr>
            <w:r>
              <w:rPr>
                <w:rFonts w:hint="eastAsia"/>
                <w:bCs/>
                <w:color w:val="auto"/>
                <w:szCs w:val="21"/>
                <w:lang w:val="en-US" w:eastAsia="zh-CN"/>
                <w:highlight w:val="none"/>
              </w:rPr>
              <w:t>根据河北欣蓝环境科技有限公司2022年12月为河北卓峰化肥有限公司出具的检测报告（XLKJ检字（2022）第10172号）可知：P2排气筒出口颗粒物最大排放浓度为2.7mg/m</w:t>
            </w:r>
            <w:r>
              <w:rPr>
                <w:rFonts w:hint="eastAsia"/>
                <w:bCs/>
                <w:color w:val="auto"/>
                <w:szCs w:val="21"/>
                <w:vertAlign w:val="superscript"/>
                <w:lang w:val="en-US" w:eastAsia="zh-CN"/>
                <w:highlight w:val="none"/>
              </w:rPr>
              <w:t>3</w:t>
            </w:r>
            <w:r>
              <w:rPr>
                <w:rFonts w:hint="eastAsia"/>
                <w:bCs/>
                <w:color w:val="auto"/>
                <w:szCs w:val="21"/>
                <w:lang w:val="en-US" w:eastAsia="zh-CN"/>
                <w:highlight w:val="none"/>
              </w:rPr>
              <w:t>，最大排放速率为0.049kg/h；满足《大气污染物综合排放标准》(GB16297-1996)表2二级标准限值要求；氨最大排放浓度为2.0mg/m3，臭气浓度最大值为229无量纲，均满足《恶臭污染物排放标准》(GB14554-1993)表2限值要求。</w:t>
            </w:r>
          </w:p>
          <w:p>
            <w:pPr>
              <w:rPr>
                <w:rFonts w:hint="eastAsia"/>
                <w:bCs/>
                <w:color w:val="auto"/>
                <w:szCs w:val="21"/>
                <w:lang w:val="en-US" w:eastAsia="zh-CN"/>
                <w:highlight w:val="none"/>
              </w:rPr>
            </w:pPr>
            <w:r>
              <w:rPr>
                <w:rFonts w:hint="eastAsia"/>
                <w:bCs/>
                <w:color w:val="auto"/>
                <w:szCs w:val="21"/>
                <w:lang w:val="en-US" w:eastAsia="zh-CN"/>
                <w:highlight w:val="none"/>
              </w:rPr>
              <w:t>根据河北环海检测科技有限公司2025年6月为河北卓峰化肥有限公司出具的检测报告（HHJC自行监测【2025】369号）可知：P3排气筒出口氨最大排放速率为0.020kg/h，臭气浓度最大值为977无量纲，均满足《恶臭污染物排放标准》(GB14554-1993)表2限值要求；满足《大气污染物综合排放标准》(GB16297-1996)表2二级标准限值要求。颗粒物最大折算浓度6.8mg/m</w:t>
            </w:r>
            <w:r>
              <w:rPr>
                <w:rFonts w:hint="eastAsia"/>
                <w:bCs/>
                <w:color w:val="auto"/>
                <w:szCs w:val="21"/>
                <w:vertAlign w:val="superscript"/>
                <w:lang w:val="en-US" w:eastAsia="zh-CN"/>
                <w:highlight w:val="none"/>
              </w:rPr>
              <w:t>3</w:t>
            </w:r>
            <w:r>
              <w:rPr>
                <w:rFonts w:hint="eastAsia"/>
                <w:bCs/>
                <w:color w:val="auto"/>
                <w:szCs w:val="21"/>
                <w:lang w:val="en-US" w:eastAsia="zh-CN"/>
                <w:highlight w:val="none"/>
              </w:rPr>
              <w:t>，二氧化硫未检出，氮氧化物最大折算浓度51mg/m</w:t>
            </w:r>
            <w:r>
              <w:rPr>
                <w:rFonts w:hint="eastAsia"/>
                <w:bCs/>
                <w:color w:val="auto"/>
                <w:szCs w:val="21"/>
                <w:vertAlign w:val="superscript"/>
                <w:lang w:val="en-US" w:eastAsia="zh-CN"/>
                <w:highlight w:val="none"/>
              </w:rPr>
              <w:t>3</w:t>
            </w:r>
            <w:r>
              <w:rPr>
                <w:rFonts w:hint="eastAsia"/>
                <w:bCs/>
                <w:color w:val="auto"/>
                <w:szCs w:val="21"/>
                <w:lang w:val="en-US" w:eastAsia="zh-CN"/>
                <w:highlight w:val="none"/>
              </w:rPr>
              <w:t>，均满足《工业炉窑大气污染物排放标准》（DB13/1640-2012）及《石家庄市生态环境保护局关于开展工业炉窑污染物治理专项的通知》（石环办【2018】98号）文件要求。</w:t>
            </w:r>
          </w:p>
          <w:p>
            <w:pPr>
              <w:rPr>
                <w:rFonts w:hint="eastAsia"/>
                <w:bCs/>
                <w:color w:val="auto"/>
                <w:szCs w:val="21"/>
                <w:lang w:val="en-US" w:eastAsia="zh-CN"/>
                <w:highlight w:val="none"/>
              </w:rPr>
            </w:pPr>
            <w:r>
              <w:rPr>
                <w:rFonts w:hint="eastAsia"/>
                <w:bCs/>
                <w:color w:val="auto"/>
                <w:szCs w:val="21"/>
                <w:lang w:val="en-US" w:eastAsia="zh-CN"/>
                <w:highlight w:val="none"/>
              </w:rPr>
              <w:t>厂界无组织颗粒物最大浓度为0.405mg/m</w:t>
            </w:r>
            <w:r>
              <w:rPr>
                <w:rFonts w:hint="eastAsia"/>
                <w:bCs/>
                <w:color w:val="auto"/>
                <w:szCs w:val="21"/>
                <w:vertAlign w:val="superscript"/>
                <w:lang w:val="en-US" w:eastAsia="zh-CN"/>
                <w:highlight w:val="none"/>
              </w:rPr>
              <w:t>3</w:t>
            </w:r>
            <w:r>
              <w:rPr>
                <w:rFonts w:hint="eastAsia"/>
                <w:bCs/>
                <w:color w:val="auto"/>
                <w:szCs w:val="21"/>
                <w:lang w:val="en-US" w:eastAsia="zh-CN"/>
                <w:highlight w:val="none"/>
              </w:rPr>
              <w:t>，满足《大气污染物综合排放标准》(GB16297-1996)表2无组织排放限值要求。无组织氨最大浓度为0.255mg/m</w:t>
            </w:r>
            <w:r>
              <w:rPr>
                <w:rFonts w:hint="eastAsia"/>
                <w:bCs/>
                <w:color w:val="auto"/>
                <w:szCs w:val="21"/>
                <w:vertAlign w:val="superscript"/>
                <w:lang w:val="en-US" w:eastAsia="zh-CN"/>
                <w:highlight w:val="none"/>
              </w:rPr>
              <w:t>3</w:t>
            </w:r>
            <w:r>
              <w:rPr>
                <w:rFonts w:hint="eastAsia"/>
                <w:bCs/>
                <w:color w:val="auto"/>
                <w:szCs w:val="21"/>
                <w:lang w:val="en-US" w:eastAsia="zh-CN"/>
                <w:highlight w:val="none"/>
              </w:rPr>
              <w:t>，臭气浓度＜10无量纲，均满足《恶臭污染物排放标准》(GB14554-1993)表1限值要求。</w:t>
            </w:r>
          </w:p>
          <w:p>
            <w:pPr>
              <w:rPr>
                <w:rFonts w:hint="eastAsia"/>
                <w:bCs/>
                <w:color w:val="auto"/>
                <w:szCs w:val="21"/>
                <w:lang w:val="en-US" w:eastAsia="zh-CN"/>
              </w:rPr>
            </w:pPr>
            <w:r>
              <w:rPr>
                <w:rFonts w:hint="eastAsia"/>
                <w:bCs/>
                <w:color w:val="auto"/>
                <w:szCs w:val="21"/>
                <w:lang w:val="en-US" w:eastAsia="zh-CN"/>
              </w:rPr>
              <w:t>（2）废水</w:t>
            </w:r>
          </w:p>
          <w:p>
            <w:pPr>
              <w:rPr>
                <w:rFonts w:hint="eastAsia"/>
                <w:bCs/>
                <w:color w:val="auto"/>
                <w:szCs w:val="21"/>
                <w:lang w:val="en-US" w:eastAsia="zh-CN"/>
              </w:rPr>
            </w:pPr>
            <w:r>
              <w:rPr>
                <w:rFonts w:hint="eastAsia"/>
                <w:bCs/>
                <w:color w:val="auto"/>
                <w:szCs w:val="21"/>
                <w:lang w:val="en-US" w:eastAsia="zh-CN"/>
              </w:rPr>
              <w:t>现有工程无生产废水产生，项目废水为生活污水，排水量为2.88m³/d。现有工程废水进入厂区多格生物化粪池处理，处理后经园区污水管网进入石家庄装备制造基地绿源污水处理有限公司进一步处理。</w:t>
            </w:r>
          </w:p>
          <w:p>
            <w:pPr>
              <w:rPr>
                <w:rFonts w:hint="eastAsia"/>
                <w:bCs/>
                <w:color w:val="auto"/>
                <w:szCs w:val="21"/>
                <w:lang w:val="en-US" w:eastAsia="zh-CN"/>
                <w:highlight w:val="none"/>
              </w:rPr>
            </w:pPr>
            <w:r>
              <w:rPr>
                <w:rFonts w:hint="eastAsia"/>
                <w:bCs/>
                <w:color w:val="auto"/>
                <w:szCs w:val="21"/>
                <w:lang w:val="en-US" w:eastAsia="zh-CN"/>
                <w:highlight w:val="none"/>
              </w:rPr>
              <w:t>根据河北环海检测科技有限公司2025年1月为河北卓峰化肥有限公司出具的检测报告（HHJC自行监测【2024】550号）可知：废水排放口pH范围值为7.3-7.4（无量纲）、氨氮日均最大值为17.8mg/L、化学需氧量日均最大值为120mg/L、色度日均最大值为4倍、悬浮物日均最大值为64mg/L、五日生化需氧量日均最大值为37.1mg/L、总磷日均最大值为1.59mg/L、总氮日均最大值为33.2mg/L，均满足《污水综合排放标准》(GB8978-96)表4三级标准要求和《磷肥工业水污染物排放标准》（GB15580-2011）表2标准要求以及石家庄装备制造基地绿源污水处理有限公司进水水质要求。</w:t>
            </w:r>
          </w:p>
          <w:p>
            <w:pPr>
              <w:rPr>
                <w:rFonts w:hint="eastAsia"/>
                <w:bCs/>
                <w:color w:val="auto"/>
                <w:szCs w:val="21"/>
                <w:lang w:val="en-US" w:eastAsia="zh-CN"/>
              </w:rPr>
            </w:pPr>
            <w:r>
              <w:rPr>
                <w:rFonts w:hint="eastAsia"/>
                <w:bCs/>
                <w:color w:val="auto"/>
                <w:szCs w:val="21"/>
                <w:lang w:val="en-US" w:eastAsia="zh-CN"/>
              </w:rPr>
              <w:t>（3）噪声</w:t>
            </w:r>
          </w:p>
          <w:p>
            <w:pPr>
              <w:rPr>
                <w:rFonts w:hint="eastAsia"/>
                <w:bCs/>
                <w:color w:val="auto"/>
                <w:szCs w:val="21"/>
                <w:lang w:val="en-US" w:eastAsia="zh-CN"/>
              </w:rPr>
            </w:pPr>
            <w:r>
              <w:rPr>
                <w:rFonts w:hint="eastAsia"/>
                <w:bCs/>
                <w:color w:val="auto"/>
                <w:szCs w:val="21"/>
                <w:lang w:val="en-US" w:eastAsia="zh-CN"/>
              </w:rPr>
              <w:t>现有工程噪声主要来源于生产设备。项目主要采用低噪设备、基础减震、厂房隔声降噪措施。</w:t>
            </w:r>
          </w:p>
          <w:p>
            <w:pPr>
              <w:rPr>
                <w:rFonts w:hint="eastAsia"/>
                <w:bCs/>
                <w:color w:val="auto"/>
                <w:szCs w:val="21"/>
                <w:lang w:val="en-US" w:eastAsia="zh-CN"/>
                <w:highlight w:val="none"/>
              </w:rPr>
            </w:pPr>
            <w:r>
              <w:rPr>
                <w:rFonts w:hint="eastAsia"/>
                <w:bCs/>
                <w:color w:val="auto"/>
                <w:szCs w:val="21"/>
                <w:lang w:val="en-US" w:eastAsia="zh-CN"/>
                <w:highlight w:val="none"/>
              </w:rPr>
              <w:t>根据河北环海检测科技有限公司2025年6月为河北卓峰化肥有限公司出具的检测报告（HHJC自行监测【2025】298号）可知：项目北、南厂界昼间噪声范围为56.4dB(A)~58.9dB(A)，满足《工业企业厂界环境噪声排放标准》（GB12348-2008）表1中3类标准要求。</w:t>
            </w:r>
          </w:p>
          <w:p>
            <w:pPr>
              <w:rPr>
                <w:rFonts w:hint="eastAsia"/>
                <w:bCs/>
                <w:color w:val="auto"/>
                <w:szCs w:val="21"/>
                <w:lang w:val="en-US" w:eastAsia="zh-CN"/>
              </w:rPr>
            </w:pPr>
            <w:r>
              <w:rPr>
                <w:rFonts w:hint="eastAsia"/>
                <w:bCs/>
                <w:color w:val="auto"/>
                <w:szCs w:val="21"/>
                <w:lang w:val="en-US" w:eastAsia="zh-CN"/>
              </w:rPr>
              <w:t>（4）固体废物</w:t>
            </w:r>
          </w:p>
          <w:p>
            <w:pPr>
              <w:rPr>
                <w:rFonts w:hint="eastAsia"/>
                <w:bCs/>
                <w:color w:val="auto"/>
                <w:szCs w:val="21"/>
                <w:lang w:val="en-US" w:eastAsia="zh-CN"/>
              </w:rPr>
            </w:pPr>
            <w:r>
              <w:rPr>
                <w:rFonts w:hint="eastAsia"/>
                <w:bCs/>
                <w:color w:val="auto"/>
                <w:szCs w:val="21"/>
                <w:lang w:val="en-US" w:eastAsia="zh-CN"/>
              </w:rPr>
              <w:t>现有工程产生的固体废物主要为化验室废液、化验室废包装、原料废包装、废机油、废润滑油、除尘灰和生活垃圾。</w:t>
            </w:r>
          </w:p>
          <w:p>
            <w:pPr>
              <w:rPr>
                <w:rFonts w:hint="eastAsia"/>
                <w:bCs/>
                <w:color w:val="auto"/>
                <w:szCs w:val="21"/>
                <w:lang w:val="en-US" w:eastAsia="zh-CN"/>
              </w:rPr>
            </w:pPr>
            <w:r>
              <w:rPr>
                <w:rFonts w:hint="eastAsia"/>
                <w:bCs/>
                <w:color w:val="auto"/>
                <w:szCs w:val="21"/>
                <w:lang w:val="en-US" w:eastAsia="zh-CN"/>
              </w:rPr>
              <w:t>现有工程产生的化验室废液、化验室废包装、废机油、废润滑油分类暂存危废间定期交有资质单位处理，原料废包装统一收集后外售，除尘灰回用于生产，生活垃圾由环卫部门定期清运。</w:t>
            </w:r>
          </w:p>
          <w:p>
            <w:pPr>
              <w:keepLines w:val="0"/>
              <w:pageBreakBefore w:val="0"/>
              <w:widowControl w:val="0"/>
              <w:kinsoku/>
              <w:wordWrap/>
              <w:overflowPunct/>
              <w:topLinePunct w:val="0"/>
              <w:autoSpaceDE/>
              <w:autoSpaceDN/>
              <w:bidi w:val="0"/>
              <w:adjustRightInd/>
              <w:snapToGrid/>
              <w:spacing w:line="480" w:lineRule="exact"/>
              <w:ind w:left="0" w:firstLineChars="0" w:firstLine="0"/>
              <w:jc w:val="center"/>
              <w:rPr>
                <w:rFonts w:ascii="Times New Roman" w:eastAsia="宋体" w:cs="Times New Roman" w:hAnsi="Times New Roman" w:hint="eastAsia"/>
                <w:b/>
                <w:bCs w:val="0"/>
                <w:color w:val="auto"/>
                <w:kern w:val="2"/>
                <w:sz w:val="24"/>
                <w:szCs w:val="20"/>
                <w:lang w:val="en-US" w:eastAsia="zh-CN" w:bidi="ar-SA"/>
                <w:highlight w:val="none"/>
              </w:rPr>
            </w:pPr>
            <w:r>
              <w:rPr>
                <w:rFonts w:ascii="Times New Roman" w:eastAsia="宋体" w:cs="Times New Roman" w:hAnsi="Times New Roman" w:hint="eastAsia"/>
                <w:b/>
                <w:bCs/>
                <w:color w:val="auto"/>
                <w:kern w:val="2"/>
                <w:sz w:val="24"/>
                <w:szCs w:val="24"/>
                <w:lang w:val="en-US" w:eastAsia="zh-CN" w:bidi="ar-SA"/>
                <w:highlight w:val="none"/>
              </w:rPr>
              <w:t>表2-</w:t>
            </w:r>
            <w:r>
              <w:rPr>
                <w:rFonts w:cs="Times New Roman" w:hint="eastAsia"/>
                <w:b/>
                <w:bCs/>
                <w:color w:val="auto"/>
                <w:kern w:val="2"/>
                <w:sz w:val="24"/>
                <w:szCs w:val="24"/>
                <w:lang w:val="en-US" w:eastAsia="zh-CN" w:bidi="ar-SA"/>
                <w:highlight w:val="none"/>
              </w:rPr>
              <w:t>16</w:t>
            </w:r>
            <w:r>
              <w:rPr>
                <w:rFonts w:ascii="Times New Roman" w:eastAsia="宋体" w:cs="Times New Roman" w:hAnsi="Times New Roman" w:hint="eastAsia"/>
                <w:b/>
                <w:bCs/>
                <w:color w:val="auto"/>
                <w:kern w:val="2"/>
                <w:sz w:val="24"/>
                <w:szCs w:val="24"/>
                <w:lang w:val="en-US" w:eastAsia="zh-CN" w:bidi="ar-SA"/>
                <w:highlight w:val="none"/>
              </w:rPr>
              <w:t xml:space="preserve">   现有工程废气、废水污染物实际排放量</w:t>
            </w:r>
          </w:p>
          <w:tbl>
            <w:tblPr>
              <w:jc w:val="cente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
              <w:gridCol w:w="509"/>
              <w:gridCol w:w="665"/>
              <w:gridCol w:w="1201"/>
              <w:gridCol w:w="1068"/>
              <w:gridCol w:w="1009"/>
              <w:gridCol w:w="706"/>
              <w:gridCol w:w="689"/>
              <w:gridCol w:w="1511"/>
            </w:tblGrid>
            <w:tr>
              <w:trPr>
                <w:trHeight w:val="519"/>
              </w:trPr>
              <w:tc>
                <w:tcPr>
                  <w:tcW w:w="268"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snapToGrid w:val="0"/>
                      <w:color w:val="auto"/>
                      <w:kern w:val="0"/>
                      <w:sz w:val="21"/>
                      <w:szCs w:val="21"/>
                      <w:lang w:val="en-US" w:eastAsia="zh-CN" w:bidi="ar-SA"/>
                      <w:highlight w:val="none"/>
                    </w:rPr>
                    <w:t>污染物类别</w:t>
                  </w:r>
                </w:p>
              </w:tc>
              <w:tc>
                <w:tcPr>
                  <w:tcW w:w="358"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snapToGrid w:val="0"/>
                      <w:color w:val="auto"/>
                      <w:kern w:val="0"/>
                      <w:sz w:val="21"/>
                      <w:szCs w:val="21"/>
                      <w:lang w:val="en-US" w:eastAsia="zh-CN" w:bidi="ar-SA"/>
                      <w:highlight w:val="none"/>
                    </w:rPr>
                    <w:t>污染源</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snapToGrid w:val="0"/>
                      <w:color w:val="auto"/>
                      <w:kern w:val="0"/>
                      <w:sz w:val="21"/>
                      <w:szCs w:val="21"/>
                      <w:lang w:val="en-US" w:eastAsia="zh-CN" w:bidi="ar-SA"/>
                      <w:highlight w:val="none"/>
                    </w:rPr>
                    <w:t>污染物名称</w:t>
                  </w:r>
                </w:p>
              </w:tc>
              <w:tc>
                <w:tcPr>
                  <w:tcW w:w="755"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排放浓度</w:t>
                  </w:r>
                  <w:r>
                    <w:rPr>
                      <w:rFonts w:cs="Times New Roman" w:hint="eastAsia"/>
                      <w:snapToGrid w:val="0"/>
                      <w:color w:val="auto"/>
                      <w:kern w:val="0"/>
                      <w:sz w:val="21"/>
                      <w:szCs w:val="21"/>
                      <w:lang w:val="en-US" w:eastAsia="zh-CN" w:bidi="ar-SA"/>
                      <w:highlight w:val="none"/>
                    </w:rPr>
                    <w:t>（mg/m</w:t>
                  </w:r>
                  <w:r>
                    <w:rPr>
                      <w:rFonts w:cs="Times New Roman" w:hint="eastAsia"/>
                      <w:snapToGrid w:val="0"/>
                      <w:color w:val="auto"/>
                      <w:kern w:val="0"/>
                      <w:sz w:val="21"/>
                      <w:szCs w:val="21"/>
                      <w:vertAlign w:val="superscript"/>
                      <w:lang w:val="en-US" w:eastAsia="zh-CN" w:bidi="ar-SA"/>
                      <w:highlight w:val="none"/>
                    </w:rPr>
                    <w:t>3</w:t>
                  </w:r>
                  <w:r>
                    <w:rPr>
                      <w:rFonts w:cs="Times New Roman" w:hint="eastAsia"/>
                      <w:snapToGrid w:val="0"/>
                      <w:color w:val="auto"/>
                      <w:kern w:val="0"/>
                      <w:sz w:val="21"/>
                      <w:szCs w:val="21"/>
                      <w:lang w:val="en-US" w:eastAsia="zh-CN" w:bidi="ar-SA"/>
                      <w:highlight w:val="none"/>
                    </w:rPr>
                    <w:t>）</w:t>
                  </w:r>
                </w:p>
              </w:tc>
              <w:tc>
                <w:tcPr>
                  <w:tcW w:w="674"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废气量</w:t>
                  </w:r>
                  <w:r>
                    <w:rPr>
                      <w:rFonts w:cs="Times New Roman" w:hint="eastAsia"/>
                      <w:snapToGrid w:val="0"/>
                      <w:color w:val="auto"/>
                      <w:kern w:val="0"/>
                      <w:sz w:val="21"/>
                      <w:szCs w:val="21"/>
                      <w:lang w:val="en-US" w:eastAsia="zh-CN" w:bidi="ar-SA"/>
                      <w:highlight w:val="none"/>
                    </w:rPr>
                    <w:t>（m3/h，</w:t>
                  </w:r>
                  <w:r>
                    <w:rPr>
                      <w:rFonts w:ascii="Times New Roman" w:eastAsia="宋体" w:cs="Times New Roman" w:hAnsi="Times New Roman" w:hint="eastAsia"/>
                      <w:snapToGrid w:val="0"/>
                      <w:color w:val="auto"/>
                      <w:kern w:val="0"/>
                      <w:sz w:val="21"/>
                      <w:szCs w:val="21"/>
                      <w:lang w:val="en-US" w:eastAsia="zh-CN" w:bidi="ar-SA"/>
                      <w:highlight w:val="none"/>
                    </w:rPr>
                    <w:t>m</w:t>
                  </w:r>
                  <w:r>
                    <w:rPr>
                      <w:rFonts w:ascii="Times New Roman" w:eastAsia="宋体" w:cs="Times New Roman" w:hAnsi="Times New Roman" w:hint="eastAsia"/>
                      <w:snapToGrid w:val="0"/>
                      <w:color w:val="auto"/>
                      <w:kern w:val="0"/>
                      <w:sz w:val="21"/>
                      <w:szCs w:val="21"/>
                      <w:vertAlign w:val="superscript"/>
                      <w:lang w:val="en-US" w:eastAsia="zh-CN" w:bidi="ar-SA"/>
                      <w:highlight w:val="none"/>
                    </w:rPr>
                    <w:t>3</w:t>
                  </w:r>
                  <w:r>
                    <w:rPr>
                      <w:rFonts w:ascii="Times New Roman" w:eastAsia="宋体" w:cs="Times New Roman" w:hAnsi="Times New Roman" w:hint="eastAsia"/>
                      <w:snapToGrid w:val="0"/>
                      <w:color w:val="auto"/>
                      <w:kern w:val="0"/>
                      <w:sz w:val="21"/>
                      <w:szCs w:val="21"/>
                      <w:lang w:val="en-US" w:eastAsia="zh-CN" w:bidi="ar-SA"/>
                      <w:highlight w:val="none"/>
                    </w:rPr>
                    <w:t>/d）</w:t>
                  </w:r>
                </w:p>
              </w:tc>
              <w:tc>
                <w:tcPr>
                  <w:tcW w:w="637"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排放速率</w:t>
                  </w:r>
                  <w:r>
                    <w:rPr>
                      <w:rFonts w:cs="Times New Roman" w:hint="eastAsia"/>
                      <w:snapToGrid w:val="0"/>
                      <w:color w:val="auto"/>
                      <w:kern w:val="0"/>
                      <w:sz w:val="21"/>
                      <w:szCs w:val="21"/>
                      <w:lang w:val="en-US" w:eastAsia="zh-CN" w:bidi="ar-SA"/>
                      <w:highlight w:val="none"/>
                    </w:rPr>
                    <w:t>（kg/h）</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运行工况</w:t>
                  </w:r>
                </w:p>
              </w:tc>
              <w:tc>
                <w:tcPr>
                  <w:tcW w:w="434"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折算满负荷时</w:t>
                  </w:r>
                  <w:r>
                    <w:rPr>
                      <w:rFonts w:ascii="Times New Roman" w:eastAsia="宋体" w:cs="Times New Roman" w:hAnsi="Times New Roman"/>
                      <w:snapToGrid w:val="0"/>
                      <w:color w:val="auto"/>
                      <w:kern w:val="0"/>
                      <w:sz w:val="21"/>
                      <w:szCs w:val="21"/>
                      <w:lang w:val="en-US" w:eastAsia="zh-CN" w:bidi="ar-SA"/>
                      <w:highlight w:val="none"/>
                    </w:rPr>
                    <w:t>污染物排放量t/a</w:t>
                  </w:r>
                </w:p>
              </w:tc>
              <w:tc>
                <w:tcPr>
                  <w:tcW w:w="957" w:type="pc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来源</w:t>
                  </w:r>
                </w:p>
              </w:tc>
            </w:tr>
            <w:tr>
              <w:tc>
                <w:tcPr>
                  <w:tcW w:w="268"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snapToGrid w:val="0"/>
                      <w:color w:val="auto"/>
                      <w:kern w:val="0"/>
                      <w:sz w:val="21"/>
                      <w:szCs w:val="21"/>
                      <w:lang w:val="en-US" w:eastAsia="zh-CN" w:bidi="ar-SA"/>
                      <w:highlight w:val="none"/>
                    </w:rPr>
                    <w:t>废气</w:t>
                  </w:r>
                </w:p>
              </w:tc>
              <w:tc>
                <w:tcPr>
                  <w:tcW w:w="358"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P1排气筒</w:t>
                  </w: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颗粒物</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2.4</w:t>
                  </w:r>
                </w:p>
              </w:tc>
              <w:tc>
                <w:tcPr>
                  <w:tcW w:w="674" w:type="pct"/>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5655</w:t>
                  </w: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0.013</w:t>
                  </w:r>
                </w:p>
              </w:tc>
              <w:tc>
                <w:tcPr>
                  <w:tcW w:w="44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100</w:t>
                  </w:r>
                  <w:r>
                    <w:rPr>
                      <w:rFonts w:ascii="Times New Roman" w:eastAsia="宋体" w:cs="Times New Roman" w:hAnsi="Times New Roman" w:hint="eastAsia"/>
                      <w:snapToGrid w:val="0"/>
                      <w:color w:val="auto"/>
                      <w:kern w:val="0"/>
                      <w:sz w:val="21"/>
                      <w:szCs w:val="21"/>
                      <w:lang w:val="en-US" w:eastAsia="zh-CN" w:bidi="ar-SA"/>
                      <w:highlight w:val="none"/>
                    </w:rPr>
                    <w:t>%</w:t>
                  </w: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0.065</w:t>
                  </w:r>
                </w:p>
              </w:tc>
              <w:tc>
                <w:tcPr>
                  <w:tcW w:w="95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highlight w:val="none"/>
                    </w:rPr>
                    <w:t>报告编号：CCJW2412051</w:t>
                  </w:r>
                </w:p>
              </w:tc>
            </w:tr>
            <w:tr>
              <w:trPr>
                <w:trHeight w:val="90"/>
              </w:trPr>
              <w:tc>
                <w:tcPr>
                  <w:tcW w:w="268" w:type="pct"/>
                  <w:vMerge/>
                  <w:vAlign w:val="center"/>
                </w:tcPr>
                <w:p/>
              </w:tc>
              <w:tc>
                <w:tcPr>
                  <w:tcW w:w="358"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P2排气筒</w:t>
                  </w: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snapToGrid w:val="0"/>
                      <w:color w:val="auto"/>
                      <w:kern w:val="0"/>
                      <w:sz w:val="21"/>
                      <w:szCs w:val="21"/>
                      <w:lang w:val="en-US" w:eastAsia="zh-CN" w:bidi="ar-SA"/>
                      <w:highlight w:val="none"/>
                    </w:rPr>
                    <w:t>颗粒物</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2.7</w:t>
                  </w:r>
                </w:p>
              </w:tc>
              <w:tc>
                <w:tcPr>
                  <w:tcW w:w="674" w:type="pct"/>
                  <w:vMerge w:val="restart"/>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18043</w:t>
                  </w: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0.049</w:t>
                  </w:r>
                </w:p>
              </w:tc>
              <w:tc>
                <w:tcPr>
                  <w:tcW w:w="445"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80</w:t>
                  </w:r>
                  <w:r>
                    <w:rPr>
                      <w:rFonts w:ascii="Times New Roman" w:eastAsia="宋体" w:cs="Times New Roman" w:hAnsi="Times New Roman" w:hint="eastAsia"/>
                      <w:snapToGrid w:val="0"/>
                      <w:color w:val="auto"/>
                      <w:kern w:val="0"/>
                      <w:sz w:val="21"/>
                      <w:szCs w:val="21"/>
                      <w:lang w:val="en-US" w:eastAsia="zh-CN" w:bidi="ar-SA"/>
                      <w:highlight w:val="none"/>
                    </w:rPr>
                    <w:t>%</w:t>
                  </w: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0.292</w:t>
                  </w:r>
                </w:p>
              </w:tc>
              <w:tc>
                <w:tcPr>
                  <w:tcW w:w="957"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XLKJ检字（2022）第10172号</w:t>
                  </w:r>
                </w:p>
              </w:tc>
            </w:tr>
            <w:tr>
              <w:tc>
                <w:tcPr>
                  <w:tcW w:w="268" w:type="pct"/>
                  <w:vMerge/>
                  <w:vAlign w:val="center"/>
                </w:tcPr>
                <w:p/>
              </w:tc>
              <w:tc>
                <w:tcPr>
                  <w:tcW w:w="358" w:type="pct"/>
                  <w:vMerge/>
                  <w:tcBorders>
                    <w:left w:val="single" w:sz="4" w:space="0" w:color="auto"/>
                  </w:tcBorders>
                  <w:vAlign w:val="center"/>
                </w:tcP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氨</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1.88</w:t>
                  </w:r>
                </w:p>
              </w:tc>
              <w:tc>
                <w:tcPr>
                  <w:tcW w:w="674" w:type="pct"/>
                  <w:vMerge/>
                  <w:tcBorders>
                    <w:left w:val="single" w:sz="4" w:space="0" w:color="auto"/>
                  </w:tcBorders>
                  <w:shd w:val="clear" w:color="auto" w:fill="auto"/>
                  <w:vAlign w:val="center"/>
                </w:tcP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0.034</w:t>
                  </w:r>
                </w:p>
              </w:tc>
              <w:tc>
                <w:tcPr>
                  <w:tcW w:w="445" w:type="pct"/>
                  <w:vMerge/>
                  <w:tcBorders>
                    <w:left w:val="single" w:sz="4" w:space="0" w:color="auto"/>
                  </w:tcBorders>
                  <w:vAlign w:val="center"/>
                </w:tcP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0.204</w:t>
                  </w:r>
                </w:p>
              </w:tc>
              <w:tc>
                <w:tcPr>
                  <w:tcW w:w="957" w:type="pct"/>
                  <w:vMerge/>
                  <w:tcBorders>
                    <w:left w:val="single" w:sz="4" w:space="0" w:color="auto"/>
                  </w:tcBorders>
                  <w:vAlign w:val="center"/>
                </w:tcPr>
                <w:p/>
              </w:tc>
            </w:tr>
            <w:tr>
              <w:trPr>
                <w:trHeight w:val="65"/>
              </w:trPr>
              <w:tc>
                <w:tcPr>
                  <w:tcW w:w="268" w:type="pct"/>
                  <w:vMerge/>
                  <w:vAlign w:val="center"/>
                </w:tcPr>
                <w:p/>
              </w:tc>
              <w:tc>
                <w:tcPr>
                  <w:tcW w:w="358" w:type="pct"/>
                  <w:vMerge/>
                  <w:tcBorders>
                    <w:left w:val="single" w:sz="4" w:space="0" w:color="auto"/>
                  </w:tcBorders>
                  <w:vAlign w:val="center"/>
                </w:tcP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臭气浓度</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229</w:t>
                  </w:r>
                </w:p>
              </w:tc>
              <w:tc>
                <w:tcPr>
                  <w:tcW w:w="674" w:type="pct"/>
                  <w:vMerge/>
                  <w:tcBorders>
                    <w:left w:val="single" w:sz="4" w:space="0" w:color="auto"/>
                  </w:tcBorders>
                  <w:shd w:val="clear" w:color="auto" w:fill="auto"/>
                  <w:vAlign w:val="center"/>
                </w:tcP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w:t>
                  </w:r>
                </w:p>
              </w:tc>
              <w:tc>
                <w:tcPr>
                  <w:tcW w:w="445" w:type="pct"/>
                  <w:vMerge/>
                  <w:tcBorders>
                    <w:left w:val="single" w:sz="4" w:space="0" w:color="auto"/>
                  </w:tcBorders>
                  <w:vAlign w:val="center"/>
                </w:tcP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w:t>
                  </w:r>
                </w:p>
              </w:tc>
              <w:tc>
                <w:tcPr>
                  <w:tcW w:w="957" w:type="pct"/>
                  <w:vMerge/>
                  <w:tcBorders>
                    <w:left w:val="single" w:sz="4" w:space="0" w:color="auto"/>
                  </w:tcBorders>
                  <w:vAlign w:val="center"/>
                </w:tcPr>
                <w:p/>
              </w:tc>
            </w:tr>
            <w:tr>
              <w:trPr>
                <w:trHeight w:val="1068"/>
              </w:trPr>
              <w:tc>
                <w:tcPr>
                  <w:tcW w:w="268" w:type="pct"/>
                  <w:vMerge/>
                  <w:vAlign w:val="center"/>
                </w:tcPr>
                <w:p/>
              </w:tc>
              <w:tc>
                <w:tcPr>
                  <w:tcW w:w="358"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P3排气筒</w:t>
                  </w: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氨</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1.84</w:t>
                  </w:r>
                </w:p>
              </w:tc>
              <w:tc>
                <w:tcPr>
                  <w:tcW w:w="674"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11777</w:t>
                  </w: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0.020</w:t>
                  </w:r>
                </w:p>
              </w:tc>
              <w:tc>
                <w:tcPr>
                  <w:tcW w:w="445"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100%</w:t>
                  </w: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0.104</w:t>
                  </w:r>
                </w:p>
              </w:tc>
              <w:tc>
                <w:tcPr>
                  <w:tcW w:w="957"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HHJC自行监测【2025】369号</w:t>
                  </w:r>
                </w:p>
              </w:tc>
            </w:tr>
            <w:tr>
              <w:trPr>
                <w:trHeight w:val="65"/>
              </w:trPr>
              <w:tc>
                <w:tcPr>
                  <w:tcW w:w="268" w:type="pct"/>
                  <w:vMerge/>
                  <w:vAlign w:val="center"/>
                </w:tcPr>
                <w:p/>
              </w:tc>
              <w:tc>
                <w:tcPr>
                  <w:tcW w:w="358" w:type="pct"/>
                  <w:vMerge/>
                  <w:tcBorders>
                    <w:left w:val="single" w:sz="4" w:space="0" w:color="auto"/>
                  </w:tcBorders>
                  <w:vAlign w:val="center"/>
                </w:tcP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臭气浓度</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977</w:t>
                  </w:r>
                </w:p>
              </w:tc>
              <w:tc>
                <w:tcPr>
                  <w:tcW w:w="674" w:type="pct"/>
                  <w:vMerge/>
                  <w:tcBorders>
                    <w:left w:val="single" w:sz="4" w:space="0" w:color="auto"/>
                  </w:tcBorders>
                  <w:vAlign w:val="center"/>
                </w:tcP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w:t>
                  </w:r>
                </w:p>
              </w:tc>
              <w:tc>
                <w:tcPr>
                  <w:tcW w:w="445" w:type="pct"/>
                  <w:vMerge/>
                  <w:tcBorders>
                    <w:left w:val="single" w:sz="4" w:space="0" w:color="auto"/>
                  </w:tcBorders>
                  <w:vAlign w:val="center"/>
                </w:tcP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w:t>
                  </w:r>
                </w:p>
              </w:tc>
              <w:tc>
                <w:tcPr>
                  <w:tcW w:w="957" w:type="pct"/>
                  <w:vMerge/>
                  <w:tcBorders>
                    <w:left w:val="single" w:sz="4" w:space="0" w:color="auto"/>
                  </w:tcBorders>
                  <w:vAlign w:val="center"/>
                </w:tcPr>
                <w:p/>
              </w:tc>
            </w:tr>
            <w:tr>
              <w:trPr>
                <w:trHeight w:val="65"/>
              </w:trPr>
              <w:tc>
                <w:tcPr>
                  <w:tcW w:w="268" w:type="pct"/>
                  <w:vMerge/>
                  <w:vAlign w:val="center"/>
                </w:tcPr>
                <w:p/>
              </w:tc>
              <w:tc>
                <w:tcPr>
                  <w:tcW w:w="358" w:type="pct"/>
                  <w:vMerge/>
                  <w:tcBorders>
                    <w:left w:val="single" w:sz="4" w:space="0" w:color="auto"/>
                  </w:tcBorders>
                  <w:vAlign w:val="center"/>
                </w:tcP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二氧化硫</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ND（折算后）</w:t>
                  </w:r>
                </w:p>
              </w:tc>
              <w:tc>
                <w:tcPr>
                  <w:tcW w:w="674"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2936</w:t>
                  </w: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w:t>
                  </w:r>
                </w:p>
              </w:tc>
              <w:tc>
                <w:tcPr>
                  <w:tcW w:w="445" w:type="pct"/>
                  <w:vMerge/>
                  <w:tcBorders>
                    <w:left w:val="single" w:sz="4" w:space="0" w:color="auto"/>
                  </w:tcBorders>
                  <w:vAlign w:val="center"/>
                </w:tcP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0.021</w:t>
                  </w:r>
                </w:p>
              </w:tc>
              <w:tc>
                <w:tcPr>
                  <w:tcW w:w="957" w:type="pct"/>
                  <w:vMerge/>
                  <w:tcBorders>
                    <w:left w:val="single" w:sz="4" w:space="0" w:color="auto"/>
                  </w:tcBorders>
                  <w:vAlign w:val="center"/>
                </w:tcPr>
                <w:p/>
              </w:tc>
            </w:tr>
            <w:tr>
              <w:trPr>
                <w:trHeight w:val="65"/>
              </w:trPr>
              <w:tc>
                <w:tcPr>
                  <w:tcW w:w="268" w:type="pct"/>
                  <w:vMerge/>
                  <w:vAlign w:val="center"/>
                </w:tcPr>
                <w:p/>
              </w:tc>
              <w:tc>
                <w:tcPr>
                  <w:tcW w:w="358" w:type="pct"/>
                  <w:vMerge/>
                  <w:tcBorders>
                    <w:left w:val="single" w:sz="4" w:space="0" w:color="auto"/>
                  </w:tcBorders>
                  <w:vAlign w:val="center"/>
                </w:tcP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氮氧化物</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51</w:t>
                  </w:r>
                  <w:r>
                    <w:rPr>
                      <w:rFonts w:ascii="Times New Roman" w:eastAsia="宋体" w:cs="Times New Roman" w:hAnsi="Times New Roman" w:hint="eastAsia"/>
                      <w:snapToGrid w:val="0"/>
                      <w:color w:val="auto"/>
                      <w:kern w:val="0"/>
                      <w:sz w:val="21"/>
                      <w:szCs w:val="21"/>
                      <w:lang w:val="en-US" w:eastAsia="zh-CN" w:bidi="ar-SA"/>
                      <w:highlight w:val="none"/>
                    </w:rPr>
                    <w:t>（折算后）</w:t>
                  </w:r>
                </w:p>
              </w:tc>
              <w:tc>
                <w:tcPr>
                  <w:tcW w:w="674" w:type="pct"/>
                  <w:vMerge/>
                  <w:tcBorders>
                    <w:left w:val="single" w:sz="4" w:space="0" w:color="auto"/>
                  </w:tcBorders>
                  <w:vAlign w:val="center"/>
                </w:tcP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w:t>
                  </w:r>
                </w:p>
              </w:tc>
              <w:tc>
                <w:tcPr>
                  <w:tcW w:w="445" w:type="pct"/>
                  <w:vMerge/>
                  <w:tcBorders>
                    <w:left w:val="single" w:sz="4" w:space="0" w:color="auto"/>
                  </w:tcBorders>
                  <w:vAlign w:val="center"/>
                </w:tcP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0.719</w:t>
                  </w:r>
                </w:p>
              </w:tc>
              <w:tc>
                <w:tcPr>
                  <w:tcW w:w="957" w:type="pct"/>
                  <w:vMerge/>
                  <w:tcBorders>
                    <w:left w:val="single" w:sz="4" w:space="0" w:color="auto"/>
                  </w:tcBorders>
                  <w:vAlign w:val="center"/>
                </w:tcPr>
                <w:p/>
              </w:tc>
            </w:tr>
            <w:tr>
              <w:trPr>
                <w:trHeight w:val="65"/>
              </w:trPr>
              <w:tc>
                <w:tcPr>
                  <w:tcW w:w="268" w:type="pct"/>
                  <w:vMerge/>
                  <w:vAlign w:val="center"/>
                </w:tcPr>
                <w:p/>
              </w:tc>
              <w:tc>
                <w:tcPr>
                  <w:tcW w:w="358" w:type="pct"/>
                  <w:vMerge/>
                  <w:tcBorders>
                    <w:left w:val="single" w:sz="4" w:space="0" w:color="auto"/>
                  </w:tcBorders>
                  <w:vAlign w:val="center"/>
                </w:tcP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颗粒物</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6.8</w:t>
                  </w:r>
                  <w:r>
                    <w:rPr>
                      <w:rFonts w:ascii="Times New Roman" w:eastAsia="宋体" w:cs="Times New Roman" w:hAnsi="Times New Roman" w:hint="eastAsia"/>
                      <w:snapToGrid w:val="0"/>
                      <w:color w:val="auto"/>
                      <w:kern w:val="0"/>
                      <w:sz w:val="21"/>
                      <w:szCs w:val="21"/>
                      <w:lang w:val="en-US" w:eastAsia="zh-CN" w:bidi="ar-SA"/>
                      <w:highlight w:val="none"/>
                    </w:rPr>
                    <w:t>（折算后）</w:t>
                  </w:r>
                </w:p>
              </w:tc>
              <w:tc>
                <w:tcPr>
                  <w:tcW w:w="674" w:type="pct"/>
                  <w:vMerge/>
                  <w:tcBorders>
                    <w:left w:val="single" w:sz="4" w:space="0" w:color="auto"/>
                  </w:tcBorders>
                  <w:vAlign w:val="center"/>
                </w:tcP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w:t>
                  </w:r>
                </w:p>
              </w:tc>
              <w:tc>
                <w:tcPr>
                  <w:tcW w:w="445" w:type="pct"/>
                  <w:vMerge/>
                  <w:tcBorders>
                    <w:left w:val="single" w:sz="4" w:space="0" w:color="auto"/>
                  </w:tcBorders>
                  <w:vAlign w:val="center"/>
                </w:tcP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0.096</w:t>
                  </w:r>
                </w:p>
              </w:tc>
              <w:tc>
                <w:tcPr>
                  <w:tcW w:w="957" w:type="pct"/>
                  <w:vMerge/>
                  <w:tcBorders>
                    <w:left w:val="single" w:sz="4" w:space="0" w:color="auto"/>
                  </w:tcBorders>
                  <w:vAlign w:val="center"/>
                </w:tcPr>
                <w:p/>
              </w:tc>
            </w:tr>
            <w:tr>
              <w:trPr>
                <w:trHeight w:val="65"/>
              </w:trPr>
              <w:tc>
                <w:tcPr>
                  <w:tcW w:w="268"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4"/>
                      <w:lang w:val="en-US" w:eastAsia="zh-CN" w:bidi="ar-SA"/>
                      <w:highlight w:val="none"/>
                    </w:rPr>
                  </w:pPr>
                  <w:r>
                    <w:rPr>
                      <w:rFonts w:ascii="Times New Roman" w:eastAsia="宋体" w:cs="Times New Roman" w:hAnsi="Times New Roman" w:hint="eastAsia"/>
                      <w:snapToGrid w:val="0"/>
                      <w:color w:val="auto"/>
                      <w:kern w:val="0"/>
                      <w:sz w:val="21"/>
                      <w:szCs w:val="24"/>
                      <w:lang w:val="en-US" w:eastAsia="zh-CN" w:bidi="ar-SA"/>
                      <w:highlight w:val="none"/>
                    </w:rPr>
                    <w:t>废水</w:t>
                  </w:r>
                </w:p>
              </w:tc>
              <w:tc>
                <w:tcPr>
                  <w:tcW w:w="358"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总排口</w:t>
                  </w: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COD</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120</w:t>
                  </w:r>
                </w:p>
              </w:tc>
              <w:tc>
                <w:tcPr>
                  <w:tcW w:w="674"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3.48</w:t>
                  </w:r>
                  <w:r>
                    <w:rPr>
                      <w:rFonts w:ascii="Times New Roman" w:eastAsia="宋体" w:cs="Times New Roman" w:hAnsi="Times New Roman" w:hint="eastAsia"/>
                      <w:snapToGrid w:val="0"/>
                      <w:color w:val="auto"/>
                      <w:kern w:val="0"/>
                      <w:sz w:val="21"/>
                      <w:szCs w:val="21"/>
                      <w:lang w:val="en-US" w:eastAsia="zh-CN" w:bidi="ar-SA"/>
                      <w:highlight w:val="none"/>
                    </w:rPr>
                    <w:t>m</w:t>
                  </w:r>
                  <w:r>
                    <w:rPr>
                      <w:rFonts w:ascii="Times New Roman" w:eastAsia="宋体" w:cs="Times New Roman" w:hAnsi="Times New Roman" w:hint="eastAsia"/>
                      <w:snapToGrid w:val="0"/>
                      <w:color w:val="auto"/>
                      <w:kern w:val="0"/>
                      <w:sz w:val="21"/>
                      <w:szCs w:val="21"/>
                      <w:vertAlign w:val="superscript"/>
                      <w:lang w:val="en-US" w:eastAsia="zh-CN" w:bidi="ar-SA"/>
                      <w:highlight w:val="none"/>
                    </w:rPr>
                    <w:t>3</w:t>
                  </w:r>
                  <w:r>
                    <w:rPr>
                      <w:rFonts w:ascii="Times New Roman" w:eastAsia="宋体" w:cs="Times New Roman" w:hAnsi="Times New Roman" w:hint="eastAsia"/>
                      <w:snapToGrid w:val="0"/>
                      <w:color w:val="auto"/>
                      <w:kern w:val="0"/>
                      <w:sz w:val="21"/>
                      <w:szCs w:val="21"/>
                      <w:lang w:val="en-US" w:eastAsia="zh-CN" w:bidi="ar-SA"/>
                      <w:highlight w:val="none"/>
                    </w:rPr>
                    <w:t>/d</w:t>
                  </w: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w:t>
                  </w:r>
                </w:p>
              </w:tc>
              <w:tc>
                <w:tcPr>
                  <w:tcW w:w="445"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w:t>
                  </w: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0.125</w:t>
                  </w:r>
                </w:p>
              </w:tc>
              <w:tc>
                <w:tcPr>
                  <w:tcW w:w="957" w:type="pct"/>
                  <w:vMerge w:val="restar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HHJC自行监测【2024】550号</w:t>
                  </w:r>
                </w:p>
              </w:tc>
            </w:tr>
            <w:tr>
              <w:trPr>
                <w:trHeight w:val="65"/>
              </w:trPr>
              <w:tc>
                <w:tcPr>
                  <w:tcW w:w="268" w:type="pct"/>
                  <w:vMerge/>
                  <w:vAlign w:val="center"/>
                </w:tcPr>
                <w:p/>
              </w:tc>
              <w:tc>
                <w:tcPr>
                  <w:tcW w:w="358" w:type="pct"/>
                  <w:vMerge/>
                  <w:tcBorders>
                    <w:left w:val="single" w:sz="4" w:space="0" w:color="auto"/>
                  </w:tcBorders>
                  <w:vAlign w:val="center"/>
                </w:tcPr>
                <w:p/>
              </w:tc>
              <w:tc>
                <w:tcPr>
                  <w:tcW w:w="46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氨氮</w:t>
                  </w:r>
                </w:p>
              </w:tc>
              <w:tc>
                <w:tcPr>
                  <w:tcW w:w="755"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17.8</w:t>
                  </w:r>
                </w:p>
              </w:tc>
              <w:tc>
                <w:tcPr>
                  <w:tcW w:w="674" w:type="pct"/>
                  <w:vMerge/>
                  <w:tcBorders>
                    <w:left w:val="single" w:sz="4" w:space="0" w:color="auto"/>
                  </w:tcBorders>
                  <w:vAlign w:val="center"/>
                </w:tcPr>
                <w:p/>
              </w:tc>
              <w:tc>
                <w:tcPr>
                  <w:tcW w:w="637"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w:t>
                  </w:r>
                </w:p>
              </w:tc>
              <w:tc>
                <w:tcPr>
                  <w:tcW w:w="445" w:type="pct"/>
                  <w:vMerge/>
                  <w:tcBorders>
                    <w:left w:val="single" w:sz="4" w:space="0" w:color="auto"/>
                  </w:tcBorders>
                  <w:vAlign w:val="center"/>
                </w:tcPr>
                <w:p/>
              </w:tc>
              <w:tc>
                <w:tcPr>
                  <w:tcW w:w="434" w:type="pct"/>
                  <w:tcBorders>
                    <w:lef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0.019</w:t>
                  </w:r>
                </w:p>
              </w:tc>
              <w:tc>
                <w:tcPr>
                  <w:tcW w:w="957" w:type="pct"/>
                  <w:vMerge/>
                  <w:tcBorders>
                    <w:left w:val="single" w:sz="4" w:space="0" w:color="auto"/>
                  </w:tcBorders>
                  <w:vAlign w:val="center"/>
                </w:tcPr>
                <w:p/>
              </w:tc>
            </w:tr>
          </w:tbl>
          <w:p>
            <w:pPr>
              <w:rPr>
                <w:rFonts w:ascii="Times New Roman" w:eastAsia="宋体" w:cs="Times New Roman" w:hAnsi="Times New Roman"/>
                <w:bCs/>
                <w:color w:val="auto"/>
                <w:szCs w:val="21"/>
                <w:lang w:val="en-US" w:eastAsia="zh-CN"/>
                <w:highlight w:val="none"/>
              </w:rPr>
            </w:pPr>
            <w:r>
              <w:rPr>
                <w:rFonts w:ascii="Times New Roman" w:eastAsia="宋体" w:cs="Times New Roman" w:hAnsi="Times New Roman" w:hint="eastAsia"/>
                <w:bCs/>
                <w:color w:val="auto"/>
                <w:szCs w:val="21"/>
                <w:lang w:val="en-US" w:eastAsia="zh-CN"/>
                <w:highlight w:val="none"/>
              </w:rPr>
              <w:t>现有工程废气废水污染物实际排放量，满足环评审批污染物总量。</w:t>
            </w:r>
          </w:p>
          <w:p>
            <w:pPr>
              <w:rPr>
                <w:rFonts w:hint="eastAsia"/>
                <w:bCs/>
                <w:color w:val="auto"/>
                <w:szCs w:val="21"/>
                <w:lang w:val="en-US" w:eastAsia="zh-CN"/>
              </w:rPr>
            </w:pPr>
            <w:r>
              <w:rPr>
                <w:rFonts w:hint="eastAsia"/>
                <w:bCs/>
                <w:color w:val="auto"/>
                <w:szCs w:val="21"/>
                <w:lang w:val="en-US" w:eastAsia="zh-CN"/>
              </w:rPr>
              <w:t>3、现有项目存在的环境问题及整改措施</w:t>
            </w:r>
          </w:p>
          <w:p>
            <w:pPr>
              <w:rPr>
                <w:rFonts w:hint="eastAsia"/>
                <w:bCs/>
                <w:color w:val="auto"/>
                <w:szCs w:val="21"/>
                <w:lang w:val="en-US" w:eastAsia="zh-CN"/>
                <w:highlight w:val="none"/>
              </w:rPr>
            </w:pPr>
            <w:r>
              <w:rPr>
                <w:rFonts w:hint="eastAsia"/>
                <w:bCs/>
                <w:color w:val="auto"/>
                <w:szCs w:val="21"/>
                <w:lang w:val="en-US" w:eastAsia="zh-CN"/>
                <w:highlight w:val="none"/>
              </w:rPr>
              <w:t>根据现有工程环保验收资料及现场勘察，现有工程危废种类识别不全：废油桶没有识别；本项目按规范识别废油桶，密闭收集后暂存危废间，定期交由有资质单位处置。现有工程化验室废气未识别；本环评要求化验室废气经集气罩收集+二级活性炭吸附装置TA001+干式酸雾净化器+15m排气筒P4。</w:t>
            </w:r>
          </w:p>
          <w:p>
            <w:pPr>
              <w:rPr>
                <w:bCs/>
                <w:color w:val="auto"/>
                <w:szCs w:val="21"/>
                <w:lang w:val="en-US" w:eastAsia="zh-CN"/>
                <w:highlight w:val="none"/>
              </w:rPr>
            </w:pPr>
          </w:p>
          <w:p>
            <w:pPr>
              <w:bidi w:val="0"/>
              <w:jc w:val="both"/>
              <w:rPr>
                <w:rFonts w:ascii="Times New Roman" w:eastAsia="宋体" w:cs="Times New Roman" w:hAnsi="Times New Roman"/>
                <w:color w:val="auto"/>
                <w:kern w:val="2"/>
                <w:sz w:val="24"/>
                <w:szCs w:val="24"/>
                <w:lang w:val="en-US" w:eastAsia="zh-CN" w:bidi="ar-SA"/>
              </w:rPr>
            </w:pPr>
          </w:p>
        </w:tc>
      </w:tr>
    </w:tbl>
    <w:p>
      <w:pPr>
        <w:jc w:val="center"/>
        <w:rPr>
          <w:rFonts w:eastAsia="黑体"/>
          <w:snapToGrid w:val="0"/>
          <w:color w:val="auto"/>
          <w:sz w:val="36"/>
          <w:szCs w:val="36"/>
        </w:rPr>
        <w:sectPr>
          <w:pgSz w:w="11906" w:h="16838"/>
          <w:pgMar w:top="1440" w:right="1800" w:bottom="1440" w:left="1800" w:header="851" w:footer="851" w:gutter="0"/>
          <w:cols w:num="1" w:space="720"/>
          <w:docGrid w:linePitch="312" w:charSpace="0"/>
        </w:sectPr>
      </w:pPr>
    </w:p>
    <w:p>
      <w:pPr>
        <w:ind w:firstLineChars="0" w:firstLine="0"/>
        <w:jc w:val="center"/>
        <w:outlineLvl w:val="0"/>
        <w:rPr>
          <w:rFonts w:ascii="宋体" w:cs="宋体" w:hAnsi="宋体" w:hint="eastAsia"/>
          <w:b/>
          <w:bCs/>
          <w:snapToGrid w:val="0"/>
          <w:color w:val="auto"/>
          <w:sz w:val="30"/>
          <w:szCs w:val="30"/>
        </w:rPr>
      </w:pPr>
      <w:r>
        <w:rPr>
          <w:rFonts w:ascii="宋体" w:cs="宋体" w:hAnsi="宋体" w:hint="eastAsia"/>
          <w:b/>
          <w:bCs/>
          <w:snapToGrid w:val="0"/>
          <w:color w:val="auto"/>
          <w:sz w:val="30"/>
          <w:szCs w:val="30"/>
        </w:rPr>
        <w:t>三、区域环境质量现状、环境保护目标及评价标准</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56"/>
        <w:gridCol w:w="8593"/>
      </w:tblGrid>
      <w:tr>
        <w:trPr>
          <w:trHeight w:val="2715"/>
        </w:trPr>
        <w:tc>
          <w:tcPr>
            <w:tcW w:w="283" w:type="pct"/>
            <w:vAlign w:val="center"/>
          </w:tcPr>
          <w:p>
            <w:pPr>
              <w:adjustRightInd w:val="0"/>
              <w:snapToGrid w:val="0"/>
              <w:spacing w:line="240" w:lineRule="auto"/>
              <w:ind w:firstLineChars="0" w:firstLine="0"/>
              <w:jc w:val="center"/>
              <w:rPr>
                <w:color w:val="auto"/>
                <w:kern w:val="0"/>
                <w:szCs w:val="21"/>
              </w:rPr>
            </w:pPr>
            <w:r>
              <w:rPr>
                <w:color w:val="auto"/>
                <w:kern w:val="0"/>
              </w:rPr>
              <w:t>区域环境质量现状</w:t>
            </w:r>
          </w:p>
        </w:tc>
        <w:tc>
          <w:tcPr>
            <w:tcW w:w="4716" w:type="pct"/>
            <w:vAlign w:val="center"/>
          </w:tcPr>
          <w:p>
            <w:pPr>
              <w:spacing w:line="480" w:lineRule="exact"/>
              <w:rPr>
                <w:b/>
                <w:bCs/>
                <w:color w:val="auto"/>
                <w:kern w:val="0"/>
              </w:rPr>
            </w:pPr>
            <w:r>
              <w:rPr>
                <w:b/>
                <w:bCs/>
                <w:color w:val="auto"/>
                <w:kern w:val="0"/>
              </w:rPr>
              <w:t>1、环境空气质量现状</w:t>
            </w:r>
          </w:p>
          <w:p>
            <w:pPr>
              <w:spacing w:line="480" w:lineRule="exact"/>
              <w:rPr>
                <w:color w:val="auto"/>
                <w:kern w:val="0"/>
              </w:rPr>
            </w:pPr>
            <w:r>
              <w:rPr>
                <w:rFonts w:hint="eastAsia"/>
                <w:color w:val="auto"/>
                <w:szCs w:val="32"/>
              </w:rPr>
              <w:t>本项目</w:t>
            </w:r>
            <w:r>
              <w:rPr>
                <w:color w:val="auto"/>
                <w:kern w:val="0"/>
              </w:rPr>
              <w:t>位于</w:t>
            </w:r>
            <w:r>
              <w:rPr>
                <w:rFonts w:hint="eastAsia"/>
                <w:color w:val="auto"/>
                <w:kern w:val="0"/>
              </w:rPr>
              <w:t>石家庄市栾城区</w:t>
            </w:r>
            <w:r>
              <w:rPr>
                <w:color w:val="auto"/>
                <w:kern w:val="0"/>
              </w:rPr>
              <w:t>，所在区域为环境空气二类区，执行《环境空气质量标准》（</w:t>
            </w:r>
            <w:r>
              <w:rPr>
                <w:rFonts w:hint="eastAsia"/>
                <w:color w:val="auto"/>
                <w:kern w:val="0"/>
                <w:lang w:eastAsia="zh-CN"/>
              </w:rPr>
              <w:t>GB3095-2026</w:t>
            </w:r>
            <w:r>
              <w:rPr>
                <w:color w:val="auto"/>
                <w:kern w:val="0"/>
              </w:rPr>
              <w:t>）</w:t>
            </w:r>
            <w:r>
              <w:rPr>
                <w:rFonts w:hint="eastAsia"/>
                <w:color w:val="auto"/>
                <w:kern w:val="0"/>
                <w:lang w:val="en-US" w:eastAsia="zh-CN"/>
              </w:rPr>
              <w:t>中过渡阶段浓度限值</w:t>
            </w:r>
            <w:r>
              <w:rPr>
                <w:color w:val="auto"/>
                <w:kern w:val="0"/>
              </w:rPr>
              <w:t>二级标准</w:t>
            </w:r>
            <w:r>
              <w:rPr>
                <w:rFonts w:hint="eastAsia"/>
                <w:color w:val="auto"/>
                <w:kern w:val="0"/>
                <w:lang w:val="en-US" w:eastAsia="zh-CN"/>
              </w:rPr>
              <w:t>要求</w:t>
            </w:r>
            <w:r>
              <w:rPr>
                <w:color w:val="auto"/>
                <w:kern w:val="0"/>
              </w:rPr>
              <w:t>。</w:t>
            </w:r>
          </w:p>
          <w:p>
            <w:pPr>
              <w:spacing w:line="480" w:lineRule="exact"/>
              <w:rPr>
                <w:color w:val="auto"/>
              </w:rPr>
            </w:pPr>
            <w:r>
              <w:rPr>
                <w:color w:val="auto"/>
              </w:rPr>
              <w:t>（1）本评价引用</w:t>
            </w:r>
            <w:r>
              <w:rPr>
                <w:rFonts w:hint="eastAsia"/>
                <w:color w:val="auto"/>
                <w:lang w:val="en-US" w:eastAsia="zh-CN"/>
              </w:rPr>
              <w:t>河北省生态环境厅</w:t>
            </w:r>
            <w:r>
              <w:rPr>
                <w:color w:val="auto"/>
                <w:lang w:val="en-US" w:eastAsia="zh-CN"/>
              </w:rPr>
              <w:t>于202</w:t>
            </w:r>
            <w:r>
              <w:rPr>
                <w:rFonts w:hint="eastAsia"/>
                <w:color w:val="auto"/>
                <w:lang w:val="en-US" w:eastAsia="zh-CN"/>
              </w:rPr>
              <w:t>6</w:t>
            </w:r>
            <w:r>
              <w:rPr>
                <w:color w:val="auto"/>
                <w:lang w:val="en-US" w:eastAsia="zh-CN"/>
              </w:rPr>
              <w:t>年</w:t>
            </w:r>
            <w:r>
              <w:rPr>
                <w:rFonts w:hint="eastAsia"/>
                <w:color w:val="auto"/>
                <w:lang w:val="en-US" w:eastAsia="zh-CN"/>
              </w:rPr>
              <w:t>5</w:t>
            </w:r>
            <w:r>
              <w:rPr>
                <w:color w:val="auto"/>
                <w:lang w:val="en-US" w:eastAsia="zh-CN"/>
              </w:rPr>
              <w:t>月发布的《</w:t>
            </w:r>
            <w:r>
              <w:rPr>
                <w:rFonts w:hint="eastAsia"/>
                <w:color w:val="auto"/>
                <w:lang w:val="en-US" w:eastAsia="zh-CN"/>
              </w:rPr>
              <w:t>河北省生态环境状况</w:t>
            </w:r>
            <w:r>
              <w:rPr>
                <w:color w:val="auto"/>
                <w:lang w:val="en-US" w:eastAsia="zh-CN"/>
              </w:rPr>
              <w:t>公报（202</w:t>
            </w:r>
            <w:r>
              <w:rPr>
                <w:rFonts w:hint="eastAsia"/>
                <w:color w:val="auto"/>
                <w:lang w:val="en-US" w:eastAsia="zh-CN"/>
              </w:rPr>
              <w:t>5</w:t>
            </w:r>
            <w:r>
              <w:rPr>
                <w:color w:val="auto"/>
                <w:lang w:val="en-US" w:eastAsia="zh-CN"/>
              </w:rPr>
              <w:t>年）》</w:t>
            </w:r>
            <w:r>
              <w:rPr>
                <w:color w:val="auto"/>
              </w:rPr>
              <w:t>中大气常规污染物中的PM</w:t>
            </w:r>
            <w:r>
              <w:rPr>
                <w:color w:val="auto"/>
                <w:vertAlign w:val="subscript"/>
              </w:rPr>
              <w:t>10</w:t>
            </w:r>
            <w:r>
              <w:rPr>
                <w:color w:val="auto"/>
              </w:rPr>
              <w:t>、PM</w:t>
            </w:r>
            <w:r>
              <w:rPr>
                <w:color w:val="auto"/>
                <w:vertAlign w:val="subscript"/>
              </w:rPr>
              <w:t>2.5</w:t>
            </w:r>
            <w:r>
              <w:rPr>
                <w:color w:val="auto"/>
              </w:rPr>
              <w:t>、SO</w:t>
            </w:r>
            <w:r>
              <w:rPr>
                <w:color w:val="auto"/>
                <w:vertAlign w:val="subscript"/>
              </w:rPr>
              <w:t>2</w:t>
            </w:r>
            <w:r>
              <w:rPr>
                <w:color w:val="auto"/>
              </w:rPr>
              <w:t>、NO</w:t>
            </w:r>
            <w:r>
              <w:rPr>
                <w:color w:val="auto"/>
                <w:vertAlign w:val="subscript"/>
              </w:rPr>
              <w:t>2</w:t>
            </w:r>
            <w:r>
              <w:rPr>
                <w:color w:val="auto"/>
              </w:rPr>
              <w:t>、CO和O</w:t>
            </w:r>
            <w:r>
              <w:rPr>
                <w:color w:val="auto"/>
                <w:vertAlign w:val="subscript"/>
              </w:rPr>
              <w:t>3</w:t>
            </w:r>
            <w:r>
              <w:rPr>
                <w:color w:val="auto"/>
              </w:rPr>
              <w:t>现状监测</w:t>
            </w:r>
            <w:r>
              <w:rPr>
                <w:rFonts w:hint="eastAsia"/>
                <w:color w:val="auto"/>
              </w:rPr>
              <w:t>数据</w:t>
            </w:r>
            <w:r>
              <w:rPr>
                <w:color w:val="auto"/>
              </w:rPr>
              <w:t>资料。</w:t>
            </w:r>
          </w:p>
          <w:p>
            <w:pPr>
              <w:spacing w:line="480" w:lineRule="exact"/>
              <w:rPr>
                <w:color w:val="auto"/>
                <w:kern w:val="0"/>
              </w:rPr>
            </w:pPr>
            <w:r>
              <w:rPr>
                <w:color w:val="auto"/>
                <w:kern w:val="0"/>
              </w:rPr>
              <w:t>202</w:t>
            </w:r>
            <w:r>
              <w:rPr>
                <w:rFonts w:hint="eastAsia"/>
                <w:color w:val="auto"/>
                <w:kern w:val="0"/>
                <w:lang w:val="en-US" w:eastAsia="zh-CN"/>
              </w:rPr>
              <w:t>5</w:t>
            </w:r>
            <w:r>
              <w:rPr>
                <w:color w:val="auto"/>
                <w:kern w:val="0"/>
              </w:rPr>
              <w:t>年环境空气中</w:t>
            </w:r>
            <w:r>
              <w:rPr>
                <w:rFonts w:hint="eastAsia"/>
                <w:color w:val="auto"/>
                <w:kern w:val="0"/>
              </w:rPr>
              <w:t>常规污染物具体现状监测浓度见表3-1</w:t>
            </w:r>
            <w:r>
              <w:rPr>
                <w:color w:val="auto"/>
                <w:kern w:val="0"/>
              </w:rPr>
              <w:t>。</w:t>
            </w:r>
          </w:p>
          <w:p>
            <w:pPr>
              <w:spacing w:line="240" w:lineRule="auto"/>
              <w:jc w:val="center"/>
              <w:rPr>
                <w:b/>
                <w:bCs/>
                <w:color w:val="auto"/>
              </w:rPr>
            </w:pPr>
            <w:r>
              <w:rPr>
                <w:b/>
                <w:bCs/>
                <w:color w:val="auto"/>
              </w:rPr>
              <w:t>表3-1</w:t>
            </w:r>
            <w:r>
              <w:rPr>
                <w:rFonts w:hint="eastAsia"/>
                <w:b/>
                <w:bCs/>
                <w:color w:val="auto"/>
              </w:rPr>
              <w:t xml:space="preserve">  </w:t>
            </w:r>
            <w:r>
              <w:rPr>
                <w:b/>
                <w:bCs/>
                <w:color w:val="auto"/>
              </w:rPr>
              <w:t>202</w:t>
            </w:r>
            <w:r>
              <w:rPr>
                <w:rFonts w:hint="eastAsia"/>
                <w:b/>
                <w:bCs/>
                <w:color w:val="auto"/>
                <w:lang w:val="en-US" w:eastAsia="zh-CN"/>
              </w:rPr>
              <w:t>5</w:t>
            </w:r>
            <w:r>
              <w:rPr>
                <w:b/>
                <w:bCs/>
                <w:color w:val="auto"/>
              </w:rPr>
              <w:t>年</w:t>
            </w:r>
            <w:r>
              <w:rPr>
                <w:rFonts w:hint="eastAsia"/>
                <w:b/>
                <w:bCs/>
                <w:color w:val="auto"/>
                <w:lang w:val="en-US" w:eastAsia="zh-CN"/>
              </w:rPr>
              <w:t>区域</w:t>
            </w:r>
            <w:r>
              <w:rPr>
                <w:b/>
                <w:bCs/>
                <w:color w:val="auto"/>
              </w:rPr>
              <w:t>环境空气中常规污染物浓度</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49"/>
              <w:gridCol w:w="2531"/>
              <w:gridCol w:w="1228"/>
              <w:gridCol w:w="1681"/>
              <w:gridCol w:w="1165"/>
              <w:gridCol w:w="996"/>
            </w:tblGrid>
            <w:tr>
              <w:trPr>
                <w:trHeight w:val="23"/>
              </w:trPr>
              <w:tc>
                <w:tcPr>
                  <w:tcW w:w="448" w:type="pct"/>
                  <w:tcBorders>
                    <w:tl2br w:val="nil"/>
                    <w:tr2bl w:val="nil"/>
                  </w:tcBorders>
                  <w:vAlign w:val="center"/>
                </w:tcPr>
                <w:p>
                  <w:pPr>
                    <w:pStyle w:val="39"/>
                    <w:rPr>
                      <w:color w:val="auto"/>
                    </w:rPr>
                  </w:pPr>
                  <w:r>
                    <w:rPr>
                      <w:color w:val="auto"/>
                    </w:rPr>
                    <w:t>污染物</w:t>
                  </w:r>
                </w:p>
              </w:tc>
              <w:tc>
                <w:tcPr>
                  <w:tcW w:w="1515" w:type="pct"/>
                  <w:tcBorders>
                    <w:tl2br w:val="nil"/>
                    <w:tr2bl w:val="nil"/>
                  </w:tcBorders>
                  <w:vAlign w:val="center"/>
                </w:tcPr>
                <w:p>
                  <w:pPr>
                    <w:pStyle w:val="39"/>
                    <w:rPr>
                      <w:color w:val="auto"/>
                    </w:rPr>
                  </w:pPr>
                  <w:r>
                    <w:rPr>
                      <w:rFonts w:hint="eastAsia"/>
                      <w:color w:val="auto"/>
                    </w:rPr>
                    <w:t>年度</w:t>
                  </w:r>
                  <w:r>
                    <w:rPr>
                      <w:color w:val="auto"/>
                    </w:rPr>
                    <w:t>评价指标</w:t>
                  </w:r>
                </w:p>
              </w:tc>
              <w:tc>
                <w:tcPr>
                  <w:tcW w:w="735" w:type="pct"/>
                  <w:tcBorders>
                    <w:tl2br w:val="nil"/>
                    <w:tr2bl w:val="nil"/>
                  </w:tcBorders>
                  <w:vAlign w:val="center"/>
                </w:tcPr>
                <w:p>
                  <w:pPr>
                    <w:pStyle w:val="39"/>
                    <w:rPr>
                      <w:color w:val="auto"/>
                    </w:rPr>
                  </w:pPr>
                  <w:r>
                    <w:rPr>
                      <w:color w:val="auto"/>
                    </w:rPr>
                    <w:t>现状浓度/（μg/</w:t>
                  </w:r>
                  <w:r>
                    <w:rPr>
                      <w:rFonts w:hint="eastAsia"/>
                      <w:color w:val="auto"/>
                    </w:rPr>
                    <w:t>m³</w:t>
                  </w:r>
                  <w:r>
                    <w:rPr>
                      <w:color w:val="auto"/>
                    </w:rPr>
                    <w:t>）</w:t>
                  </w:r>
                </w:p>
              </w:tc>
              <w:tc>
                <w:tcPr>
                  <w:tcW w:w="1006" w:type="pct"/>
                  <w:tcBorders>
                    <w:tl2br w:val="nil"/>
                    <w:tr2bl w:val="nil"/>
                  </w:tcBorders>
                  <w:vAlign w:val="center"/>
                </w:tcPr>
                <w:p>
                  <w:pPr>
                    <w:pStyle w:val="39"/>
                    <w:rPr>
                      <w:color w:val="auto"/>
                    </w:rPr>
                  </w:pPr>
                  <w:r>
                    <w:rPr>
                      <w:color w:val="auto"/>
                    </w:rPr>
                    <w:t>标准值/（μg/</w:t>
                  </w:r>
                  <w:r>
                    <w:rPr>
                      <w:rFonts w:hint="eastAsia"/>
                      <w:color w:val="auto"/>
                    </w:rPr>
                    <w:t>m³</w:t>
                  </w:r>
                  <w:r>
                    <w:rPr>
                      <w:color w:val="auto"/>
                    </w:rPr>
                    <w:t>）</w:t>
                  </w:r>
                </w:p>
              </w:tc>
              <w:tc>
                <w:tcPr>
                  <w:tcW w:w="697" w:type="pct"/>
                  <w:tcBorders>
                    <w:tl2br w:val="nil"/>
                    <w:tr2bl w:val="nil"/>
                  </w:tcBorders>
                  <w:vAlign w:val="center"/>
                </w:tcPr>
                <w:p>
                  <w:pPr>
                    <w:pStyle w:val="39"/>
                    <w:rPr>
                      <w:color w:val="auto"/>
                    </w:rPr>
                  </w:pPr>
                  <w:r>
                    <w:rPr>
                      <w:color w:val="auto"/>
                    </w:rPr>
                    <w:t>占标率/%</w:t>
                  </w:r>
                </w:p>
              </w:tc>
              <w:tc>
                <w:tcPr>
                  <w:tcW w:w="596" w:type="pct"/>
                  <w:tcBorders>
                    <w:tl2br w:val="nil"/>
                    <w:tr2bl w:val="nil"/>
                  </w:tcBorders>
                  <w:vAlign w:val="center"/>
                </w:tcPr>
                <w:p>
                  <w:pPr>
                    <w:pStyle w:val="39"/>
                    <w:rPr>
                      <w:color w:val="auto"/>
                    </w:rPr>
                  </w:pPr>
                  <w:r>
                    <w:rPr>
                      <w:color w:val="auto"/>
                    </w:rPr>
                    <w:t>达标情况</w:t>
                  </w:r>
                </w:p>
              </w:tc>
            </w:tr>
            <w:tr>
              <w:trPr>
                <w:trHeight w:val="23"/>
              </w:trPr>
              <w:tc>
                <w:tcPr>
                  <w:tcW w:w="448" w:type="pct"/>
                  <w:tcBorders>
                    <w:tl2br w:val="nil"/>
                    <w:tr2bl w:val="nil"/>
                  </w:tcBorders>
                  <w:vAlign w:val="center"/>
                </w:tcPr>
                <w:p>
                  <w:pPr>
                    <w:pStyle w:val="39"/>
                    <w:rPr>
                      <w:color w:val="auto"/>
                    </w:rPr>
                  </w:pPr>
                  <w:r>
                    <w:rPr>
                      <w:color w:val="auto"/>
                    </w:rPr>
                    <w:t>PM</w:t>
                  </w:r>
                  <w:r>
                    <w:rPr>
                      <w:color w:val="auto"/>
                      <w:vertAlign w:val="subscript"/>
                    </w:rPr>
                    <w:t>10</w:t>
                  </w:r>
                </w:p>
              </w:tc>
              <w:tc>
                <w:tcPr>
                  <w:tcW w:w="1515" w:type="pct"/>
                  <w:tcBorders>
                    <w:tl2br w:val="nil"/>
                    <w:tr2bl w:val="nil"/>
                  </w:tcBorders>
                  <w:vAlign w:val="center"/>
                </w:tcPr>
                <w:p>
                  <w:pPr>
                    <w:pStyle w:val="39"/>
                    <w:rPr>
                      <w:color w:val="auto"/>
                    </w:rPr>
                  </w:pPr>
                  <w:r>
                    <w:rPr>
                      <w:color w:val="auto"/>
                    </w:rPr>
                    <w:t>年平均质量浓度</w:t>
                  </w:r>
                </w:p>
              </w:tc>
              <w:tc>
                <w:tcPr>
                  <w:tcW w:w="735" w:type="pct"/>
                  <w:tcBorders>
                    <w:tl2br w:val="nil"/>
                    <w:tr2bl w:val="nil"/>
                  </w:tcBorders>
                  <w:vAlign w:val="center"/>
                </w:tcPr>
                <w:p>
                  <w:pPr>
                    <w:pStyle w:val="39"/>
                    <w:rPr>
                      <w:rFonts w:eastAsia="宋体"/>
                      <w:color w:val="auto"/>
                      <w:lang w:val="en-US" w:eastAsia="zh-CN"/>
                    </w:rPr>
                  </w:pPr>
                  <w:r>
                    <w:rPr>
                      <w:rFonts w:hint="eastAsia"/>
                      <w:color w:val="auto"/>
                      <w:lang w:val="en-US" w:eastAsia="zh-CN"/>
                    </w:rPr>
                    <w:t>67</w:t>
                  </w:r>
                </w:p>
              </w:tc>
              <w:tc>
                <w:tcPr>
                  <w:tcW w:w="1006" w:type="pct"/>
                  <w:tcBorders>
                    <w:tl2br w:val="nil"/>
                    <w:tr2bl w:val="nil"/>
                  </w:tcBorders>
                  <w:vAlign w:val="center"/>
                </w:tcPr>
                <w:p>
                  <w:pPr>
                    <w:pStyle w:val="39"/>
                    <w:rPr>
                      <w:rFonts w:eastAsia="宋体"/>
                      <w:color w:val="auto"/>
                      <w:lang w:val="en-US" w:eastAsia="zh-CN"/>
                    </w:rPr>
                  </w:pPr>
                  <w:r>
                    <w:rPr>
                      <w:rFonts w:hint="eastAsia"/>
                      <w:color w:val="auto"/>
                      <w:lang w:val="en-US" w:eastAsia="zh-CN"/>
                    </w:rPr>
                    <w:t>60</w:t>
                  </w:r>
                </w:p>
              </w:tc>
              <w:tc>
                <w:tcPr>
                  <w:tcW w:w="697" w:type="pct"/>
                  <w:tcBorders>
                    <w:tl2br w:val="nil"/>
                    <w:tr2bl w:val="nil"/>
                  </w:tcBorders>
                  <w:vAlign w:val="center"/>
                </w:tcPr>
                <w:p>
                  <w:pPr>
                    <w:pStyle w:val="39"/>
                    <w:rPr>
                      <w:rFonts w:eastAsia="宋体"/>
                      <w:color w:val="auto"/>
                      <w:lang w:val="en-US" w:eastAsia="zh-CN"/>
                    </w:rPr>
                  </w:pPr>
                  <w:r>
                    <w:rPr>
                      <w:rFonts w:hint="eastAsia"/>
                      <w:color w:val="auto"/>
                      <w:lang w:val="en-US" w:eastAsia="zh-CN"/>
                    </w:rPr>
                    <w:t>111.7</w:t>
                  </w:r>
                </w:p>
              </w:tc>
              <w:tc>
                <w:tcPr>
                  <w:tcW w:w="596" w:type="pct"/>
                  <w:tcBorders>
                    <w:tl2br w:val="nil"/>
                    <w:tr2bl w:val="nil"/>
                  </w:tcBorders>
                  <w:vAlign w:val="center"/>
                </w:tcPr>
                <w:p>
                  <w:pPr>
                    <w:pStyle w:val="39"/>
                    <w:rPr>
                      <w:color w:val="auto"/>
                    </w:rPr>
                  </w:pPr>
                  <w:r>
                    <w:rPr>
                      <w:color w:val="auto"/>
                    </w:rPr>
                    <w:t>超标</w:t>
                  </w:r>
                </w:p>
              </w:tc>
            </w:tr>
            <w:tr>
              <w:trPr>
                <w:trHeight w:val="23"/>
              </w:trPr>
              <w:tc>
                <w:tcPr>
                  <w:tcW w:w="448" w:type="pct"/>
                  <w:tcBorders>
                    <w:tl2br w:val="nil"/>
                    <w:tr2bl w:val="nil"/>
                  </w:tcBorders>
                  <w:vAlign w:val="center"/>
                </w:tcPr>
                <w:p>
                  <w:pPr>
                    <w:pStyle w:val="39"/>
                    <w:rPr>
                      <w:color w:val="auto"/>
                    </w:rPr>
                  </w:pPr>
                  <w:r>
                    <w:rPr>
                      <w:color w:val="auto"/>
                    </w:rPr>
                    <w:t>PM</w:t>
                  </w:r>
                  <w:r>
                    <w:rPr>
                      <w:color w:val="auto"/>
                      <w:vertAlign w:val="subscript"/>
                    </w:rPr>
                    <w:t>2.5</w:t>
                  </w:r>
                </w:p>
              </w:tc>
              <w:tc>
                <w:tcPr>
                  <w:tcW w:w="1515" w:type="pct"/>
                  <w:tcBorders>
                    <w:tl2br w:val="nil"/>
                    <w:tr2bl w:val="nil"/>
                  </w:tcBorders>
                  <w:vAlign w:val="center"/>
                </w:tcPr>
                <w:p>
                  <w:pPr>
                    <w:pStyle w:val="39"/>
                    <w:rPr>
                      <w:color w:val="auto"/>
                    </w:rPr>
                  </w:pPr>
                  <w:r>
                    <w:rPr>
                      <w:color w:val="auto"/>
                    </w:rPr>
                    <w:t>年平均质量浓度</w:t>
                  </w:r>
                </w:p>
              </w:tc>
              <w:tc>
                <w:tcPr>
                  <w:tcW w:w="735" w:type="pct"/>
                  <w:tcBorders>
                    <w:tl2br w:val="nil"/>
                    <w:tr2bl w:val="nil"/>
                  </w:tcBorders>
                  <w:vAlign w:val="center"/>
                </w:tcPr>
                <w:p>
                  <w:pPr>
                    <w:pStyle w:val="39"/>
                    <w:rPr>
                      <w:rFonts w:eastAsia="宋体"/>
                      <w:color w:val="auto"/>
                      <w:lang w:val="en-US" w:eastAsia="zh-CN"/>
                    </w:rPr>
                  </w:pPr>
                  <w:r>
                    <w:rPr>
                      <w:rFonts w:hint="eastAsia"/>
                      <w:color w:val="auto"/>
                      <w:lang w:val="en-US" w:eastAsia="zh-CN"/>
                    </w:rPr>
                    <w:t>37</w:t>
                  </w:r>
                </w:p>
              </w:tc>
              <w:tc>
                <w:tcPr>
                  <w:tcW w:w="1006" w:type="pct"/>
                  <w:tcBorders>
                    <w:tl2br w:val="nil"/>
                    <w:tr2bl w:val="nil"/>
                  </w:tcBorders>
                  <w:vAlign w:val="center"/>
                </w:tcPr>
                <w:p>
                  <w:pPr>
                    <w:pStyle w:val="39"/>
                    <w:rPr>
                      <w:rFonts w:eastAsia="宋体"/>
                      <w:color w:val="auto"/>
                      <w:lang w:val="en-US" w:eastAsia="zh-CN"/>
                    </w:rPr>
                  </w:pPr>
                  <w:r>
                    <w:rPr>
                      <w:rFonts w:hint="eastAsia"/>
                      <w:color w:val="auto"/>
                      <w:lang w:val="en-US" w:eastAsia="zh-CN"/>
                    </w:rPr>
                    <w:t>30</w:t>
                  </w:r>
                </w:p>
              </w:tc>
              <w:tc>
                <w:tcPr>
                  <w:tcW w:w="697"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123.3</w:t>
                  </w:r>
                </w:p>
              </w:tc>
              <w:tc>
                <w:tcPr>
                  <w:tcW w:w="596" w:type="pct"/>
                  <w:tcBorders>
                    <w:tl2br w:val="nil"/>
                    <w:tr2bl w:val="nil"/>
                  </w:tcBorders>
                  <w:vAlign w:val="center"/>
                </w:tcPr>
                <w:p>
                  <w:pPr>
                    <w:pStyle w:val="39"/>
                    <w:rPr>
                      <w:color w:val="auto"/>
                      <w:highlight w:val="none"/>
                    </w:rPr>
                  </w:pPr>
                  <w:r>
                    <w:rPr>
                      <w:color w:val="auto"/>
                      <w:highlight w:val="none"/>
                    </w:rPr>
                    <w:t>超标</w:t>
                  </w:r>
                </w:p>
              </w:tc>
            </w:tr>
            <w:tr>
              <w:trPr>
                <w:trHeight w:val="23"/>
              </w:trPr>
              <w:tc>
                <w:tcPr>
                  <w:tcW w:w="448" w:type="pct"/>
                  <w:tcBorders>
                    <w:tl2br w:val="nil"/>
                    <w:tr2bl w:val="nil"/>
                  </w:tcBorders>
                  <w:vAlign w:val="center"/>
                </w:tcPr>
                <w:p>
                  <w:pPr>
                    <w:pStyle w:val="39"/>
                    <w:rPr>
                      <w:color w:val="auto"/>
                    </w:rPr>
                  </w:pPr>
                  <w:r>
                    <w:rPr>
                      <w:color w:val="auto"/>
                    </w:rPr>
                    <w:t>SO</w:t>
                  </w:r>
                  <w:r>
                    <w:rPr>
                      <w:color w:val="auto"/>
                      <w:vertAlign w:val="subscript"/>
                    </w:rPr>
                    <w:t>2</w:t>
                  </w:r>
                </w:p>
              </w:tc>
              <w:tc>
                <w:tcPr>
                  <w:tcW w:w="1515" w:type="pct"/>
                  <w:tcBorders>
                    <w:tl2br w:val="nil"/>
                    <w:tr2bl w:val="nil"/>
                  </w:tcBorders>
                  <w:vAlign w:val="center"/>
                </w:tcPr>
                <w:p>
                  <w:pPr>
                    <w:pStyle w:val="39"/>
                    <w:rPr>
                      <w:color w:val="auto"/>
                    </w:rPr>
                  </w:pPr>
                  <w:r>
                    <w:rPr>
                      <w:color w:val="auto"/>
                    </w:rPr>
                    <w:t>年平均质量浓度</w:t>
                  </w:r>
                </w:p>
              </w:tc>
              <w:tc>
                <w:tcPr>
                  <w:tcW w:w="735" w:type="pc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5</w:t>
                  </w:r>
                </w:p>
              </w:tc>
              <w:tc>
                <w:tcPr>
                  <w:tcW w:w="1006" w:type="pct"/>
                  <w:tcBorders>
                    <w:tl2br w:val="nil"/>
                    <w:tr2bl w:val="nil"/>
                  </w:tcBorders>
                  <w:vAlign w:val="center"/>
                </w:tcPr>
                <w:p>
                  <w:pPr>
                    <w:pStyle w:val="39"/>
                    <w:rPr>
                      <w:color w:val="auto"/>
                    </w:rPr>
                  </w:pPr>
                  <w:r>
                    <w:rPr>
                      <w:color w:val="auto"/>
                    </w:rPr>
                    <w:t>60</w:t>
                  </w:r>
                </w:p>
              </w:tc>
              <w:tc>
                <w:tcPr>
                  <w:tcW w:w="697"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8.3</w:t>
                  </w:r>
                </w:p>
              </w:tc>
              <w:tc>
                <w:tcPr>
                  <w:tcW w:w="596" w:type="pct"/>
                  <w:tcBorders>
                    <w:tl2br w:val="nil"/>
                    <w:tr2bl w:val="nil"/>
                  </w:tcBorders>
                  <w:vAlign w:val="center"/>
                </w:tcPr>
                <w:p>
                  <w:pPr>
                    <w:pStyle w:val="39"/>
                    <w:rPr>
                      <w:color w:val="auto"/>
                      <w:highlight w:val="none"/>
                    </w:rPr>
                  </w:pPr>
                  <w:r>
                    <w:rPr>
                      <w:color w:val="auto"/>
                      <w:highlight w:val="none"/>
                    </w:rPr>
                    <w:t>达标</w:t>
                  </w:r>
                </w:p>
              </w:tc>
            </w:tr>
            <w:tr>
              <w:trPr>
                <w:trHeight w:val="23"/>
              </w:trPr>
              <w:tc>
                <w:tcPr>
                  <w:tcW w:w="448" w:type="pct"/>
                  <w:tcBorders>
                    <w:tl2br w:val="nil"/>
                    <w:tr2bl w:val="nil"/>
                  </w:tcBorders>
                  <w:vAlign w:val="center"/>
                </w:tcPr>
                <w:p>
                  <w:pPr>
                    <w:pStyle w:val="39"/>
                    <w:rPr>
                      <w:color w:val="auto"/>
                    </w:rPr>
                  </w:pPr>
                  <w:r>
                    <w:rPr>
                      <w:color w:val="auto"/>
                    </w:rPr>
                    <w:t>NO</w:t>
                  </w:r>
                  <w:r>
                    <w:rPr>
                      <w:color w:val="auto"/>
                      <w:vertAlign w:val="subscript"/>
                    </w:rPr>
                    <w:t>2</w:t>
                  </w:r>
                </w:p>
              </w:tc>
              <w:tc>
                <w:tcPr>
                  <w:tcW w:w="1515" w:type="pct"/>
                  <w:tcBorders>
                    <w:tl2br w:val="nil"/>
                    <w:tr2bl w:val="nil"/>
                  </w:tcBorders>
                  <w:vAlign w:val="center"/>
                </w:tcPr>
                <w:p>
                  <w:pPr>
                    <w:pStyle w:val="39"/>
                    <w:rPr>
                      <w:color w:val="auto"/>
                    </w:rPr>
                  </w:pPr>
                  <w:r>
                    <w:rPr>
                      <w:color w:val="auto"/>
                    </w:rPr>
                    <w:t>年平均质量浓度</w:t>
                  </w:r>
                </w:p>
              </w:tc>
              <w:tc>
                <w:tcPr>
                  <w:tcW w:w="735" w:type="pct"/>
                  <w:tcBorders>
                    <w:tl2br w:val="nil"/>
                    <w:tr2bl w:val="nil"/>
                  </w:tcBorders>
                  <w:vAlign w:val="center"/>
                </w:tcPr>
                <w:p>
                  <w:pPr>
                    <w:pStyle w:val="39"/>
                    <w:rPr>
                      <w:rFonts w:eastAsia="宋体"/>
                      <w:color w:val="auto"/>
                      <w:lang w:val="en-US" w:eastAsia="zh-CN"/>
                    </w:rPr>
                  </w:pPr>
                  <w:r>
                    <w:rPr>
                      <w:rFonts w:hint="eastAsia"/>
                      <w:color w:val="auto"/>
                      <w:lang w:val="en-US" w:eastAsia="zh-CN"/>
                    </w:rPr>
                    <w:t>24</w:t>
                  </w:r>
                </w:p>
              </w:tc>
              <w:tc>
                <w:tcPr>
                  <w:tcW w:w="1006" w:type="pct"/>
                  <w:tcBorders>
                    <w:tl2br w:val="nil"/>
                    <w:tr2bl w:val="nil"/>
                  </w:tcBorders>
                  <w:vAlign w:val="center"/>
                </w:tcPr>
                <w:p>
                  <w:pPr>
                    <w:pStyle w:val="39"/>
                    <w:rPr>
                      <w:color w:val="auto"/>
                    </w:rPr>
                  </w:pPr>
                  <w:r>
                    <w:rPr>
                      <w:color w:val="auto"/>
                    </w:rPr>
                    <w:t>40</w:t>
                  </w:r>
                </w:p>
              </w:tc>
              <w:tc>
                <w:tcPr>
                  <w:tcW w:w="697"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60.0</w:t>
                  </w:r>
                </w:p>
              </w:tc>
              <w:tc>
                <w:tcPr>
                  <w:tcW w:w="596" w:type="pct"/>
                  <w:tcBorders>
                    <w:tl2br w:val="nil"/>
                    <w:tr2bl w:val="nil"/>
                  </w:tcBorders>
                  <w:vAlign w:val="center"/>
                </w:tcPr>
                <w:p>
                  <w:pPr>
                    <w:pStyle w:val="39"/>
                    <w:rPr>
                      <w:color w:val="auto"/>
                      <w:highlight w:val="none"/>
                    </w:rPr>
                  </w:pPr>
                  <w:r>
                    <w:rPr>
                      <w:rFonts w:hint="eastAsia"/>
                      <w:color w:val="auto"/>
                      <w:highlight w:val="none"/>
                    </w:rPr>
                    <w:t>达</w:t>
                  </w:r>
                  <w:r>
                    <w:rPr>
                      <w:color w:val="auto"/>
                      <w:highlight w:val="none"/>
                    </w:rPr>
                    <w:t>标</w:t>
                  </w:r>
                </w:p>
              </w:tc>
            </w:tr>
            <w:tr>
              <w:trPr>
                <w:trHeight w:val="23"/>
              </w:trPr>
              <w:tc>
                <w:tcPr>
                  <w:tcW w:w="448" w:type="pct"/>
                  <w:tcBorders>
                    <w:tl2br w:val="nil"/>
                    <w:tr2bl w:val="nil"/>
                  </w:tcBorders>
                  <w:vAlign w:val="center"/>
                </w:tcPr>
                <w:p>
                  <w:pPr>
                    <w:pStyle w:val="39"/>
                    <w:rPr>
                      <w:color w:val="auto"/>
                    </w:rPr>
                  </w:pPr>
                  <w:r>
                    <w:rPr>
                      <w:color w:val="auto"/>
                    </w:rPr>
                    <w:t>CO</w:t>
                  </w:r>
                </w:p>
              </w:tc>
              <w:tc>
                <w:tcPr>
                  <w:tcW w:w="1515" w:type="pct"/>
                  <w:tcBorders>
                    <w:tl2br w:val="nil"/>
                    <w:tr2bl w:val="nil"/>
                  </w:tcBorders>
                  <w:vAlign w:val="center"/>
                </w:tcPr>
                <w:p>
                  <w:pPr>
                    <w:pStyle w:val="39"/>
                    <w:rPr>
                      <w:color w:val="auto"/>
                    </w:rPr>
                  </w:pPr>
                  <w:r>
                    <w:rPr>
                      <w:rFonts w:hint="eastAsia"/>
                      <w:color w:val="auto"/>
                      <w:lang w:val="en-US" w:eastAsia="zh-CN"/>
                    </w:rPr>
                    <w:t>日</w:t>
                  </w:r>
                  <w:r>
                    <w:rPr>
                      <w:color w:val="auto"/>
                    </w:rPr>
                    <w:t>平均第95百分位数值</w:t>
                  </w:r>
                </w:p>
              </w:tc>
              <w:tc>
                <w:tcPr>
                  <w:tcW w:w="735" w:type="pct"/>
                  <w:tcBorders>
                    <w:tl2br w:val="nil"/>
                    <w:tr2bl w:val="nil"/>
                  </w:tcBorders>
                  <w:vAlign w:val="center"/>
                </w:tcPr>
                <w:p>
                  <w:pPr>
                    <w:pStyle w:val="39"/>
                    <w:rPr>
                      <w:color w:val="auto"/>
                    </w:rPr>
                  </w:pPr>
                  <w:r>
                    <w:rPr>
                      <w:rFonts w:hint="eastAsia"/>
                      <w:color w:val="auto"/>
                    </w:rPr>
                    <w:t>1.</w:t>
                  </w:r>
                  <w:r>
                    <w:rPr>
                      <w:rFonts w:hint="eastAsia"/>
                      <w:color w:val="auto"/>
                      <w:lang w:val="en-US" w:eastAsia="zh-CN"/>
                    </w:rPr>
                    <w:t>0</w:t>
                  </w:r>
                  <w:r>
                    <w:rPr>
                      <w:rFonts w:hint="eastAsia"/>
                      <w:color w:val="auto"/>
                    </w:rPr>
                    <w:t>mg/m³</w:t>
                  </w:r>
                </w:p>
              </w:tc>
              <w:tc>
                <w:tcPr>
                  <w:tcW w:w="1006" w:type="pct"/>
                  <w:tcBorders>
                    <w:tl2br w:val="nil"/>
                    <w:tr2bl w:val="nil"/>
                  </w:tcBorders>
                  <w:vAlign w:val="center"/>
                </w:tcPr>
                <w:p>
                  <w:pPr>
                    <w:pStyle w:val="39"/>
                    <w:rPr>
                      <w:color w:val="auto"/>
                    </w:rPr>
                  </w:pPr>
                  <w:r>
                    <w:rPr>
                      <w:color w:val="auto"/>
                    </w:rPr>
                    <w:t>4mg/</w:t>
                  </w:r>
                  <w:r>
                    <w:rPr>
                      <w:rFonts w:hint="eastAsia"/>
                      <w:color w:val="auto"/>
                    </w:rPr>
                    <w:t>m³</w:t>
                  </w:r>
                </w:p>
              </w:tc>
              <w:tc>
                <w:tcPr>
                  <w:tcW w:w="697" w:type="pct"/>
                  <w:tcBorders>
                    <w:tl2br w:val="nil"/>
                    <w:tr2bl w:val="nil"/>
                  </w:tcBorders>
                  <w:vAlign w:val="center"/>
                </w:tcPr>
                <w:p>
                  <w:pPr>
                    <w:pStyle w:val="39"/>
                    <w:rPr>
                      <w:rFonts w:eastAsia="宋体"/>
                      <w:color w:val="auto"/>
                      <w:lang w:val="en-US" w:eastAsia="zh-CN"/>
                    </w:rPr>
                  </w:pPr>
                  <w:r>
                    <w:rPr>
                      <w:rFonts w:hint="eastAsia"/>
                      <w:color w:val="auto"/>
                      <w:lang w:val="en-US" w:eastAsia="zh-CN"/>
                    </w:rPr>
                    <w:t>25.0</w:t>
                  </w:r>
                </w:p>
              </w:tc>
              <w:tc>
                <w:tcPr>
                  <w:tcW w:w="596" w:type="pct"/>
                  <w:tcBorders>
                    <w:tl2br w:val="nil"/>
                    <w:tr2bl w:val="nil"/>
                  </w:tcBorders>
                  <w:vAlign w:val="center"/>
                </w:tcPr>
                <w:p>
                  <w:pPr>
                    <w:pStyle w:val="39"/>
                    <w:rPr>
                      <w:color w:val="auto"/>
                    </w:rPr>
                  </w:pPr>
                  <w:r>
                    <w:rPr>
                      <w:color w:val="auto"/>
                    </w:rPr>
                    <w:t>达标</w:t>
                  </w:r>
                </w:p>
              </w:tc>
            </w:tr>
            <w:tr>
              <w:trPr>
                <w:trHeight w:val="23"/>
              </w:trPr>
              <w:tc>
                <w:tcPr>
                  <w:tcW w:w="448" w:type="pct"/>
                  <w:tcBorders>
                    <w:tl2br w:val="nil"/>
                    <w:tr2bl w:val="nil"/>
                  </w:tcBorders>
                  <w:vAlign w:val="center"/>
                </w:tcPr>
                <w:p>
                  <w:pPr>
                    <w:pStyle w:val="39"/>
                    <w:rPr>
                      <w:color w:val="auto"/>
                    </w:rPr>
                  </w:pPr>
                  <w:r>
                    <w:rPr>
                      <w:color w:val="auto"/>
                    </w:rPr>
                    <w:t>O</w:t>
                  </w:r>
                  <w:r>
                    <w:rPr>
                      <w:color w:val="auto"/>
                      <w:vertAlign w:val="subscript"/>
                    </w:rPr>
                    <w:t>3</w:t>
                  </w:r>
                </w:p>
              </w:tc>
              <w:tc>
                <w:tcPr>
                  <w:tcW w:w="1515" w:type="pct"/>
                  <w:tcBorders>
                    <w:tl2br w:val="nil"/>
                    <w:tr2bl w:val="nil"/>
                  </w:tcBorders>
                  <w:vAlign w:val="center"/>
                </w:tcPr>
                <w:p>
                  <w:pPr>
                    <w:pStyle w:val="39"/>
                    <w:rPr>
                      <w:color w:val="auto"/>
                    </w:rPr>
                  </w:pPr>
                  <w:r>
                    <w:rPr>
                      <w:color w:val="auto"/>
                    </w:rPr>
                    <w:t>日最大8h滑动平均值的第90百分位数值</w:t>
                  </w:r>
                </w:p>
              </w:tc>
              <w:tc>
                <w:tcPr>
                  <w:tcW w:w="735" w:type="pct"/>
                  <w:tcBorders>
                    <w:tl2br w:val="nil"/>
                    <w:tr2bl w:val="nil"/>
                  </w:tcBorders>
                  <w:vAlign w:val="center"/>
                </w:tcPr>
                <w:p>
                  <w:pPr>
                    <w:pStyle w:val="39"/>
                    <w:rPr>
                      <w:rFonts w:eastAsia="宋体"/>
                      <w:color w:val="auto"/>
                      <w:lang w:val="en-US" w:eastAsia="zh-CN"/>
                    </w:rPr>
                  </w:pPr>
                  <w:r>
                    <w:rPr>
                      <w:rFonts w:hint="eastAsia"/>
                      <w:color w:val="auto"/>
                    </w:rPr>
                    <w:t>1</w:t>
                  </w:r>
                  <w:r>
                    <w:rPr>
                      <w:rFonts w:hint="eastAsia"/>
                      <w:color w:val="auto"/>
                      <w:lang w:val="en-US" w:eastAsia="zh-CN"/>
                    </w:rPr>
                    <w:t>71</w:t>
                  </w:r>
                </w:p>
              </w:tc>
              <w:tc>
                <w:tcPr>
                  <w:tcW w:w="1006" w:type="pct"/>
                  <w:tcBorders>
                    <w:tl2br w:val="nil"/>
                    <w:tr2bl w:val="nil"/>
                  </w:tcBorders>
                  <w:vAlign w:val="center"/>
                </w:tcPr>
                <w:p>
                  <w:pPr>
                    <w:pStyle w:val="39"/>
                    <w:rPr>
                      <w:color w:val="auto"/>
                    </w:rPr>
                  </w:pPr>
                  <w:r>
                    <w:rPr>
                      <w:color w:val="auto"/>
                    </w:rPr>
                    <w:t>160</w:t>
                  </w:r>
                </w:p>
              </w:tc>
              <w:tc>
                <w:tcPr>
                  <w:tcW w:w="697" w:type="pct"/>
                  <w:tcBorders>
                    <w:tl2br w:val="nil"/>
                    <w:tr2bl w:val="nil"/>
                  </w:tcBorders>
                  <w:vAlign w:val="center"/>
                </w:tcPr>
                <w:p>
                  <w:pPr>
                    <w:pStyle w:val="39"/>
                    <w:rPr>
                      <w:rFonts w:eastAsia="宋体"/>
                      <w:color w:val="auto"/>
                      <w:lang w:val="en-US" w:eastAsia="zh-CN"/>
                    </w:rPr>
                  </w:pPr>
                  <w:r>
                    <w:rPr>
                      <w:rFonts w:hint="eastAsia"/>
                      <w:color w:val="auto"/>
                    </w:rPr>
                    <w:t>1</w:t>
                  </w:r>
                  <w:r>
                    <w:rPr>
                      <w:rFonts w:hint="eastAsia"/>
                      <w:color w:val="auto"/>
                      <w:lang w:val="en-US" w:eastAsia="zh-CN"/>
                    </w:rPr>
                    <w:t>06.9</w:t>
                  </w:r>
                </w:p>
              </w:tc>
              <w:tc>
                <w:tcPr>
                  <w:tcW w:w="596" w:type="pct"/>
                  <w:tcBorders>
                    <w:tl2br w:val="nil"/>
                    <w:tr2bl w:val="nil"/>
                  </w:tcBorders>
                  <w:vAlign w:val="center"/>
                </w:tcPr>
                <w:p>
                  <w:pPr>
                    <w:pStyle w:val="39"/>
                    <w:rPr>
                      <w:color w:val="auto"/>
                    </w:rPr>
                  </w:pPr>
                  <w:r>
                    <w:rPr>
                      <w:color w:val="auto"/>
                    </w:rPr>
                    <w:t>超标</w:t>
                  </w:r>
                </w:p>
              </w:tc>
            </w:tr>
          </w:tbl>
          <w:p>
            <w:pPr>
              <w:rPr>
                <w:color w:val="auto"/>
              </w:rPr>
            </w:pPr>
            <w:r>
              <w:rPr>
                <w:color w:val="auto"/>
              </w:rPr>
              <w:t>项目所在区域环境空气中，SO</w:t>
            </w:r>
            <w:r>
              <w:rPr>
                <w:color w:val="auto"/>
                <w:vertAlign w:val="subscript"/>
              </w:rPr>
              <w:t>2</w:t>
            </w:r>
            <w:r>
              <w:rPr>
                <w:rFonts w:hint="eastAsia"/>
                <w:color w:val="auto"/>
                <w:lang w:val="en-US" w:eastAsia="zh-CN"/>
              </w:rPr>
              <w:t>年</w:t>
            </w:r>
            <w:r>
              <w:rPr>
                <w:rFonts w:hint="eastAsia"/>
                <w:color w:val="auto"/>
              </w:rPr>
              <w:t>均值、</w:t>
            </w:r>
            <w:r>
              <w:rPr>
                <w:color w:val="auto"/>
              </w:rPr>
              <w:t>NO</w:t>
            </w:r>
            <w:r>
              <w:rPr>
                <w:color w:val="auto"/>
                <w:vertAlign w:val="subscript"/>
              </w:rPr>
              <w:t>2</w:t>
            </w:r>
            <w:r>
              <w:rPr>
                <w:rFonts w:hint="eastAsia"/>
                <w:color w:val="auto"/>
                <w:lang w:val="en-US" w:eastAsia="zh-CN"/>
              </w:rPr>
              <w:t>年</w:t>
            </w:r>
            <w:r>
              <w:rPr>
                <w:rFonts w:hint="eastAsia"/>
                <w:color w:val="auto"/>
              </w:rPr>
              <w:t>均值</w:t>
            </w:r>
            <w:r>
              <w:rPr>
                <w:color w:val="auto"/>
              </w:rPr>
              <w:t>和CO</w:t>
            </w:r>
            <w:r>
              <w:rPr>
                <w:rFonts w:hint="eastAsia"/>
                <w:color w:val="auto"/>
                <w:lang w:val="en-US" w:eastAsia="zh-CN"/>
              </w:rPr>
              <w:t>日</w:t>
            </w:r>
            <w:r>
              <w:rPr>
                <w:color w:val="auto"/>
              </w:rPr>
              <w:t>均值达标，但PM</w:t>
            </w:r>
            <w:r>
              <w:rPr>
                <w:color w:val="auto"/>
                <w:vertAlign w:val="subscript"/>
              </w:rPr>
              <w:t>10</w:t>
            </w:r>
            <w:r>
              <w:rPr>
                <w:rFonts w:hint="eastAsia"/>
                <w:color w:val="auto"/>
                <w:lang w:val="en-US" w:eastAsia="zh-CN"/>
              </w:rPr>
              <w:t>年</w:t>
            </w:r>
            <w:r>
              <w:rPr>
                <w:color w:val="auto"/>
              </w:rPr>
              <w:t>平均值、PM</w:t>
            </w:r>
            <w:r>
              <w:rPr>
                <w:color w:val="auto"/>
                <w:vertAlign w:val="subscript"/>
              </w:rPr>
              <w:t>2.5</w:t>
            </w:r>
            <w:r>
              <w:rPr>
                <w:rFonts w:hint="eastAsia"/>
                <w:color w:val="auto"/>
                <w:lang w:val="en-US" w:eastAsia="zh-CN"/>
              </w:rPr>
              <w:t>年</w:t>
            </w:r>
            <w:r>
              <w:rPr>
                <w:color w:val="auto"/>
              </w:rPr>
              <w:t>平均值和O</w:t>
            </w:r>
            <w:r>
              <w:rPr>
                <w:color w:val="auto"/>
                <w:vertAlign w:val="subscript"/>
              </w:rPr>
              <w:t>3</w:t>
            </w:r>
            <w:r>
              <w:rPr>
                <w:color w:val="auto"/>
              </w:rPr>
              <w:t>最大8小时平均值均高于《环境空气质量标准》（GB3095-20</w:t>
            </w:r>
            <w:r>
              <w:rPr>
                <w:rFonts w:hint="eastAsia"/>
                <w:color w:val="auto"/>
                <w:lang w:val="en-US" w:eastAsia="zh-CN"/>
              </w:rPr>
              <w:t>26</w:t>
            </w:r>
            <w:r>
              <w:rPr>
                <w:color w:val="auto"/>
              </w:rPr>
              <w:t>）</w:t>
            </w:r>
            <w:r>
              <w:rPr>
                <w:rFonts w:hint="eastAsia"/>
                <w:color w:val="auto"/>
                <w:lang w:val="en-US" w:eastAsia="zh-CN"/>
              </w:rPr>
              <w:t>中过渡阶段浓度限值</w:t>
            </w:r>
            <w:r>
              <w:rPr>
                <w:color w:val="auto"/>
              </w:rPr>
              <w:t>二级标准要求。</w:t>
            </w:r>
          </w:p>
          <w:p>
            <w:pPr>
              <w:rPr>
                <w:color w:val="auto"/>
              </w:rPr>
            </w:pPr>
            <w:r>
              <w:rPr>
                <w:color w:val="auto"/>
              </w:rPr>
              <w:t>根据《环境影响评价技术导则</w:t>
            </w:r>
            <w:r>
              <w:rPr>
                <w:rFonts w:hint="eastAsia"/>
                <w:color w:val="auto"/>
                <w:lang w:val="en-US" w:eastAsia="zh-CN"/>
              </w:rPr>
              <w:t xml:space="preserve"> </w:t>
            </w:r>
            <w:r>
              <w:rPr>
                <w:color w:val="auto"/>
              </w:rPr>
              <w:t>大气环境》（HJ2.2-2018）相关规定，栾城区</w:t>
            </w:r>
            <w:r>
              <w:rPr>
                <w:rFonts w:hint="eastAsia"/>
                <w:color w:val="auto"/>
              </w:rPr>
              <w:t>栾城镇</w:t>
            </w:r>
            <w:r>
              <w:rPr>
                <w:color w:val="auto"/>
              </w:rPr>
              <w:t>为不达标区。根据</w:t>
            </w:r>
            <w:r>
              <w:rPr>
                <w:rFonts w:hint="eastAsia"/>
                <w:color w:val="auto"/>
              </w:rPr>
              <w:t>一系列大气相关治理</w:t>
            </w:r>
            <w:r>
              <w:rPr>
                <w:color w:val="auto"/>
              </w:rPr>
              <w:t>方案</w:t>
            </w:r>
            <w:r>
              <w:rPr>
                <w:rFonts w:hint="eastAsia"/>
                <w:color w:val="auto"/>
              </w:rPr>
              <w:t>的实施</w:t>
            </w:r>
            <w:r>
              <w:rPr>
                <w:color w:val="auto"/>
              </w:rPr>
              <w:t>，将有助于石家庄市坚决遏制不利态势，确保全年空气质量目标任务的完成，坚决打赢蓝天保卫战，切实改善环境空气质量，空气质量将逐渐好转。</w:t>
            </w:r>
          </w:p>
          <w:p>
            <w:pPr>
              <w:wordWrap w:val="0"/>
              <w:topLinePunct/>
              <w:jc w:val="left"/>
              <w:rPr>
                <w:color w:val="auto"/>
              </w:rPr>
            </w:pPr>
            <w:r>
              <w:rPr>
                <w:rFonts w:hint="eastAsia"/>
                <w:color w:val="auto"/>
              </w:rPr>
              <w:t>（2）特征污染物</w:t>
            </w:r>
          </w:p>
          <w:p>
            <w:pPr>
              <w:wordWrap w:val="0"/>
              <w:topLinePunct/>
              <w:jc w:val="left"/>
              <w:rPr>
                <w:color w:val="auto"/>
              </w:rPr>
            </w:pPr>
            <w:r>
              <w:rPr>
                <w:rFonts w:hint="eastAsia"/>
                <w:color w:val="auto"/>
              </w:rPr>
              <w:t>根据《建设项目环境影响报告表编制技术指南（污染影响类）（试行）》可知，排放国家、地方环境空气质量标准中有标准限值要求的特征污染物时，引用建设项目周边5千米范围内近3年的现有监测数据无相关数据的选择当季主导风向下风向1个点位补充不少于3天的监测数据。本项目特征污染物为：</w:t>
            </w:r>
            <w:r>
              <w:rPr>
                <w:rFonts w:hint="eastAsia"/>
                <w:color w:val="auto"/>
                <w:lang w:val="en-US" w:eastAsia="zh-CN"/>
              </w:rPr>
              <w:t>氨</w:t>
            </w:r>
            <w:r>
              <w:rPr>
                <w:rFonts w:hint="eastAsia"/>
                <w:color w:val="auto"/>
              </w:rPr>
              <w:t>、</w:t>
            </w:r>
            <w:r>
              <w:rPr>
                <w:rFonts w:hint="eastAsia"/>
                <w:color w:val="auto"/>
                <w:lang w:val="en-US" w:eastAsia="zh-CN"/>
              </w:rPr>
              <w:t>TSP、</w:t>
            </w:r>
            <w:r>
              <w:rPr>
                <w:rFonts w:hint="eastAsia"/>
                <w:color w:val="auto"/>
                <w:lang w:val="en-US" w:eastAsia="zh-CN"/>
                <w:highlight w:val="none"/>
              </w:rPr>
              <w:t>氯化氢、硫酸雾、丙酮、甲醛、非甲烷总烃</w:t>
            </w:r>
            <w:r>
              <w:rPr>
                <w:rFonts w:hint="eastAsia"/>
                <w:color w:val="auto"/>
              </w:rPr>
              <w:t>。</w:t>
            </w:r>
          </w:p>
          <w:p>
            <w:pPr>
              <w:wordWrap w:val="0"/>
              <w:topLinePunct/>
              <w:jc w:val="left"/>
              <w:rPr>
                <w:color w:val="auto"/>
                <w:highlight w:val="yellow"/>
              </w:rPr>
            </w:pPr>
            <w:r>
              <w:rPr>
                <w:rFonts w:hint="eastAsia"/>
                <w:color w:val="auto"/>
                <w:lang w:val="en-US" w:eastAsia="zh-CN"/>
                <w:highlight w:val="none"/>
              </w:rPr>
              <w:t>TSP</w:t>
            </w:r>
            <w:r>
              <w:rPr>
                <w:rFonts w:hint="eastAsia"/>
                <w:color w:val="auto"/>
                <w:lang w:eastAsia="zh-CN"/>
                <w:highlight w:val="none"/>
              </w:rPr>
              <w:t>、</w:t>
            </w:r>
            <w:r>
              <w:rPr>
                <w:rFonts w:hint="eastAsia"/>
                <w:color w:val="auto"/>
                <w:lang w:val="en-US" w:eastAsia="zh-CN"/>
                <w:highlight w:val="none"/>
              </w:rPr>
              <w:t>硫酸雾、氯化氢、非甲烷总烃环境质量现状数据引用河北新宝丰科技有限公司2023年11月7日出具的《河北欣蓝环境科技有限公司检测中心项目检测报告》（报告编号：HBXBF2310X001），监测点位为天地锦绣华庭，监测时间2023年10月27日-2023年10月30日；丙酮、甲醛环境质量现状数据引用河北润峰环境检测服务有限公司2024年11月23日出具的《河北石家庄装备制造产业园总体规划环境质量现状监测报告》（RFJC检环【2024】10343号），监测点位为窦妪村，监测时间2024年11月01日-2024年11月07日。氨环境质量现状数据引用河北中寰检测服务有限公司2023年6月5日出具的《中集合斯康储氢系统装备生产基地建设项目环境质量现状检测报告》（HBZH-H-20230028），监测点位为段家营村，监测时间2023年5月23日-2023年5月25日。</w:t>
            </w:r>
            <w:r>
              <w:rPr>
                <w:rFonts w:hint="eastAsia"/>
                <w:color w:val="auto"/>
                <w:highlight w:val="none"/>
              </w:rPr>
              <w:t>本项目引用数据监测点</w:t>
            </w:r>
            <w:r>
              <w:rPr>
                <w:rFonts w:hint="eastAsia"/>
                <w:color w:val="auto"/>
                <w:lang w:val="en-US" w:eastAsia="zh-CN"/>
                <w:highlight w:val="none"/>
              </w:rPr>
              <w:t>均在5千米范围内</w:t>
            </w:r>
            <w:r>
              <w:rPr>
                <w:rFonts w:hint="eastAsia"/>
                <w:color w:val="auto"/>
                <w:highlight w:val="none"/>
              </w:rPr>
              <w:t>，具体位置见附图6，满足引用要求。</w:t>
            </w:r>
          </w:p>
          <w:p>
            <w:pPr>
              <w:wordWrap w:val="0"/>
              <w:topLinePunct/>
              <w:jc w:val="left"/>
              <w:rPr>
                <w:color w:val="auto"/>
              </w:rPr>
            </w:pPr>
            <w:r>
              <w:rPr>
                <w:rFonts w:hint="eastAsia"/>
                <w:color w:val="auto"/>
              </w:rPr>
              <w:t>1）</w:t>
            </w:r>
            <w:r>
              <w:rPr>
                <w:color w:val="auto"/>
              </w:rPr>
              <w:t>监测因子：</w:t>
            </w:r>
            <w:r>
              <w:rPr>
                <w:rFonts w:hint="eastAsia"/>
                <w:color w:val="auto"/>
              </w:rPr>
              <w:t>TSP</w:t>
            </w:r>
            <w:r>
              <w:rPr>
                <w:rFonts w:hint="eastAsia"/>
                <w:color w:val="auto"/>
                <w:lang w:eastAsia="zh-CN"/>
              </w:rPr>
              <w:t>、</w:t>
            </w:r>
            <w:r>
              <w:rPr>
                <w:rFonts w:hint="eastAsia"/>
                <w:color w:val="auto"/>
                <w:lang w:val="en-US" w:eastAsia="zh-CN"/>
              </w:rPr>
              <w:t>氨、氯化氢、硫酸雾、丙酮、甲醛、非甲烷总烃</w:t>
            </w:r>
            <w:r>
              <w:rPr>
                <w:color w:val="auto"/>
              </w:rPr>
              <w:t>。</w:t>
            </w:r>
          </w:p>
          <w:p>
            <w:pPr>
              <w:wordWrap w:val="0"/>
              <w:topLinePunct/>
              <w:jc w:val="left"/>
              <w:rPr>
                <w:color w:val="auto"/>
              </w:rPr>
            </w:pPr>
            <w:r>
              <w:rPr>
                <w:rFonts w:hint="eastAsia"/>
                <w:color w:val="auto"/>
              </w:rPr>
              <w:t>2）</w:t>
            </w:r>
            <w:r>
              <w:rPr>
                <w:color w:val="auto"/>
              </w:rPr>
              <w:t>监测</w:t>
            </w:r>
            <w:r>
              <w:rPr>
                <w:rFonts w:hint="eastAsia"/>
                <w:color w:val="auto"/>
              </w:rPr>
              <w:t>点位</w:t>
            </w:r>
            <w:r>
              <w:rPr>
                <w:color w:val="auto"/>
              </w:rPr>
              <w:t>：</w:t>
            </w:r>
            <w:r>
              <w:rPr>
                <w:rFonts w:hint="eastAsia"/>
                <w:color w:val="auto"/>
                <w:lang w:val="en-US" w:eastAsia="zh-CN"/>
              </w:rPr>
              <w:t>天地锦绣华庭、窦妪村</w:t>
            </w:r>
            <w:r>
              <w:rPr>
                <w:color w:val="auto"/>
              </w:rPr>
              <w:t>，具体监测点位见表3-</w:t>
            </w:r>
            <w:r>
              <w:rPr>
                <w:rFonts w:hint="eastAsia"/>
                <w:color w:val="auto"/>
              </w:rPr>
              <w:t>2</w:t>
            </w:r>
            <w:r>
              <w:rPr>
                <w:color w:val="auto"/>
              </w:rPr>
              <w:t>。</w:t>
            </w:r>
          </w:p>
          <w:p>
            <w:pPr>
              <w:pStyle w:val="40"/>
              <w:rPr>
                <w:color w:val="auto"/>
              </w:rPr>
            </w:pPr>
            <w:r>
              <w:rPr>
                <w:color w:val="auto"/>
              </w:rPr>
              <w:t>表3-</w:t>
            </w:r>
            <w:r>
              <w:rPr>
                <w:rFonts w:hint="eastAsia"/>
                <w:color w:val="auto"/>
              </w:rPr>
              <w:t>2</w:t>
            </w:r>
            <w:r>
              <w:rPr>
                <w:color w:val="auto"/>
              </w:rPr>
              <w:t xml:space="preserve">   大气现状监测点位布设情况表</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600" w:firstRow="0" w:lastRow="0" w:firstColumn="0" w:lastColumn="0" w:noHBand="1" w:noVBand="1"/>
            </w:tblPr>
            <w:tblGrid>
              <w:gridCol w:w="1554"/>
              <w:gridCol w:w="2885"/>
              <w:gridCol w:w="2182"/>
              <w:gridCol w:w="1731"/>
            </w:tblGrid>
            <w:tr>
              <w:trPr>
                <w:trHeight w:val="23"/>
              </w:trPr>
              <w:tc>
                <w:tcPr>
                  <w:tcW w:w="930" w:type="pct"/>
                  <w:tcBorders>
                    <w:tl2br w:val="nil"/>
                    <w:tr2bl w:val="nil"/>
                  </w:tcBorders>
                  <w:vAlign w:val="center"/>
                </w:tcPr>
                <w:p>
                  <w:pPr>
                    <w:pStyle w:val="39"/>
                    <w:rPr>
                      <w:color w:val="auto"/>
                    </w:rPr>
                  </w:pPr>
                  <w:r>
                    <w:rPr>
                      <w:color w:val="auto"/>
                    </w:rPr>
                    <w:t>监测点名称</w:t>
                  </w:r>
                </w:p>
              </w:tc>
              <w:tc>
                <w:tcPr>
                  <w:tcW w:w="1727" w:type="pct"/>
                  <w:tcBorders>
                    <w:tl2br w:val="nil"/>
                    <w:tr2bl w:val="nil"/>
                  </w:tcBorders>
                  <w:vAlign w:val="center"/>
                </w:tcPr>
                <w:p>
                  <w:pPr>
                    <w:pStyle w:val="39"/>
                    <w:rPr>
                      <w:color w:val="auto"/>
                    </w:rPr>
                  </w:pPr>
                  <w:r>
                    <w:rPr>
                      <w:color w:val="auto"/>
                    </w:rPr>
                    <w:t>监测因子</w:t>
                  </w:r>
                </w:p>
              </w:tc>
              <w:tc>
                <w:tcPr>
                  <w:tcW w:w="1306" w:type="pct"/>
                  <w:tcBorders>
                    <w:tl2br w:val="nil"/>
                    <w:tr2bl w:val="nil"/>
                  </w:tcBorders>
                  <w:vAlign w:val="center"/>
                </w:tcPr>
                <w:p>
                  <w:pPr>
                    <w:pStyle w:val="39"/>
                    <w:rPr>
                      <w:color w:val="auto"/>
                    </w:rPr>
                  </w:pPr>
                  <w:r>
                    <w:rPr>
                      <w:color w:val="auto"/>
                    </w:rPr>
                    <w:t>相对厂址方位</w:t>
                  </w:r>
                </w:p>
              </w:tc>
              <w:tc>
                <w:tcPr>
                  <w:tcW w:w="1036" w:type="pct"/>
                  <w:tcBorders>
                    <w:tl2br w:val="nil"/>
                    <w:tr2bl w:val="nil"/>
                  </w:tcBorders>
                  <w:vAlign w:val="center"/>
                </w:tcPr>
                <w:p>
                  <w:pPr>
                    <w:pStyle w:val="39"/>
                    <w:rPr>
                      <w:color w:val="auto"/>
                    </w:rPr>
                  </w:pPr>
                  <w:r>
                    <w:rPr>
                      <w:color w:val="auto"/>
                    </w:rPr>
                    <w:t>相对厂址距离</w:t>
                  </w:r>
                </w:p>
              </w:tc>
            </w:tr>
            <w:tr>
              <w:trPr>
                <w:trHeight w:val="23"/>
              </w:trPr>
              <w:tc>
                <w:tcPr>
                  <w:tcW w:w="930" w:type="pct"/>
                  <w:tcBorders>
                    <w:tl2br w:val="nil"/>
                    <w:tr2bl w:val="nil"/>
                  </w:tcBorders>
                  <w:vAlign w:val="center"/>
                </w:tcPr>
                <w:p>
                  <w:pPr>
                    <w:pStyle w:val="39"/>
                    <w:rPr>
                      <w:color w:val="auto"/>
                    </w:rPr>
                  </w:pPr>
                  <w:r>
                    <w:rPr>
                      <w:rFonts w:hint="eastAsia"/>
                      <w:color w:val="auto"/>
                      <w:lang w:val="en-US" w:eastAsia="zh-CN"/>
                    </w:rPr>
                    <w:t>天地锦绣华庭</w:t>
                  </w:r>
                </w:p>
              </w:tc>
              <w:tc>
                <w:tcPr>
                  <w:tcW w:w="1727" w:type="pct"/>
                  <w:tcBorders>
                    <w:tl2br w:val="nil"/>
                    <w:tr2bl w:val="nil"/>
                  </w:tcBorders>
                  <w:vAlign w:val="center"/>
                </w:tcPr>
                <w:p>
                  <w:pPr>
                    <w:pStyle w:val="39"/>
                    <w:rPr>
                      <w:rFonts w:eastAsia="宋体"/>
                      <w:color w:val="auto"/>
                      <w:lang w:val="en-US" w:eastAsia="zh-CN"/>
                    </w:rPr>
                  </w:pPr>
                  <w:r>
                    <w:rPr>
                      <w:rFonts w:hint="eastAsia"/>
                      <w:color w:val="auto"/>
                    </w:rPr>
                    <w:t>TSP</w:t>
                  </w:r>
                  <w:r>
                    <w:rPr>
                      <w:rFonts w:hint="eastAsia"/>
                      <w:color w:val="auto"/>
                      <w:lang w:eastAsia="zh-CN"/>
                    </w:rPr>
                    <w:t>、</w:t>
                  </w:r>
                  <w:r>
                    <w:rPr>
                      <w:rFonts w:hint="eastAsia"/>
                      <w:color w:val="auto"/>
                      <w:lang w:val="en-US" w:eastAsia="zh-CN"/>
                    </w:rPr>
                    <w:t>氯化氢、硫酸雾、非甲烷总烃</w:t>
                  </w:r>
                </w:p>
              </w:tc>
              <w:tc>
                <w:tcPr>
                  <w:tcW w:w="1306" w:type="pct"/>
                  <w:tcBorders>
                    <w:tl2br w:val="nil"/>
                    <w:tr2bl w:val="nil"/>
                  </w:tcBorders>
                  <w:vAlign w:val="center"/>
                </w:tcPr>
                <w:p>
                  <w:pPr>
                    <w:pStyle w:val="39"/>
                    <w:rPr>
                      <w:rFonts w:eastAsia="宋体"/>
                      <w:color w:val="auto"/>
                      <w:lang w:val="en-US" w:eastAsia="zh-CN"/>
                    </w:rPr>
                  </w:pPr>
                  <w:r>
                    <w:rPr>
                      <w:rFonts w:hint="eastAsia"/>
                      <w:color w:val="auto"/>
                      <w:lang w:val="en-US" w:eastAsia="zh-CN"/>
                    </w:rPr>
                    <w:t>东北</w:t>
                  </w:r>
                </w:p>
              </w:tc>
              <w:tc>
                <w:tcPr>
                  <w:tcW w:w="1036" w:type="pct"/>
                  <w:tcBorders>
                    <w:tl2br w:val="nil"/>
                    <w:tr2bl w:val="nil"/>
                  </w:tcBorders>
                  <w:vAlign w:val="center"/>
                </w:tcPr>
                <w:p>
                  <w:pPr>
                    <w:pStyle w:val="39"/>
                    <w:rPr>
                      <w:color w:val="auto"/>
                    </w:rPr>
                  </w:pPr>
                  <w:r>
                    <w:rPr>
                      <w:rFonts w:hint="eastAsia"/>
                      <w:color w:val="auto"/>
                      <w:lang w:val="en-US" w:eastAsia="zh-CN"/>
                    </w:rPr>
                    <w:t>3030</w:t>
                  </w:r>
                  <w:r>
                    <w:rPr>
                      <w:rFonts w:hint="eastAsia"/>
                      <w:color w:val="auto"/>
                    </w:rPr>
                    <w:t>m</w:t>
                  </w:r>
                </w:p>
              </w:tc>
            </w:tr>
            <w:tr>
              <w:trPr>
                <w:trHeight w:val="23"/>
              </w:trPr>
              <w:tc>
                <w:tcPr>
                  <w:tcW w:w="930" w:type="pct"/>
                  <w:tcBorders>
                    <w:tl2br w:val="nil"/>
                    <w:tr2bl w:val="nil"/>
                  </w:tcBorders>
                  <w:vAlign w:val="center"/>
                </w:tcPr>
                <w:p>
                  <w:pPr>
                    <w:pStyle w:val="39"/>
                    <w:rPr>
                      <w:color w:val="auto"/>
                      <w:lang w:val="en-US" w:eastAsia="zh-CN"/>
                    </w:rPr>
                  </w:pPr>
                  <w:r>
                    <w:rPr>
                      <w:rFonts w:hint="eastAsia"/>
                      <w:color w:val="auto"/>
                      <w:lang w:val="en-US" w:eastAsia="zh-CN"/>
                    </w:rPr>
                    <w:t>窦妪村</w:t>
                  </w:r>
                </w:p>
              </w:tc>
              <w:tc>
                <w:tcPr>
                  <w:tcW w:w="1727" w:type="pct"/>
                  <w:tcBorders>
                    <w:tl2br w:val="nil"/>
                    <w:tr2bl w:val="nil"/>
                  </w:tcBorders>
                  <w:vAlign w:val="center"/>
                </w:tcPr>
                <w:p>
                  <w:pPr>
                    <w:pStyle w:val="39"/>
                    <w:rPr>
                      <w:color w:val="auto"/>
                      <w:lang w:val="en-US"/>
                    </w:rPr>
                  </w:pPr>
                  <w:r>
                    <w:rPr>
                      <w:rFonts w:hint="eastAsia"/>
                      <w:color w:val="auto"/>
                      <w:lang w:val="en-US" w:eastAsia="zh-CN"/>
                    </w:rPr>
                    <w:t>丙酮、甲醛</w:t>
                  </w:r>
                </w:p>
              </w:tc>
              <w:tc>
                <w:tcPr>
                  <w:tcW w:w="1306" w:type="pct"/>
                  <w:tcBorders>
                    <w:tl2br w:val="nil"/>
                    <w:tr2bl w:val="nil"/>
                  </w:tcBorders>
                  <w:vAlign w:val="center"/>
                </w:tcPr>
                <w:p>
                  <w:pPr>
                    <w:pStyle w:val="39"/>
                    <w:rPr>
                      <w:color w:val="auto"/>
                      <w:lang w:val="en-US" w:eastAsia="zh-CN"/>
                    </w:rPr>
                  </w:pPr>
                  <w:r>
                    <w:rPr>
                      <w:rFonts w:hint="eastAsia"/>
                      <w:color w:val="auto"/>
                      <w:lang w:val="en-US" w:eastAsia="zh-CN"/>
                    </w:rPr>
                    <w:t>西北</w:t>
                  </w:r>
                </w:p>
              </w:tc>
              <w:tc>
                <w:tcPr>
                  <w:tcW w:w="1036" w:type="pct"/>
                  <w:tcBorders>
                    <w:tl2br w:val="nil"/>
                    <w:tr2bl w:val="nil"/>
                  </w:tcBorders>
                  <w:vAlign w:val="center"/>
                </w:tcPr>
                <w:p>
                  <w:pPr>
                    <w:pStyle w:val="39"/>
                    <w:rPr>
                      <w:color w:val="auto"/>
                      <w:lang w:val="en-US" w:eastAsia="zh-CN"/>
                    </w:rPr>
                  </w:pPr>
                  <w:r>
                    <w:rPr>
                      <w:rFonts w:hint="eastAsia"/>
                      <w:color w:val="auto"/>
                      <w:lang w:val="en-US" w:eastAsia="zh-CN"/>
                    </w:rPr>
                    <w:t>1300m</w:t>
                  </w:r>
                </w:p>
              </w:tc>
            </w:tr>
            <w:tr>
              <w:trPr>
                <w:trHeight w:val="23"/>
              </w:trPr>
              <w:tc>
                <w:tcPr>
                  <w:tcW w:w="930" w:type="pct"/>
                  <w:tcBorders>
                    <w:tl2br w:val="nil"/>
                    <w:tr2bl w:val="nil"/>
                  </w:tcBorders>
                  <w:vAlign w:val="center"/>
                </w:tcPr>
                <w:p>
                  <w:pPr>
                    <w:pStyle w:val="39"/>
                    <w:rPr>
                      <w:rFonts w:hint="eastAsia"/>
                      <w:color w:val="auto"/>
                      <w:lang w:val="en-US" w:eastAsia="zh-CN"/>
                    </w:rPr>
                  </w:pPr>
                  <w:r>
                    <w:rPr>
                      <w:rFonts w:hint="eastAsia"/>
                      <w:color w:val="auto"/>
                      <w:lang w:val="en-US" w:eastAsia="zh-CN"/>
                    </w:rPr>
                    <w:t>段家营村</w:t>
                  </w:r>
                </w:p>
              </w:tc>
              <w:tc>
                <w:tcPr>
                  <w:tcW w:w="1727" w:type="pc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氨</w:t>
                  </w:r>
                </w:p>
              </w:tc>
              <w:tc>
                <w:tcPr>
                  <w:tcW w:w="1306" w:type="pct"/>
                  <w:tcBorders>
                    <w:tl2br w:val="nil"/>
                    <w:tr2bl w:val="nil"/>
                  </w:tcBorders>
                  <w:vAlign w:val="center"/>
                </w:tcPr>
                <w:p>
                  <w:pPr>
                    <w:pStyle w:val="39"/>
                    <w:rPr>
                      <w:rFonts w:hint="eastAsia"/>
                      <w:color w:val="auto"/>
                      <w:lang w:val="en-US" w:eastAsia="zh-CN"/>
                    </w:rPr>
                  </w:pPr>
                  <w:r>
                    <w:rPr>
                      <w:rFonts w:hint="eastAsia"/>
                      <w:color w:val="auto"/>
                      <w:lang w:val="en-US" w:eastAsia="zh-CN"/>
                    </w:rPr>
                    <w:t>东北</w:t>
                  </w:r>
                </w:p>
              </w:tc>
              <w:tc>
                <w:tcPr>
                  <w:tcW w:w="1036" w:type="pct"/>
                  <w:tcBorders>
                    <w:tl2br w:val="nil"/>
                    <w:tr2bl w:val="nil"/>
                  </w:tcBorders>
                  <w:vAlign w:val="center"/>
                </w:tcPr>
                <w:p>
                  <w:pPr>
                    <w:pStyle w:val="39"/>
                    <w:rPr>
                      <w:color w:val="auto"/>
                      <w:lang w:val="en-US" w:eastAsia="zh-CN"/>
                    </w:rPr>
                  </w:pPr>
                  <w:r>
                    <w:rPr>
                      <w:rFonts w:hint="eastAsia"/>
                      <w:color w:val="auto"/>
                      <w:lang w:val="en-US" w:eastAsia="zh-CN"/>
                    </w:rPr>
                    <w:t>3700m</w:t>
                  </w:r>
                </w:p>
              </w:tc>
            </w:tr>
          </w:tbl>
          <w:p>
            <w:pPr>
              <w:wordWrap w:val="0"/>
              <w:topLinePunct/>
              <w:spacing w:line="480" w:lineRule="exact"/>
              <w:jc w:val="left"/>
              <w:rPr>
                <w:color w:val="auto"/>
              </w:rPr>
            </w:pPr>
            <w:r>
              <w:rPr>
                <w:rFonts w:hint="eastAsia"/>
                <w:color w:val="auto"/>
              </w:rPr>
              <w:t>3）</w:t>
            </w:r>
            <w:r>
              <w:rPr>
                <w:color w:val="auto"/>
              </w:rPr>
              <w:t>监测</w:t>
            </w:r>
            <w:r>
              <w:rPr>
                <w:rFonts w:hint="eastAsia"/>
                <w:color w:val="auto"/>
              </w:rPr>
              <w:t>因子</w:t>
            </w:r>
            <w:r>
              <w:rPr>
                <w:color w:val="auto"/>
              </w:rPr>
              <w:t xml:space="preserve">与频次 </w:t>
            </w:r>
          </w:p>
          <w:p>
            <w:pPr>
              <w:pStyle w:val="40"/>
              <w:rPr>
                <w:color w:val="auto"/>
              </w:rPr>
            </w:pPr>
            <w:r>
              <w:rPr>
                <w:color w:val="auto"/>
              </w:rPr>
              <w:t>表3-</w:t>
            </w:r>
            <w:r>
              <w:rPr>
                <w:rFonts w:hint="eastAsia"/>
                <w:color w:val="auto"/>
              </w:rPr>
              <w:t xml:space="preserve">3   </w:t>
            </w:r>
            <w:r>
              <w:rPr>
                <w:color w:val="auto"/>
              </w:rPr>
              <w:t>项目环境空气监测点位、监测因子及监测频次</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87"/>
              <w:gridCol w:w="1266"/>
              <w:gridCol w:w="6009"/>
            </w:tblGrid>
            <w:tr>
              <w:trPr>
                <w:trHeight w:val="23"/>
              </w:trPr>
              <w:tc>
                <w:tcPr>
                  <w:tcW w:w="650" w:type="pct"/>
                  <w:vAlign w:val="center"/>
                </w:tcPr>
                <w:p>
                  <w:pPr>
                    <w:pStyle w:val="39"/>
                    <w:rPr>
                      <w:color w:val="auto"/>
                    </w:rPr>
                  </w:pPr>
                  <w:r>
                    <w:rPr>
                      <w:color w:val="auto"/>
                    </w:rPr>
                    <w:t>采样点位</w:t>
                  </w:r>
                </w:p>
              </w:tc>
              <w:tc>
                <w:tcPr>
                  <w:tcW w:w="757" w:type="pct"/>
                  <w:vAlign w:val="center"/>
                </w:tcPr>
                <w:p>
                  <w:pPr>
                    <w:pStyle w:val="39"/>
                    <w:rPr>
                      <w:color w:val="auto"/>
                    </w:rPr>
                  </w:pPr>
                  <w:r>
                    <w:rPr>
                      <w:color w:val="auto"/>
                    </w:rPr>
                    <w:t>检测因子</w:t>
                  </w:r>
                </w:p>
              </w:tc>
              <w:tc>
                <w:tcPr>
                  <w:tcW w:w="3592" w:type="pct"/>
                  <w:vAlign w:val="center"/>
                </w:tcPr>
                <w:p>
                  <w:pPr>
                    <w:pStyle w:val="39"/>
                    <w:rPr>
                      <w:color w:val="auto"/>
                    </w:rPr>
                  </w:pPr>
                  <w:r>
                    <w:rPr>
                      <w:color w:val="auto"/>
                    </w:rPr>
                    <w:t>检测频次</w:t>
                  </w:r>
                </w:p>
              </w:tc>
            </w:tr>
            <w:tr>
              <w:trPr>
                <w:trHeight w:val="23"/>
              </w:trPr>
              <w:tc>
                <w:tcPr>
                  <w:tcW w:w="650" w:type="pct"/>
                  <w:vMerge w:val="restart"/>
                  <w:vAlign w:val="center"/>
                </w:tcPr>
                <w:p>
                  <w:pPr>
                    <w:pStyle w:val="39"/>
                    <w:rPr>
                      <w:color w:val="auto"/>
                    </w:rPr>
                  </w:pPr>
                  <w:r>
                    <w:rPr>
                      <w:rFonts w:hint="eastAsia"/>
                      <w:color w:val="auto"/>
                      <w:lang w:val="en-US" w:eastAsia="zh-CN"/>
                    </w:rPr>
                    <w:t>天地锦绣华庭</w:t>
                  </w:r>
                </w:p>
              </w:tc>
              <w:tc>
                <w:tcPr>
                  <w:tcW w:w="757" w:type="pct"/>
                  <w:tcBorders>
                    <w:left w:val="single" w:sz="4" w:space="0" w:color="auto"/>
                  </w:tcBorders>
                  <w:vAlign w:val="center"/>
                </w:tcPr>
                <w:p>
                  <w:pPr>
                    <w:pStyle w:val="39"/>
                    <w:rPr>
                      <w:color w:val="auto"/>
                    </w:rPr>
                  </w:pPr>
                  <w:r>
                    <w:rPr>
                      <w:rFonts w:hint="eastAsia"/>
                      <w:color w:val="auto"/>
                    </w:rPr>
                    <w:t>TSP</w:t>
                  </w:r>
                </w:p>
              </w:tc>
              <w:tc>
                <w:tcPr>
                  <w:tcW w:w="3592" w:type="pct"/>
                  <w:tcBorders>
                    <w:left w:val="single" w:sz="4" w:space="0" w:color="auto"/>
                  </w:tcBorders>
                  <w:vAlign w:val="center"/>
                </w:tcPr>
                <w:p>
                  <w:pPr>
                    <w:pStyle w:val="39"/>
                    <w:rPr>
                      <w:color w:val="auto"/>
                    </w:rPr>
                  </w:pPr>
                  <w:r>
                    <w:rPr>
                      <w:rFonts w:hint="eastAsia"/>
                      <w:color w:val="auto"/>
                    </w:rPr>
                    <w:t>每天采样24小时，连续检测</w:t>
                  </w:r>
                  <w:r>
                    <w:rPr>
                      <w:rFonts w:hint="eastAsia"/>
                      <w:color w:val="auto"/>
                      <w:lang w:val="en-US" w:eastAsia="zh-CN"/>
                    </w:rPr>
                    <w:t>3</w:t>
                  </w:r>
                  <w:r>
                    <w:rPr>
                      <w:rFonts w:hint="eastAsia"/>
                      <w:color w:val="auto"/>
                    </w:rPr>
                    <w:t>天</w:t>
                  </w:r>
                </w:p>
              </w:tc>
            </w:tr>
            <w:tr>
              <w:trPr>
                <w:trHeight w:val="23"/>
              </w:trPr>
              <w:tc>
                <w:tcPr>
                  <w:tcW w:w="650" w:type="pct"/>
                  <w:vMerge/>
                  <w:vAlign w:val="center"/>
                </w:tcPr>
                <w:p/>
              </w:tc>
              <w:tc>
                <w:tcPr>
                  <w:tcW w:w="757" w:type="pct"/>
                  <w:tcBorders>
                    <w:left w:val="single" w:sz="4" w:space="0" w:color="auto"/>
                  </w:tcBorders>
                  <w:vAlign w:val="center"/>
                </w:tcPr>
                <w:p>
                  <w:pPr>
                    <w:pStyle w:val="39"/>
                    <w:rPr>
                      <w:color w:val="auto"/>
                    </w:rPr>
                  </w:pPr>
                  <w:r>
                    <w:rPr>
                      <w:rFonts w:hint="eastAsia"/>
                      <w:color w:val="auto"/>
                      <w:lang w:val="en-US" w:eastAsia="zh-CN"/>
                    </w:rPr>
                    <w:t>氯化氢</w:t>
                  </w:r>
                </w:p>
              </w:tc>
              <w:tc>
                <w:tcPr>
                  <w:tcW w:w="3592" w:type="pct"/>
                  <w:tcBorders>
                    <w:left w:val="single" w:sz="4" w:space="0" w:color="auto"/>
                  </w:tcBorders>
                  <w:vAlign w:val="center"/>
                </w:tcPr>
                <w:p>
                  <w:pPr>
                    <w:pStyle w:val="39"/>
                    <w:rPr>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r>
              <w:trPr>
                <w:trHeight w:val="23"/>
              </w:trPr>
              <w:tc>
                <w:tcPr>
                  <w:tcW w:w="650" w:type="pct"/>
                  <w:vMerge/>
                  <w:vAlign w:val="center"/>
                </w:tcPr>
                <w:p/>
              </w:tc>
              <w:tc>
                <w:tcPr>
                  <w:tcW w:w="757" w:type="pc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硫酸雾</w:t>
                  </w:r>
                </w:p>
              </w:tc>
              <w:tc>
                <w:tcPr>
                  <w:tcW w:w="3592" w:type="pct"/>
                  <w:tcBorders>
                    <w:left w:val="single" w:sz="4" w:space="0" w:color="auto"/>
                  </w:tcBorders>
                  <w:vAlign w:val="center"/>
                </w:tcPr>
                <w:p>
                  <w:pPr>
                    <w:pStyle w:val="39"/>
                    <w:rPr>
                      <w:rFonts w:hint="eastAsia"/>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r>
              <w:trPr>
                <w:trHeight w:val="23"/>
              </w:trPr>
              <w:tc>
                <w:tcPr>
                  <w:tcW w:w="650" w:type="pct"/>
                  <w:vMerge/>
                  <w:vAlign w:val="center"/>
                </w:tcPr>
                <w:p/>
              </w:tc>
              <w:tc>
                <w:tcPr>
                  <w:tcW w:w="757" w:type="pct"/>
                  <w:tcBorders>
                    <w:left w:val="single" w:sz="4" w:space="0" w:color="auto"/>
                  </w:tcBorders>
                  <w:vAlign w:val="center"/>
                </w:tcPr>
                <w:p>
                  <w:pPr>
                    <w:pStyle w:val="39"/>
                    <w:rPr>
                      <w:color w:val="auto"/>
                      <w:lang w:val="en-US" w:eastAsia="zh-CN"/>
                    </w:rPr>
                  </w:pPr>
                  <w:r>
                    <w:rPr>
                      <w:rFonts w:hint="eastAsia"/>
                      <w:color w:val="auto"/>
                      <w:lang w:val="en-US" w:eastAsia="zh-CN"/>
                    </w:rPr>
                    <w:t>非甲烷总烃</w:t>
                  </w:r>
                </w:p>
              </w:tc>
              <w:tc>
                <w:tcPr>
                  <w:tcW w:w="3592" w:type="pct"/>
                  <w:tcBorders>
                    <w:left w:val="single" w:sz="4" w:space="0" w:color="auto"/>
                  </w:tcBorders>
                  <w:vAlign w:val="center"/>
                </w:tcPr>
                <w:p>
                  <w:pPr>
                    <w:pStyle w:val="39"/>
                    <w:rPr>
                      <w:rFonts w:hint="eastAsia"/>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r>
              <w:trPr>
                <w:trHeight w:val="23"/>
              </w:trPr>
              <w:tc>
                <w:tcPr>
                  <w:tcW w:w="650" w:type="pct"/>
                  <w:vMerge w:val="restart"/>
                  <w:vAlign w:val="center"/>
                </w:tcPr>
                <w:p>
                  <w:pPr>
                    <w:pStyle w:val="39"/>
                    <w:rPr>
                      <w:color w:val="auto"/>
                    </w:rPr>
                  </w:pPr>
                  <w:r>
                    <w:rPr>
                      <w:rFonts w:hint="eastAsia"/>
                      <w:color w:val="auto"/>
                      <w:lang w:val="en-US" w:eastAsia="zh-CN"/>
                    </w:rPr>
                    <w:t>窦妪村</w:t>
                  </w:r>
                </w:p>
              </w:tc>
              <w:tc>
                <w:tcPr>
                  <w:tcW w:w="757" w:type="pct"/>
                  <w:tcBorders>
                    <w:left w:val="single" w:sz="4" w:space="0" w:color="auto"/>
                  </w:tcBorders>
                  <w:vAlign w:val="center"/>
                </w:tcPr>
                <w:p>
                  <w:pPr>
                    <w:pStyle w:val="39"/>
                    <w:rPr>
                      <w:rFonts w:hint="eastAsia"/>
                      <w:color w:val="auto"/>
                    </w:rPr>
                  </w:pPr>
                  <w:r>
                    <w:rPr>
                      <w:rFonts w:hint="eastAsia"/>
                      <w:color w:val="auto"/>
                      <w:lang w:val="en-US" w:eastAsia="zh-CN"/>
                    </w:rPr>
                    <w:t>丙酮</w:t>
                  </w:r>
                </w:p>
              </w:tc>
              <w:tc>
                <w:tcPr>
                  <w:tcW w:w="3592" w:type="pct"/>
                  <w:tcBorders>
                    <w:left w:val="single" w:sz="4" w:space="0" w:color="auto"/>
                  </w:tcBorders>
                  <w:vAlign w:val="center"/>
                </w:tcPr>
                <w:p>
                  <w:pPr>
                    <w:pStyle w:val="39"/>
                    <w:rPr>
                      <w:rFonts w:hint="eastAsia"/>
                      <w:color w:val="auto"/>
                    </w:rPr>
                  </w:pPr>
                  <w:r>
                    <w:rPr>
                      <w:rFonts w:hint="eastAsia"/>
                      <w:color w:val="auto"/>
                    </w:rPr>
                    <w:t>每天4个时间段采样，每个时间段为1小时，连续检测</w:t>
                  </w:r>
                  <w:r>
                    <w:rPr>
                      <w:rFonts w:hint="eastAsia"/>
                      <w:color w:val="auto"/>
                      <w:lang w:val="en-US" w:eastAsia="zh-CN"/>
                    </w:rPr>
                    <w:t>7</w:t>
                  </w:r>
                  <w:r>
                    <w:rPr>
                      <w:rFonts w:hint="eastAsia"/>
                      <w:color w:val="auto"/>
                    </w:rPr>
                    <w:t>天</w:t>
                  </w:r>
                </w:p>
              </w:tc>
            </w:tr>
            <w:tr>
              <w:trPr>
                <w:trHeight w:val="23"/>
              </w:trPr>
              <w:tc>
                <w:tcPr>
                  <w:tcW w:w="650" w:type="pct"/>
                  <w:vMerge/>
                  <w:vAlign w:val="center"/>
                </w:tcPr>
                <w:p/>
              </w:tc>
              <w:tc>
                <w:tcPr>
                  <w:tcW w:w="757" w:type="pct"/>
                  <w:tcBorders>
                    <w:left w:val="single" w:sz="4" w:space="0" w:color="auto"/>
                  </w:tcBorders>
                  <w:vAlign w:val="center"/>
                </w:tcPr>
                <w:p>
                  <w:pPr>
                    <w:pStyle w:val="39"/>
                    <w:rPr>
                      <w:color w:val="auto"/>
                      <w:lang w:val="en-US" w:eastAsia="zh-CN"/>
                    </w:rPr>
                  </w:pPr>
                  <w:r>
                    <w:rPr>
                      <w:rFonts w:hint="eastAsia"/>
                      <w:color w:val="auto"/>
                      <w:lang w:val="en-US" w:eastAsia="zh-CN"/>
                    </w:rPr>
                    <w:t>甲醛</w:t>
                  </w:r>
                </w:p>
              </w:tc>
              <w:tc>
                <w:tcPr>
                  <w:tcW w:w="3592" w:type="pct"/>
                  <w:tcBorders>
                    <w:left w:val="single" w:sz="4" w:space="0" w:color="auto"/>
                  </w:tcBorders>
                  <w:vAlign w:val="center"/>
                </w:tcPr>
                <w:p>
                  <w:pPr>
                    <w:pStyle w:val="39"/>
                    <w:rPr>
                      <w:rFonts w:hint="eastAsia"/>
                      <w:color w:val="auto"/>
                    </w:rPr>
                  </w:pPr>
                  <w:r>
                    <w:rPr>
                      <w:rFonts w:hint="eastAsia"/>
                      <w:color w:val="auto"/>
                    </w:rPr>
                    <w:t>每天4个时间段采样，每个时间段为1小时，连续检测</w:t>
                  </w:r>
                  <w:r>
                    <w:rPr>
                      <w:rFonts w:hint="eastAsia"/>
                      <w:color w:val="auto"/>
                      <w:lang w:val="en-US" w:eastAsia="zh-CN"/>
                    </w:rPr>
                    <w:t>7</w:t>
                  </w:r>
                  <w:r>
                    <w:rPr>
                      <w:rFonts w:hint="eastAsia"/>
                      <w:color w:val="auto"/>
                    </w:rPr>
                    <w:t>天</w:t>
                  </w:r>
                </w:p>
              </w:tc>
            </w:tr>
            <w:tr>
              <w:trPr>
                <w:trHeight w:val="23"/>
              </w:trPr>
              <w:tc>
                <w:tcPr>
                  <w:tcW w:w="650" w:type="pct"/>
                  <w:vAlign w:val="center"/>
                </w:tcPr>
                <w:p>
                  <w:pPr>
                    <w:pStyle w:val="39"/>
                    <w:rPr>
                      <w:color w:val="auto"/>
                    </w:rPr>
                  </w:pPr>
                  <w:r>
                    <w:rPr>
                      <w:rFonts w:hint="eastAsia"/>
                      <w:color w:val="auto"/>
                      <w:lang w:val="en-US" w:eastAsia="zh-CN"/>
                    </w:rPr>
                    <w:t>段家营村</w:t>
                  </w:r>
                </w:p>
              </w:tc>
              <w:tc>
                <w:tcPr>
                  <w:tcW w:w="757" w:type="pc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氨</w:t>
                  </w:r>
                </w:p>
              </w:tc>
              <w:tc>
                <w:tcPr>
                  <w:tcW w:w="3592" w:type="pct"/>
                  <w:tcBorders>
                    <w:left w:val="single" w:sz="4" w:space="0" w:color="auto"/>
                  </w:tcBorders>
                  <w:vAlign w:val="center"/>
                </w:tcPr>
                <w:p>
                  <w:pPr>
                    <w:pStyle w:val="39"/>
                    <w:rPr>
                      <w:rFonts w:hint="eastAsia"/>
                      <w:color w:val="auto"/>
                    </w:rPr>
                  </w:pPr>
                  <w:r>
                    <w:rPr>
                      <w:rFonts w:hint="eastAsia"/>
                      <w:color w:val="auto"/>
                    </w:rPr>
                    <w:t>每天4个时间段采样，每个时间段为1小时，连续检测</w:t>
                  </w:r>
                  <w:r>
                    <w:rPr>
                      <w:rFonts w:hint="eastAsia"/>
                      <w:color w:val="auto"/>
                      <w:lang w:val="en-US" w:eastAsia="zh-CN"/>
                    </w:rPr>
                    <w:t>3</w:t>
                  </w:r>
                  <w:r>
                    <w:rPr>
                      <w:rFonts w:hint="eastAsia"/>
                      <w:color w:val="auto"/>
                    </w:rPr>
                    <w:t>天</w:t>
                  </w:r>
                </w:p>
              </w:tc>
            </w:tr>
          </w:tbl>
          <w:p>
            <w:pPr>
              <w:wordWrap w:val="0"/>
              <w:topLinePunct/>
              <w:spacing w:line="480" w:lineRule="exact"/>
              <w:jc w:val="left"/>
              <w:rPr>
                <w:color w:val="auto"/>
              </w:rPr>
            </w:pPr>
            <w:r>
              <w:rPr>
                <w:rFonts w:hint="eastAsia"/>
                <w:color w:val="auto"/>
              </w:rPr>
              <w:t>4）</w:t>
            </w:r>
            <w:r>
              <w:rPr>
                <w:color w:val="auto"/>
              </w:rPr>
              <w:t>环境空气质量现状评价</w:t>
            </w:r>
          </w:p>
          <w:p>
            <w:pPr>
              <w:wordWrap w:val="0"/>
              <w:topLinePunct/>
              <w:spacing w:line="480" w:lineRule="exact"/>
              <w:jc w:val="left"/>
              <w:rPr>
                <w:color w:val="auto"/>
              </w:rPr>
            </w:pPr>
            <w:r>
              <w:rPr>
                <w:color w:val="auto"/>
              </w:rPr>
              <w:t>①评价因子：</w:t>
            </w:r>
            <w:r>
              <w:rPr>
                <w:rFonts w:hint="eastAsia"/>
                <w:color w:val="auto"/>
              </w:rPr>
              <w:t>TSP</w:t>
            </w:r>
            <w:r>
              <w:rPr>
                <w:rFonts w:hint="eastAsia"/>
                <w:color w:val="auto"/>
                <w:lang w:eastAsia="zh-CN"/>
              </w:rPr>
              <w:t>、</w:t>
            </w:r>
            <w:r>
              <w:rPr>
                <w:rFonts w:hint="eastAsia"/>
                <w:color w:val="auto"/>
                <w:lang w:val="en-US" w:eastAsia="zh-CN"/>
              </w:rPr>
              <w:t>氨、氯化氢、硫酸雾、丙酮、甲醛、非甲烷总烃</w:t>
            </w:r>
            <w:r>
              <w:rPr>
                <w:color w:val="auto"/>
              </w:rPr>
              <w:t>；</w:t>
            </w:r>
          </w:p>
          <w:p>
            <w:pPr>
              <w:wordWrap w:val="0"/>
              <w:topLinePunct/>
              <w:spacing w:line="480" w:lineRule="exact"/>
              <w:jc w:val="left"/>
              <w:rPr>
                <w:color w:val="auto"/>
                <w:lang w:val="en-US"/>
              </w:rPr>
            </w:pPr>
            <w:r>
              <w:rPr>
                <w:color w:val="auto"/>
              </w:rPr>
              <w:t>②评价标准：</w:t>
            </w:r>
            <w:r>
              <w:rPr>
                <w:rFonts w:hint="eastAsia"/>
                <w:color w:val="auto"/>
                <w:lang w:val="en-US" w:eastAsia="zh-CN"/>
              </w:rPr>
              <w:t>TSP执行《环境空气质量标准》（GB3095-2026）表2环境空气污染物其他项目浓度限值要求；氨、氯化氢、硫酸雾、丙酮、甲醛执行《环境影响评价技术导则 大气环境》（HJ2.2-2018）中附录D标准；非甲烷总烃执行《环境空气质量非甲烷总烃限值》（DB13/1577-2012）表1二级限值要求。</w:t>
            </w:r>
          </w:p>
          <w:p>
            <w:pPr>
              <w:wordWrap w:val="0"/>
              <w:topLinePunct/>
              <w:spacing w:line="480" w:lineRule="exact"/>
              <w:jc w:val="left"/>
              <w:rPr>
                <w:color w:val="auto"/>
              </w:rPr>
            </w:pPr>
            <w:r>
              <w:rPr>
                <w:color w:val="auto"/>
              </w:rPr>
              <w:t>③评价方法：采用单因子污染指数法，计算模式如下：</w:t>
            </w:r>
          </w:p>
          <w:p>
            <w:pPr>
              <w:wordWrap w:val="0"/>
              <w:topLinePunct/>
              <w:spacing w:line="480" w:lineRule="exact"/>
              <w:jc w:val="center"/>
              <w:rPr>
                <w:color w:val="auto"/>
              </w:rPr>
            </w:pPr>
            <w:r>
              <w:rPr>
                <w:color w:val="auto"/>
              </w:rPr>
              <w:t>P</w:t>
            </w:r>
            <w:r>
              <w:rPr>
                <w:color w:val="auto"/>
                <w:vertAlign w:val="subscript"/>
              </w:rPr>
              <w:t>i</w:t>
            </w:r>
            <w:r>
              <w:rPr>
                <w:color w:val="auto"/>
              </w:rPr>
              <w:t>＝C</w:t>
            </w:r>
            <w:r>
              <w:rPr>
                <w:color w:val="auto"/>
                <w:vertAlign w:val="subscript"/>
              </w:rPr>
              <w:t>i</w:t>
            </w:r>
            <w:r>
              <w:rPr>
                <w:color w:val="auto"/>
              </w:rPr>
              <w:t>/C</w:t>
            </w:r>
            <w:r>
              <w:rPr>
                <w:color w:val="auto"/>
                <w:vertAlign w:val="subscript"/>
              </w:rPr>
              <w:t>0i</w:t>
            </w:r>
          </w:p>
          <w:p>
            <w:pPr>
              <w:wordWrap w:val="0"/>
              <w:topLinePunct/>
              <w:spacing w:line="480" w:lineRule="exact"/>
              <w:rPr>
                <w:color w:val="auto"/>
              </w:rPr>
            </w:pPr>
            <w:r>
              <w:rPr>
                <w:color w:val="auto"/>
              </w:rPr>
              <w:t>式中：</w:t>
            </w:r>
          </w:p>
          <w:p>
            <w:pPr>
              <w:wordWrap w:val="0"/>
              <w:topLinePunct/>
              <w:spacing w:line="480" w:lineRule="exact"/>
              <w:rPr>
                <w:color w:val="auto"/>
              </w:rPr>
            </w:pPr>
            <w:r>
              <w:rPr>
                <w:color w:val="auto"/>
              </w:rPr>
              <w:t>P</w:t>
            </w:r>
            <w:r>
              <w:rPr>
                <w:color w:val="auto"/>
                <w:vertAlign w:val="subscript"/>
              </w:rPr>
              <w:t>i</w:t>
            </w:r>
            <w:r>
              <w:rPr>
                <w:color w:val="auto"/>
              </w:rPr>
              <w:t>—i 污染物污染指数；</w:t>
            </w:r>
          </w:p>
          <w:p>
            <w:pPr>
              <w:wordWrap w:val="0"/>
              <w:topLinePunct/>
              <w:spacing w:line="480" w:lineRule="exact"/>
              <w:rPr>
                <w:color w:val="auto"/>
              </w:rPr>
            </w:pPr>
            <w:r>
              <w:rPr>
                <w:color w:val="auto"/>
              </w:rPr>
              <w:t>C</w:t>
            </w:r>
            <w:r>
              <w:rPr>
                <w:color w:val="auto"/>
                <w:vertAlign w:val="subscript"/>
              </w:rPr>
              <w:t>i</w:t>
            </w:r>
            <w:r>
              <w:rPr>
                <w:color w:val="auto"/>
              </w:rPr>
              <w:t>—i 污染物现状监测浓度，mg/m</w:t>
            </w:r>
            <w:r>
              <w:rPr>
                <w:color w:val="auto"/>
                <w:vertAlign w:val="superscript"/>
              </w:rPr>
              <w:t>3</w:t>
            </w:r>
            <w:r>
              <w:rPr>
                <w:color w:val="auto"/>
              </w:rPr>
              <w:t>；</w:t>
            </w:r>
          </w:p>
          <w:p>
            <w:pPr>
              <w:wordWrap w:val="0"/>
              <w:topLinePunct/>
              <w:spacing w:line="480" w:lineRule="exact"/>
              <w:rPr>
                <w:color w:val="auto"/>
              </w:rPr>
            </w:pPr>
            <w:r>
              <w:rPr>
                <w:color w:val="auto"/>
              </w:rPr>
              <w:t>C</w:t>
            </w:r>
            <w:r>
              <w:rPr>
                <w:color w:val="auto"/>
                <w:vertAlign w:val="subscript"/>
              </w:rPr>
              <w:t>oi</w:t>
            </w:r>
            <w:r>
              <w:rPr>
                <w:color w:val="auto"/>
              </w:rPr>
              <w:t>—i 污染物评价标准，mg/m</w:t>
            </w:r>
            <w:r>
              <w:rPr>
                <w:color w:val="auto"/>
                <w:vertAlign w:val="superscript"/>
              </w:rPr>
              <w:t>3</w:t>
            </w:r>
            <w:r>
              <w:rPr>
                <w:color w:val="auto"/>
              </w:rPr>
              <w:t>。</w:t>
            </w:r>
          </w:p>
          <w:p>
            <w:pPr>
              <w:wordWrap w:val="0"/>
              <w:topLinePunct/>
              <w:spacing w:line="480" w:lineRule="exact"/>
              <w:jc w:val="left"/>
              <w:rPr>
                <w:color w:val="auto"/>
              </w:rPr>
            </w:pPr>
            <w:r>
              <w:rPr>
                <w:rFonts w:hint="eastAsia"/>
                <w:color w:val="auto"/>
              </w:rPr>
              <w:t>5）</w:t>
            </w:r>
            <w:r>
              <w:rPr>
                <w:color w:val="auto"/>
              </w:rPr>
              <w:t>监测</w:t>
            </w:r>
            <w:r>
              <w:rPr>
                <w:rFonts w:hint="eastAsia"/>
                <w:color w:val="auto"/>
              </w:rPr>
              <w:t>及评价</w:t>
            </w:r>
            <w:r>
              <w:rPr>
                <w:color w:val="auto"/>
              </w:rPr>
              <w:t>结果</w:t>
            </w:r>
          </w:p>
          <w:p>
            <w:pPr>
              <w:wordWrap w:val="0"/>
              <w:topLinePunct/>
              <w:spacing w:line="480" w:lineRule="exact"/>
              <w:jc w:val="left"/>
              <w:rPr>
                <w:color w:val="auto"/>
              </w:rPr>
            </w:pPr>
            <w:r>
              <w:rPr>
                <w:color w:val="auto"/>
              </w:rPr>
              <w:t>大气环境质量现状监测统计结果见表3-</w:t>
            </w:r>
            <w:r>
              <w:rPr>
                <w:rFonts w:hint="eastAsia"/>
                <w:color w:val="auto"/>
              </w:rPr>
              <w:t>4</w:t>
            </w:r>
            <w:r>
              <w:rPr>
                <w:color w:val="auto"/>
              </w:rPr>
              <w:t>。</w:t>
            </w:r>
          </w:p>
          <w:p>
            <w:pPr>
              <w:pStyle w:val="40"/>
              <w:rPr>
                <w:color w:val="auto"/>
                <w:highlight w:val="none"/>
              </w:rPr>
            </w:pPr>
            <w:r>
              <w:rPr>
                <w:color w:val="auto"/>
                <w:highlight w:val="none"/>
              </w:rPr>
              <w:t>表3-</w:t>
            </w:r>
            <w:r>
              <w:rPr>
                <w:rFonts w:hint="eastAsia"/>
                <w:color w:val="auto"/>
                <w:highlight w:val="none"/>
              </w:rPr>
              <w:t>4</w:t>
            </w:r>
            <w:r>
              <w:rPr>
                <w:color w:val="auto"/>
                <w:highlight w:val="none"/>
              </w:rPr>
              <w:t xml:space="preserve">  大气环境质量现状监测结果分析</w:t>
            </w:r>
          </w:p>
          <w:tbl>
            <w:tblPr>
              <w:jc w:val="left"/>
              <w:tblInd w:w="0" w:type="dxa"/>
              <w:tblW w:w="499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Look w:val="0600" w:firstRow="0" w:lastRow="0" w:firstColumn="0" w:lastColumn="0" w:noHBand="1" w:noVBand="1"/>
            </w:tblPr>
            <w:tblGrid>
              <w:gridCol w:w="2456"/>
              <w:gridCol w:w="1764"/>
              <w:gridCol w:w="2720"/>
              <w:gridCol w:w="1410"/>
            </w:tblGrid>
            <w:tr>
              <w:trPr>
                <w:trHeight w:val="23"/>
              </w:trPr>
              <w:tc>
                <w:tcPr>
                  <w:tcW w:w="1470" w:type="pct"/>
                  <w:tcBorders>
                    <w:tl2br w:val="nil"/>
                    <w:tr2bl w:val="nil"/>
                  </w:tcBorders>
                  <w:vAlign w:val="center"/>
                </w:tcPr>
                <w:p>
                  <w:pPr>
                    <w:pStyle w:val="39"/>
                    <w:rPr>
                      <w:color w:val="auto"/>
                      <w:highlight w:val="none"/>
                    </w:rPr>
                  </w:pPr>
                  <w:r>
                    <w:rPr>
                      <w:rFonts w:hint="eastAsia"/>
                      <w:color w:val="auto"/>
                      <w:highlight w:val="none"/>
                    </w:rPr>
                    <w:t>因子</w:t>
                  </w:r>
                </w:p>
              </w:tc>
              <w:tc>
                <w:tcPr>
                  <w:tcW w:w="1056" w:type="pct"/>
                  <w:tcBorders>
                    <w:tl2br w:val="nil"/>
                    <w:tr2bl w:val="nil"/>
                  </w:tcBorders>
                  <w:vAlign w:val="center"/>
                </w:tcPr>
                <w:p>
                  <w:pPr>
                    <w:pStyle w:val="39"/>
                    <w:rPr>
                      <w:color w:val="auto"/>
                      <w:highlight w:val="none"/>
                    </w:rPr>
                  </w:pPr>
                  <w:r>
                    <w:rPr>
                      <w:color w:val="auto"/>
                      <w:highlight w:val="none"/>
                    </w:rPr>
                    <w:t>评价标准(</w:t>
                  </w:r>
                  <w:r>
                    <w:rPr>
                      <w:rFonts w:hint="eastAsia"/>
                      <w:color w:val="auto"/>
                      <w:highlight w:val="none"/>
                    </w:rPr>
                    <w:t>m</w:t>
                  </w:r>
                  <w:r>
                    <w:rPr>
                      <w:color w:val="auto"/>
                      <w:highlight w:val="none"/>
                    </w:rPr>
                    <w:t>g/</w:t>
                  </w:r>
                  <w:r>
                    <w:rPr>
                      <w:rFonts w:hint="eastAsia"/>
                      <w:color w:val="auto"/>
                      <w:highlight w:val="none"/>
                    </w:rPr>
                    <w:t>m³</w:t>
                  </w:r>
                  <w:r>
                    <w:rPr>
                      <w:color w:val="auto"/>
                      <w:highlight w:val="none"/>
                    </w:rPr>
                    <w:t>)</w:t>
                  </w:r>
                </w:p>
              </w:tc>
              <w:tc>
                <w:tcPr>
                  <w:tcW w:w="1628" w:type="pct"/>
                  <w:tcBorders>
                    <w:tl2br w:val="nil"/>
                    <w:tr2bl w:val="nil"/>
                  </w:tcBorders>
                  <w:vAlign w:val="center"/>
                </w:tcPr>
                <w:p>
                  <w:pPr>
                    <w:pStyle w:val="39"/>
                    <w:rPr>
                      <w:color w:val="auto"/>
                      <w:highlight w:val="none"/>
                    </w:rPr>
                  </w:pPr>
                  <w:r>
                    <w:rPr>
                      <w:rFonts w:hint="eastAsia"/>
                      <w:color w:val="auto"/>
                      <w:highlight w:val="none"/>
                    </w:rPr>
                    <w:t>浓度范围(mg/m³)</w:t>
                  </w:r>
                </w:p>
              </w:tc>
              <w:tc>
                <w:tcPr>
                  <w:tcW w:w="844" w:type="pct"/>
                  <w:tcBorders>
                    <w:tl2br w:val="nil"/>
                    <w:tr2bl w:val="nil"/>
                  </w:tcBorders>
                  <w:vAlign w:val="center"/>
                </w:tcPr>
                <w:p>
                  <w:pPr>
                    <w:pStyle w:val="39"/>
                    <w:rPr>
                      <w:rFonts w:eastAsia="宋体" w:hint="eastAsia"/>
                      <w:color w:val="auto"/>
                      <w:lang w:eastAsia="zh-CN"/>
                      <w:highlight w:val="none"/>
                    </w:rPr>
                  </w:pPr>
                  <w:r>
                    <w:rPr>
                      <w:rFonts w:hint="eastAsia"/>
                      <w:color w:val="auto"/>
                      <w:highlight w:val="none"/>
                    </w:rPr>
                    <w:t>超标</w:t>
                  </w:r>
                  <w:r>
                    <w:rPr>
                      <w:rFonts w:hint="eastAsia"/>
                      <w:color w:val="auto"/>
                      <w:lang w:val="en-US" w:eastAsia="zh-CN"/>
                      <w:highlight w:val="none"/>
                    </w:rPr>
                    <w:t>率（%）</w:t>
                  </w:r>
                </w:p>
              </w:tc>
            </w:tr>
            <w:tr>
              <w:trPr>
                <w:trHeight w:val="23"/>
              </w:trPr>
              <w:tc>
                <w:tcPr>
                  <w:tcW w:w="1470" w:type="pct"/>
                  <w:tcBorders>
                    <w:tl2br w:val="nil"/>
                    <w:tr2bl w:val="nil"/>
                  </w:tcBorders>
                  <w:vAlign w:val="center"/>
                </w:tcPr>
                <w:p>
                  <w:pPr>
                    <w:pStyle w:val="39"/>
                    <w:rPr>
                      <w:color w:val="auto"/>
                      <w:highlight w:val="none"/>
                    </w:rPr>
                  </w:pPr>
                  <w:r>
                    <w:rPr>
                      <w:rFonts w:hint="eastAsia"/>
                      <w:color w:val="auto"/>
                      <w:highlight w:val="none"/>
                    </w:rPr>
                    <w:t>TSP</w:t>
                  </w:r>
                </w:p>
              </w:tc>
              <w:tc>
                <w:tcPr>
                  <w:tcW w:w="105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0.3</w:t>
                  </w:r>
                </w:p>
              </w:tc>
              <w:tc>
                <w:tcPr>
                  <w:tcW w:w="1628" w:type="pct"/>
                  <w:tcBorders>
                    <w:tl2br w:val="nil"/>
                    <w:tr2bl w:val="nil"/>
                  </w:tcBorders>
                  <w:vAlign w:val="center"/>
                </w:tcPr>
                <w:p>
                  <w:pPr>
                    <w:pStyle w:val="39"/>
                    <w:rPr>
                      <w:color w:val="auto"/>
                      <w:lang w:val="en-US"/>
                      <w:highlight w:val="none"/>
                    </w:rPr>
                  </w:pPr>
                  <w:r>
                    <w:rPr>
                      <w:rFonts w:hint="eastAsia"/>
                      <w:color w:val="auto"/>
                      <w:lang w:val="en-US" w:eastAsia="zh-CN"/>
                      <w:highlight w:val="none"/>
                    </w:rPr>
                    <w:t>0.306-0.444</w:t>
                  </w:r>
                </w:p>
              </w:tc>
              <w:tc>
                <w:tcPr>
                  <w:tcW w:w="844"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48</w:t>
                  </w:r>
                </w:p>
              </w:tc>
            </w:tr>
            <w:tr>
              <w:trPr>
                <w:trHeight w:val="23"/>
              </w:trPr>
              <w:tc>
                <w:tcPr>
                  <w:tcW w:w="1470"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氨</w:t>
                  </w:r>
                </w:p>
              </w:tc>
              <w:tc>
                <w:tcPr>
                  <w:tcW w:w="105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0.2</w:t>
                  </w:r>
                </w:p>
              </w:tc>
              <w:tc>
                <w:tcPr>
                  <w:tcW w:w="1628"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0.02-0.06</w:t>
                  </w:r>
                </w:p>
              </w:tc>
              <w:tc>
                <w:tcPr>
                  <w:tcW w:w="844"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w:t>
                  </w:r>
                </w:p>
              </w:tc>
            </w:tr>
            <w:tr>
              <w:trPr>
                <w:trHeight w:val="23"/>
              </w:trPr>
              <w:tc>
                <w:tcPr>
                  <w:tcW w:w="1470"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氯化氢</w:t>
                  </w:r>
                </w:p>
              </w:tc>
              <w:tc>
                <w:tcPr>
                  <w:tcW w:w="105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0.05</w:t>
                  </w:r>
                </w:p>
              </w:tc>
              <w:tc>
                <w:tcPr>
                  <w:tcW w:w="162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ND-0.033</w:t>
                  </w:r>
                </w:p>
              </w:tc>
              <w:tc>
                <w:tcPr>
                  <w:tcW w:w="84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r>
            <w:tr>
              <w:trPr>
                <w:trHeight w:val="23"/>
              </w:trPr>
              <w:tc>
                <w:tcPr>
                  <w:tcW w:w="1470"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硫酸雾</w:t>
                  </w:r>
                </w:p>
              </w:tc>
              <w:tc>
                <w:tcPr>
                  <w:tcW w:w="105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0.3</w:t>
                  </w:r>
                </w:p>
              </w:tc>
              <w:tc>
                <w:tcPr>
                  <w:tcW w:w="162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0.053-0.068</w:t>
                  </w:r>
                </w:p>
              </w:tc>
              <w:tc>
                <w:tcPr>
                  <w:tcW w:w="84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r>
            <w:tr>
              <w:trPr>
                <w:trHeight w:val="23"/>
              </w:trPr>
              <w:tc>
                <w:tcPr>
                  <w:tcW w:w="1470" w:type="pct"/>
                  <w:tcBorders>
                    <w:tl2br w:val="nil"/>
                    <w:tr2bl w:val="nil"/>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丙酮</w:t>
                  </w:r>
                </w:p>
              </w:tc>
              <w:tc>
                <w:tcPr>
                  <w:tcW w:w="1056" w:type="pct"/>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0.8</w:t>
                  </w:r>
                </w:p>
              </w:tc>
              <w:tc>
                <w:tcPr>
                  <w:tcW w:w="162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ND</w:t>
                  </w:r>
                </w:p>
              </w:tc>
              <w:tc>
                <w:tcPr>
                  <w:tcW w:w="84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r>
            <w:tr>
              <w:trPr>
                <w:trHeight w:val="23"/>
              </w:trPr>
              <w:tc>
                <w:tcPr>
                  <w:tcW w:w="1470"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甲醛</w:t>
                  </w:r>
                </w:p>
              </w:tc>
              <w:tc>
                <w:tcPr>
                  <w:tcW w:w="1056"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0.05</w:t>
                  </w:r>
                </w:p>
              </w:tc>
              <w:tc>
                <w:tcPr>
                  <w:tcW w:w="162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ND~0.02</w:t>
                  </w:r>
                </w:p>
              </w:tc>
              <w:tc>
                <w:tcPr>
                  <w:tcW w:w="84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r>
            <w:tr>
              <w:trPr>
                <w:trHeight w:val="23"/>
              </w:trPr>
              <w:tc>
                <w:tcPr>
                  <w:tcW w:w="1470"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非甲烷总烃</w:t>
                  </w:r>
                </w:p>
              </w:tc>
              <w:tc>
                <w:tcPr>
                  <w:tcW w:w="1056"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2.0</w:t>
                  </w:r>
                </w:p>
              </w:tc>
              <w:tc>
                <w:tcPr>
                  <w:tcW w:w="1628"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078~0.92</w:t>
                  </w:r>
                </w:p>
              </w:tc>
              <w:tc>
                <w:tcPr>
                  <w:tcW w:w="844" w:type="pct"/>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w:t>
                  </w:r>
                </w:p>
              </w:tc>
            </w:tr>
          </w:tbl>
          <w:p>
            <w:pPr>
              <w:wordWrap w:val="0"/>
              <w:topLinePunct/>
              <w:spacing w:line="480" w:lineRule="exact"/>
              <w:jc w:val="left"/>
              <w:rPr>
                <w:rFonts w:eastAsia="宋体"/>
                <w:color w:val="auto"/>
                <w:lang w:val="en-US" w:eastAsia="zh-CN"/>
              </w:rPr>
            </w:pPr>
            <w:r>
              <w:rPr>
                <w:color w:val="auto"/>
              </w:rPr>
              <w:t>根据评价结果可知，</w:t>
            </w:r>
            <w:r>
              <w:rPr>
                <w:rFonts w:hint="eastAsia"/>
                <w:color w:val="auto"/>
                <w:lang w:val="en-US" w:eastAsia="zh-CN"/>
                <w:highlight w:val="none"/>
              </w:rPr>
              <w:t>氨1小时平均浓度</w:t>
            </w:r>
            <w:r>
              <w:rPr>
                <w:rFonts w:hint="eastAsia"/>
                <w:color w:val="auto"/>
                <w:lang w:val="en-US" w:eastAsia="zh-CN"/>
              </w:rPr>
              <w:t>、氯化氢1小时平均浓度、氯化氢1小时平均浓度、丙酮1小时平均浓度均、甲醛1小时平均浓度均</w:t>
            </w:r>
            <w:r>
              <w:rPr>
                <w:color w:val="auto"/>
              </w:rPr>
              <w:t>满足</w:t>
            </w:r>
            <w:r>
              <w:rPr>
                <w:color w:val="auto"/>
                <w:lang w:val="en-US" w:eastAsia="zh-CN"/>
              </w:rPr>
              <w:t>《环境影响评价技术导则 大气环境》(HJ2.2-2018)附录D其他污染物空气质量浓度参考限值</w:t>
            </w:r>
            <w:r>
              <w:rPr>
                <w:color w:val="auto"/>
              </w:rPr>
              <w:t>；</w:t>
            </w:r>
            <w:r>
              <w:rPr>
                <w:rFonts w:hint="eastAsia"/>
                <w:color w:val="auto"/>
              </w:rPr>
              <w:t>总悬浮颗粒物24小时平均浓度</w:t>
            </w:r>
            <w:r>
              <w:rPr>
                <w:rFonts w:hint="eastAsia"/>
                <w:color w:val="auto"/>
                <w:lang w:val="en-US" w:eastAsia="zh-CN"/>
              </w:rPr>
              <w:t>超过</w:t>
            </w:r>
            <w:r>
              <w:rPr>
                <w:rFonts w:hint="eastAsia"/>
                <w:color w:val="auto"/>
              </w:rPr>
              <w:t>《环境空气质量标准》（</w:t>
            </w:r>
            <w:r>
              <w:rPr>
                <w:rFonts w:hint="eastAsia"/>
                <w:color w:val="auto"/>
                <w:lang w:eastAsia="zh-CN"/>
              </w:rPr>
              <w:t>GB3095-2026</w:t>
            </w:r>
            <w:r>
              <w:rPr>
                <w:rFonts w:hint="eastAsia"/>
                <w:color w:val="auto"/>
              </w:rPr>
              <w:t>）表2环境空气污染物其他项目浓度限值要求</w:t>
            </w:r>
            <w:r>
              <w:rPr>
                <w:rFonts w:hint="eastAsia"/>
                <w:color w:val="auto"/>
                <w:lang w:eastAsia="zh-CN"/>
              </w:rPr>
              <w:t>，项目所在区域</w:t>
            </w:r>
            <w:r>
              <w:rPr>
                <w:rFonts w:hint="eastAsia"/>
                <w:color w:val="auto"/>
                <w:lang w:val="en-US" w:eastAsia="zh-CN"/>
              </w:rPr>
              <w:t>秋冬季</w:t>
            </w:r>
            <w:r>
              <w:rPr>
                <w:rFonts w:hint="eastAsia"/>
                <w:color w:val="auto"/>
                <w:lang w:eastAsia="zh-CN"/>
              </w:rPr>
              <w:t>受石家庄市整体颗粒物超标影响，总悬浮颗粒物超标；</w:t>
            </w:r>
            <w:r>
              <w:rPr>
                <w:rFonts w:hint="eastAsia"/>
                <w:color w:val="auto"/>
                <w:lang w:val="en-US" w:eastAsia="zh-CN"/>
                <w:highlight w:val="none"/>
              </w:rPr>
              <w:t>非甲烷总烃小时值符合《环境空气质量非甲烷总烃限值》（DB13/1577-2012）表1二级限值。</w:t>
            </w:r>
          </w:p>
          <w:p>
            <w:pPr>
              <w:spacing w:line="480" w:lineRule="exact"/>
              <w:rPr>
                <w:b/>
                <w:bCs/>
                <w:color w:val="auto"/>
                <w:kern w:val="0"/>
              </w:rPr>
            </w:pPr>
            <w:r>
              <w:rPr>
                <w:b/>
                <w:bCs/>
                <w:color w:val="auto"/>
                <w:kern w:val="0"/>
              </w:rPr>
              <w:t>2、水环境质量现状</w:t>
            </w:r>
          </w:p>
          <w:p>
            <w:pPr>
              <w:rPr>
                <w:b/>
                <w:bCs/>
                <w:color w:val="auto"/>
                <w:kern w:val="0"/>
              </w:rPr>
            </w:pPr>
            <w:r>
              <w:rPr>
                <w:color w:val="auto"/>
              </w:rPr>
              <w:t>项目</w:t>
            </w:r>
            <w:r>
              <w:rPr>
                <w:rFonts w:hint="eastAsia"/>
                <w:color w:val="auto"/>
                <w:lang w:val="en-US" w:eastAsia="zh-CN"/>
              </w:rPr>
              <w:t>区域内主要河流为</w:t>
            </w:r>
            <w:r>
              <w:rPr>
                <w:color w:val="auto"/>
              </w:rPr>
              <w:t>洨河，</w:t>
            </w:r>
            <w:r>
              <w:rPr>
                <w:rFonts w:hint="eastAsia"/>
                <w:color w:val="auto"/>
              </w:rPr>
              <w:t>根据</w:t>
            </w:r>
            <w:bookmarkStart w:id="1" w:name="_Hlk176793924"/>
            <w:r>
              <w:rPr>
                <w:rFonts w:hint="eastAsia"/>
                <w:color w:val="auto"/>
              </w:rPr>
              <w:t>《202</w:t>
            </w:r>
            <w:r>
              <w:rPr>
                <w:rFonts w:hint="eastAsia"/>
                <w:color w:val="auto"/>
                <w:lang w:val="en-US" w:eastAsia="zh-CN"/>
              </w:rPr>
              <w:t>4</w:t>
            </w:r>
            <w:r>
              <w:rPr>
                <w:rFonts w:hint="eastAsia"/>
                <w:color w:val="auto"/>
              </w:rPr>
              <w:t>年石家庄市生态环境状况公报》</w:t>
            </w:r>
            <w:bookmarkStart w:id="2" w:name="_Hlk176793942"/>
            <w:bookmarkEnd w:id="1"/>
            <w:r>
              <w:rPr>
                <w:color w:val="auto"/>
              </w:rPr>
              <w:t>洨河水质类别为Ⅳ类水体，水质状况轻度污染</w:t>
            </w:r>
            <w:bookmarkEnd w:id="2"/>
            <w:r>
              <w:rPr>
                <w:color w:val="auto"/>
              </w:rPr>
              <w:t>。</w:t>
            </w:r>
          </w:p>
          <w:p>
            <w:pPr>
              <w:rPr>
                <w:b/>
                <w:bCs/>
                <w:color w:val="auto"/>
                <w:kern w:val="0"/>
              </w:rPr>
            </w:pPr>
            <w:r>
              <w:rPr>
                <w:b/>
                <w:bCs/>
                <w:color w:val="auto"/>
                <w:kern w:val="0"/>
              </w:rPr>
              <w:t>3、声环境质量现状</w:t>
            </w:r>
          </w:p>
          <w:p>
            <w:pPr>
              <w:rPr>
                <w:color w:val="auto"/>
                <w:kern w:val="0"/>
              </w:rPr>
            </w:pPr>
            <w:r>
              <w:rPr>
                <w:color w:val="auto"/>
                <w:kern w:val="0"/>
              </w:rPr>
              <w:t>根据现场调查，本项目</w:t>
            </w:r>
            <w:r>
              <w:rPr>
                <w:rFonts w:hint="eastAsia"/>
                <w:color w:val="auto"/>
                <w:kern w:val="0"/>
              </w:rPr>
              <w:t>车间</w:t>
            </w:r>
            <w:r>
              <w:rPr>
                <w:color w:val="auto"/>
                <w:kern w:val="0"/>
              </w:rPr>
              <w:t>外50m范围内不存在声环境保护目标，根据《建设项目环境影响报告表编制技术指南（污染影响类）（试行）》，本项目不需要进行声环境现状监测。</w:t>
            </w:r>
          </w:p>
          <w:p>
            <w:pPr>
              <w:rPr>
                <w:b/>
                <w:bCs/>
                <w:color w:val="auto"/>
                <w:kern w:val="0"/>
              </w:rPr>
            </w:pPr>
            <w:r>
              <w:rPr>
                <w:b/>
                <w:bCs/>
                <w:color w:val="auto"/>
                <w:kern w:val="0"/>
              </w:rPr>
              <w:t>4、生态环境</w:t>
            </w:r>
          </w:p>
          <w:p>
            <w:pPr>
              <w:rPr>
                <w:color w:val="auto"/>
                <w:lang w:val="en-US" w:eastAsia="zh-CN"/>
              </w:rPr>
            </w:pPr>
            <w:r>
              <w:rPr>
                <w:color w:val="auto"/>
                <w:lang w:val="en-US" w:eastAsia="zh-CN"/>
              </w:rPr>
              <w:t>本项目在现有厂区内进行建设，不新增用地，项目评价区域内无自然保护区、文物保护单位、集中式供水水源地和珍稀濒危野生动植物等敏感目标。</w:t>
            </w:r>
          </w:p>
          <w:p>
            <w:pPr>
              <w:rPr>
                <w:color w:val="auto"/>
              </w:rPr>
            </w:pPr>
            <w:r>
              <w:rPr>
                <w:color w:val="auto"/>
                <w:lang w:val="en-US" w:eastAsia="zh-CN"/>
              </w:rPr>
              <w:t>根据《建设项目环境影响报告表编制技术指南（污染影响类）（试行）》，本项目无需进行生态现状调查。</w:t>
            </w:r>
          </w:p>
          <w:p>
            <w:pPr>
              <w:rPr>
                <w:b/>
                <w:bCs/>
                <w:color w:val="auto"/>
                <w:kern w:val="0"/>
              </w:rPr>
            </w:pPr>
            <w:r>
              <w:rPr>
                <w:b/>
                <w:bCs/>
                <w:color w:val="auto"/>
                <w:kern w:val="0"/>
              </w:rPr>
              <w:t>5、地下水、土壤环境</w:t>
            </w:r>
          </w:p>
          <w:p>
            <w:pPr>
              <w:rPr>
                <w:color w:val="auto"/>
              </w:rPr>
            </w:pPr>
            <w:r>
              <w:rPr>
                <w:rFonts w:hint="eastAsia"/>
                <w:color w:val="auto"/>
              </w:rPr>
              <w:t>本项目厂界外500米范围内无地下水集中式饮用水水源和热水、矿泉水、温泉等特殊地下水资源，且不存在地下水</w:t>
            </w:r>
            <w:r>
              <w:rPr>
                <w:rFonts w:hint="eastAsia"/>
                <w:color w:val="auto"/>
                <w:lang w:val="en-US" w:eastAsia="zh-CN"/>
              </w:rPr>
              <w:t>污染</w:t>
            </w:r>
            <w:r>
              <w:rPr>
                <w:rFonts w:hint="eastAsia"/>
                <w:color w:val="auto"/>
              </w:rPr>
              <w:t>途径，因此，本次评价不再开展地下水、土壤调查。</w:t>
            </w:r>
          </w:p>
          <w:p>
            <w:pPr>
              <w:rPr>
                <w:b/>
                <w:bCs/>
                <w:color w:val="auto"/>
                <w:kern w:val="0"/>
              </w:rPr>
            </w:pPr>
            <w:r>
              <w:rPr>
                <w:rFonts w:hint="eastAsia"/>
                <w:b/>
                <w:bCs/>
                <w:color w:val="auto"/>
                <w:kern w:val="0"/>
              </w:rPr>
              <w:t>6、电磁辐射</w:t>
            </w:r>
          </w:p>
          <w:p>
            <w:pPr>
              <w:rPr>
                <w:color w:val="auto"/>
              </w:rPr>
            </w:pPr>
            <w:r>
              <w:rPr>
                <w:rFonts w:hint="eastAsia"/>
                <w:color w:val="auto"/>
              </w:rPr>
              <w:t>本项目不涉及电磁辐射，无需进行现状调查。</w:t>
            </w:r>
          </w:p>
          <w:p>
            <w:pPr>
              <w:ind w:left="0" w:firstLineChars="0" w:firstLine="0"/>
              <w:rPr>
                <w:color w:val="auto"/>
              </w:rPr>
            </w:pPr>
          </w:p>
        </w:tc>
      </w:tr>
      <w:tr>
        <w:trPr>
          <w:trHeight w:val="5390"/>
        </w:trPr>
        <w:tc>
          <w:tcPr>
            <w:tcW w:w="283" w:type="pct"/>
            <w:vAlign w:val="center"/>
          </w:tcPr>
          <w:p>
            <w:pPr>
              <w:adjustRightInd w:val="0"/>
              <w:snapToGrid w:val="0"/>
              <w:spacing w:line="240" w:lineRule="auto"/>
              <w:ind w:firstLineChars="0" w:firstLine="0"/>
              <w:jc w:val="center"/>
              <w:rPr>
                <w:color w:val="auto"/>
                <w:kern w:val="0"/>
              </w:rPr>
            </w:pPr>
            <w:r>
              <w:rPr>
                <w:color w:val="auto"/>
                <w:kern w:val="0"/>
              </w:rPr>
              <w:t>环境</w:t>
            </w:r>
          </w:p>
          <w:p>
            <w:pPr>
              <w:adjustRightInd w:val="0"/>
              <w:snapToGrid w:val="0"/>
              <w:spacing w:line="240" w:lineRule="auto"/>
              <w:ind w:firstLineChars="0" w:firstLine="0"/>
              <w:jc w:val="center"/>
              <w:rPr>
                <w:color w:val="auto"/>
                <w:kern w:val="0"/>
              </w:rPr>
            </w:pPr>
            <w:r>
              <w:rPr>
                <w:color w:val="auto"/>
                <w:kern w:val="0"/>
              </w:rPr>
              <w:t>保护</w:t>
            </w:r>
          </w:p>
          <w:p>
            <w:pPr>
              <w:adjustRightInd w:val="0"/>
              <w:snapToGrid w:val="0"/>
              <w:spacing w:line="240" w:lineRule="auto"/>
              <w:ind w:firstLineChars="0" w:firstLine="0"/>
              <w:jc w:val="center"/>
              <w:rPr>
                <w:color w:val="auto"/>
                <w:kern w:val="0"/>
                <w:szCs w:val="21"/>
              </w:rPr>
            </w:pPr>
            <w:r>
              <w:rPr>
                <w:color w:val="auto"/>
                <w:kern w:val="0"/>
              </w:rPr>
              <w:t>目标</w:t>
            </w:r>
          </w:p>
        </w:tc>
        <w:tc>
          <w:tcPr>
            <w:tcW w:w="4716" w:type="pct"/>
            <w:tcBorders>
              <w:left w:val="single" w:sz="4" w:space="0" w:color="auto"/>
            </w:tcBorders>
            <w:vAlign w:val="center"/>
          </w:tcPr>
          <w:p>
            <w:pPr>
              <w:rPr>
                <w:b/>
                <w:bCs/>
                <w:color w:val="auto"/>
              </w:rPr>
            </w:pPr>
            <w:r>
              <w:rPr>
                <w:rFonts w:hint="eastAsia"/>
                <w:b/>
                <w:bCs/>
                <w:color w:val="auto"/>
              </w:rPr>
              <w:t>1、大气环境保护目标</w:t>
            </w:r>
          </w:p>
          <w:p>
            <w:pPr>
              <w:adjustRightInd w:val="0"/>
              <w:snapToGrid w:val="0"/>
              <w:rPr>
                <w:rFonts w:hint="eastAsia"/>
                <w:color w:val="auto"/>
              </w:rPr>
            </w:pPr>
            <w:r>
              <w:rPr>
                <w:rFonts w:hint="eastAsia"/>
                <w:color w:val="auto"/>
                <w:lang w:val="en-US" w:eastAsia="zh-CN"/>
              </w:rPr>
              <w:t>经现场踏勘，厂界外500m范围内无大气环境保护目标</w:t>
            </w:r>
            <w:r>
              <w:rPr>
                <w:rFonts w:hint="eastAsia"/>
                <w:color w:val="auto"/>
              </w:rPr>
              <w:t>。</w:t>
            </w:r>
          </w:p>
          <w:p>
            <w:pPr>
              <w:rPr>
                <w:b/>
                <w:bCs/>
                <w:color w:val="auto"/>
              </w:rPr>
            </w:pPr>
            <w:r>
              <w:rPr>
                <w:rFonts w:hint="eastAsia"/>
                <w:b/>
                <w:bCs/>
                <w:color w:val="auto"/>
              </w:rPr>
              <w:t>2、声环境保护目标</w:t>
            </w:r>
          </w:p>
          <w:p>
            <w:pPr>
              <w:rPr>
                <w:color w:val="auto"/>
              </w:rPr>
            </w:pPr>
            <w:r>
              <w:rPr>
                <w:rFonts w:hint="eastAsia"/>
                <w:color w:val="auto"/>
              </w:rPr>
              <w:t>经现场踏勘，建设项目周边50米范围内无声环境保护目标。</w:t>
            </w:r>
          </w:p>
          <w:p>
            <w:pPr>
              <w:rPr>
                <w:b/>
                <w:bCs/>
                <w:color w:val="auto"/>
              </w:rPr>
            </w:pPr>
            <w:r>
              <w:rPr>
                <w:rFonts w:hint="eastAsia"/>
                <w:b/>
                <w:bCs/>
                <w:color w:val="auto"/>
              </w:rPr>
              <w:t>3、地下水环境保护目标</w:t>
            </w:r>
          </w:p>
          <w:p>
            <w:pPr>
              <w:rPr>
                <w:color w:val="auto"/>
              </w:rPr>
            </w:pPr>
            <w:r>
              <w:rPr>
                <w:rFonts w:hint="eastAsia"/>
                <w:color w:val="auto"/>
              </w:rPr>
              <w:t>建设项目厂界外500米范围内无地下水集中式饮用水水源和热水、矿泉水、温泉等特殊地下水资源。</w:t>
            </w:r>
          </w:p>
          <w:p>
            <w:pPr>
              <w:numPr>
                <w:ilvl w:val="0"/>
                <w:numId w:val="3"/>
              </w:numPr>
              <w:ind w:firstLineChars="0"/>
              <w:rPr>
                <w:b/>
                <w:bCs/>
                <w:color w:val="auto"/>
              </w:rPr>
            </w:pPr>
            <w:r>
              <w:rPr>
                <w:rFonts w:hint="eastAsia"/>
                <w:b/>
                <w:bCs/>
                <w:color w:val="auto"/>
              </w:rPr>
              <w:t>生态环境保护目标</w:t>
            </w:r>
          </w:p>
          <w:p>
            <w:pPr>
              <w:rPr>
                <w:color w:val="auto"/>
              </w:rPr>
            </w:pPr>
            <w:r>
              <w:rPr>
                <w:rFonts w:hint="eastAsia"/>
                <w:color w:val="auto"/>
              </w:rPr>
              <w:t>项目区域内无自然保护区、名胜古迹、风景区、重要的文物景观和珍稀动物保护区等生态环境保护目标。</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ind w:left="0" w:firstLineChars="0" w:firstLine="0"/>
              <w:rPr>
                <w:color w:val="auto"/>
              </w:rPr>
            </w:pPr>
          </w:p>
        </w:tc>
      </w:tr>
      <w:tr>
        <w:trPr>
          <w:trHeight w:val="12797"/>
        </w:trPr>
        <w:tc>
          <w:tcPr>
            <w:tcW w:w="283" w:type="pct"/>
            <w:tcMar>
              <w:left w:w="28" w:type="dxa"/>
              <w:right w:w="28" w:type="dxa"/>
            </w:tcMar>
            <w:vAlign w:val="center"/>
          </w:tcPr>
          <w:p>
            <w:pPr>
              <w:adjustRightInd w:val="0"/>
              <w:snapToGrid w:val="0"/>
              <w:spacing w:line="240" w:lineRule="auto"/>
              <w:ind w:firstLineChars="0" w:firstLine="0"/>
              <w:jc w:val="center"/>
              <w:rPr>
                <w:color w:val="auto"/>
                <w:kern w:val="0"/>
                <w:szCs w:val="21"/>
              </w:rPr>
            </w:pPr>
            <w:r>
              <w:rPr>
                <w:color w:val="auto"/>
                <w:kern w:val="0"/>
              </w:rPr>
              <w:t>污染物排放控制标准</w:t>
            </w:r>
          </w:p>
        </w:tc>
        <w:tc>
          <w:tcPr>
            <w:tcW w:w="4716" w:type="pct"/>
            <w:tcBorders>
              <w:left w:val="single" w:sz="4" w:space="0" w:color="auto"/>
            </w:tcBorders>
            <w:vAlign w:val="center"/>
          </w:tcPr>
          <w:p>
            <w:pPr>
              <w:rPr>
                <w:color w:val="auto"/>
              </w:rPr>
            </w:pPr>
            <w:r>
              <w:rPr>
                <w:color w:val="auto"/>
              </w:rPr>
              <w:t>施工期：</w:t>
            </w:r>
          </w:p>
          <w:p>
            <w:pPr>
              <w:rPr>
                <w:color w:val="auto"/>
              </w:rPr>
            </w:pPr>
            <w:r>
              <w:rPr>
                <w:color w:val="auto"/>
              </w:rPr>
              <w:t>1、废气</w:t>
            </w:r>
          </w:p>
          <w:p>
            <w:pPr>
              <w:rPr>
                <w:color w:val="auto"/>
              </w:rPr>
            </w:pPr>
            <w:r>
              <w:rPr>
                <w:rFonts w:hint="eastAsia"/>
                <w:color w:val="auto"/>
              </w:rPr>
              <w:t>本项目</w:t>
            </w:r>
            <w:r>
              <w:rPr>
                <w:color w:val="auto"/>
              </w:rPr>
              <w:t>施工期颗粒物执行《施工场地扬尘排放标准》（DB13/2934-2019）表1扬尘排放浓度限值要求。</w:t>
            </w:r>
          </w:p>
          <w:p>
            <w:pPr>
              <w:spacing w:line="240" w:lineRule="auto"/>
              <w:jc w:val="center"/>
              <w:rPr>
                <w:b/>
                <w:bCs/>
                <w:color w:val="auto"/>
              </w:rPr>
            </w:pPr>
            <w:r>
              <w:rPr>
                <w:b/>
                <w:bCs/>
                <w:color w:val="auto"/>
              </w:rPr>
              <w:t>表3-</w:t>
            </w:r>
            <w:r>
              <w:rPr>
                <w:rFonts w:hint="eastAsia"/>
                <w:b/>
                <w:bCs/>
                <w:color w:val="auto"/>
              </w:rPr>
              <w:t xml:space="preserve">6  </w:t>
            </w:r>
            <w:r>
              <w:rPr>
                <w:b/>
                <w:bCs/>
                <w:color w:val="auto"/>
              </w:rPr>
              <w:t>扬尘排放浓度限值</w:t>
            </w:r>
          </w:p>
          <w:tbl>
            <w:tblPr>
              <w:jc w:val="left"/>
              <w:tblInd w:w="0" w:type="dxa"/>
              <w:tblW w:w="4998"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1896"/>
              <w:gridCol w:w="2847"/>
              <w:gridCol w:w="3611"/>
            </w:tblGrid>
            <w:tr>
              <w:trPr>
                <w:trHeight w:val="340"/>
              </w:trPr>
              <w:tc>
                <w:tcPr>
                  <w:tcW w:w="5000" w:type="pct"/>
                  <w:gridSpan w:val="3"/>
                  <w:tcBorders>
                    <w:tl2br w:val="nil"/>
                    <w:tr2bl w:val="nil"/>
                  </w:tcBorders>
                  <w:vAlign w:val="center"/>
                </w:tcPr>
                <w:p>
                  <w:pPr>
                    <w:pStyle w:val="39"/>
                    <w:rPr>
                      <w:color w:val="auto"/>
                    </w:rPr>
                  </w:pPr>
                  <w:r>
                    <w:rPr>
                      <w:color w:val="auto"/>
                    </w:rPr>
                    <w:t>《施工场地扬尘排放标准》</w:t>
                  </w:r>
                </w:p>
              </w:tc>
            </w:tr>
            <w:tr>
              <w:trPr>
                <w:trHeight w:val="340"/>
              </w:trPr>
              <w:tc>
                <w:tcPr>
                  <w:tcW w:w="1135" w:type="pct"/>
                  <w:tcBorders>
                    <w:tl2br w:val="nil"/>
                    <w:tr2bl w:val="nil"/>
                  </w:tcBorders>
                  <w:vAlign w:val="center"/>
                </w:tcPr>
                <w:p>
                  <w:pPr>
                    <w:pStyle w:val="39"/>
                    <w:rPr>
                      <w:color w:val="auto"/>
                    </w:rPr>
                  </w:pPr>
                  <w:r>
                    <w:rPr>
                      <w:color w:val="auto"/>
                    </w:rPr>
                    <w:t>控制项目</w:t>
                  </w:r>
                </w:p>
              </w:tc>
              <w:tc>
                <w:tcPr>
                  <w:tcW w:w="1704" w:type="pct"/>
                  <w:tcBorders>
                    <w:tl2br w:val="nil"/>
                    <w:tr2bl w:val="nil"/>
                  </w:tcBorders>
                  <w:vAlign w:val="center"/>
                </w:tcPr>
                <w:p>
                  <w:pPr>
                    <w:pStyle w:val="39"/>
                    <w:rPr>
                      <w:color w:val="auto"/>
                    </w:rPr>
                  </w:pPr>
                  <w:r>
                    <w:rPr>
                      <w:color w:val="auto"/>
                    </w:rPr>
                    <w:t>监控点浓度限值a（μg/</w:t>
                  </w:r>
                  <w:r>
                    <w:rPr>
                      <w:rFonts w:hint="eastAsia"/>
                      <w:color w:val="auto"/>
                    </w:rPr>
                    <w:t>m³</w:t>
                  </w:r>
                  <w:r>
                    <w:rPr>
                      <w:color w:val="auto"/>
                    </w:rPr>
                    <w:t>）</w:t>
                  </w:r>
                </w:p>
              </w:tc>
              <w:tc>
                <w:tcPr>
                  <w:tcW w:w="2160" w:type="pct"/>
                  <w:tcBorders>
                    <w:tl2br w:val="nil"/>
                    <w:tr2bl w:val="nil"/>
                  </w:tcBorders>
                  <w:vAlign w:val="center"/>
                </w:tcPr>
                <w:p>
                  <w:pPr>
                    <w:pStyle w:val="39"/>
                    <w:rPr>
                      <w:color w:val="auto"/>
                    </w:rPr>
                  </w:pPr>
                  <w:r>
                    <w:rPr>
                      <w:color w:val="auto"/>
                    </w:rPr>
                    <w:t>达标判定依据（次/天）</w:t>
                  </w:r>
                </w:p>
              </w:tc>
            </w:tr>
            <w:tr>
              <w:trPr>
                <w:trHeight w:val="340"/>
              </w:trPr>
              <w:tc>
                <w:tcPr>
                  <w:tcW w:w="1135" w:type="pct"/>
                  <w:tcBorders>
                    <w:tl2br w:val="nil"/>
                    <w:tr2bl w:val="nil"/>
                  </w:tcBorders>
                  <w:vAlign w:val="center"/>
                </w:tcPr>
                <w:p>
                  <w:pPr>
                    <w:pStyle w:val="39"/>
                    <w:rPr>
                      <w:color w:val="auto"/>
                    </w:rPr>
                  </w:pPr>
                  <w:r>
                    <w:rPr>
                      <w:color w:val="auto"/>
                    </w:rPr>
                    <w:t>PM</w:t>
                  </w:r>
                  <w:r>
                    <w:rPr>
                      <w:color w:val="auto"/>
                      <w:vertAlign w:val="subscript"/>
                    </w:rPr>
                    <w:t>10</w:t>
                  </w:r>
                </w:p>
              </w:tc>
              <w:tc>
                <w:tcPr>
                  <w:tcW w:w="1704" w:type="pct"/>
                  <w:tcBorders>
                    <w:tl2br w:val="nil"/>
                    <w:tr2bl w:val="nil"/>
                  </w:tcBorders>
                  <w:vAlign w:val="center"/>
                </w:tcPr>
                <w:p>
                  <w:pPr>
                    <w:pStyle w:val="39"/>
                    <w:rPr>
                      <w:color w:val="auto"/>
                    </w:rPr>
                  </w:pPr>
                  <w:r>
                    <w:rPr>
                      <w:color w:val="auto"/>
                    </w:rPr>
                    <w:t>80</w:t>
                  </w:r>
                </w:p>
              </w:tc>
              <w:tc>
                <w:tcPr>
                  <w:tcW w:w="2160" w:type="pct"/>
                  <w:tcBorders>
                    <w:tl2br w:val="nil"/>
                    <w:tr2bl w:val="nil"/>
                  </w:tcBorders>
                  <w:vAlign w:val="center"/>
                </w:tcPr>
                <w:p>
                  <w:pPr>
                    <w:pStyle w:val="39"/>
                    <w:rPr>
                      <w:color w:val="auto"/>
                    </w:rPr>
                  </w:pPr>
                  <w:r>
                    <w:rPr>
                      <w:color w:val="auto"/>
                    </w:rPr>
                    <w:t>≤2</w:t>
                  </w:r>
                </w:p>
              </w:tc>
            </w:tr>
            <w:tr>
              <w:trPr>
                <w:trHeight w:val="90"/>
              </w:trPr>
              <w:tc>
                <w:tcPr>
                  <w:tcW w:w="5000" w:type="pct"/>
                  <w:gridSpan w:val="3"/>
                  <w:tcBorders>
                    <w:tl2br w:val="nil"/>
                    <w:tr2bl w:val="nil"/>
                  </w:tcBorders>
                  <w:vAlign w:val="center"/>
                </w:tcPr>
                <w:p>
                  <w:pPr>
                    <w:pStyle w:val="39"/>
                    <w:rPr>
                      <w:color w:val="auto"/>
                    </w:rPr>
                  </w:pPr>
                  <w:r>
                    <w:rPr>
                      <w:color w:val="auto"/>
                    </w:rPr>
                    <w:t>a指监测点PM</w:t>
                  </w:r>
                  <w:r>
                    <w:rPr>
                      <w:color w:val="auto"/>
                      <w:vertAlign w:val="subscript"/>
                    </w:rPr>
                    <w:t>10</w:t>
                  </w:r>
                  <w:r>
                    <w:rPr>
                      <w:color w:val="auto"/>
                    </w:rPr>
                    <w:t>小时平均浓度实测值与同时段所属县（市、区）PM</w:t>
                  </w:r>
                  <w:r>
                    <w:rPr>
                      <w:color w:val="auto"/>
                      <w:vertAlign w:val="subscript"/>
                    </w:rPr>
                    <w:t>10</w:t>
                  </w:r>
                  <w:r>
                    <w:rPr>
                      <w:color w:val="auto"/>
                    </w:rPr>
                    <w:t>小时平均浓度的差值。当县（市、区）PM</w:t>
                  </w:r>
                  <w:r>
                    <w:rPr>
                      <w:color w:val="auto"/>
                      <w:vertAlign w:val="subscript"/>
                    </w:rPr>
                    <w:t>10</w:t>
                  </w:r>
                  <w:r>
                    <w:rPr>
                      <w:color w:val="auto"/>
                    </w:rPr>
                    <w:t>小时平均浓度值大于150µg/</w:t>
                  </w:r>
                  <w:r>
                    <w:rPr>
                      <w:rFonts w:hint="eastAsia"/>
                      <w:color w:val="auto"/>
                    </w:rPr>
                    <w:t>m³</w:t>
                  </w:r>
                  <w:r>
                    <w:rPr>
                      <w:color w:val="auto"/>
                    </w:rPr>
                    <w:t>时，以150µg/</w:t>
                  </w:r>
                  <w:r>
                    <w:rPr>
                      <w:rFonts w:hint="eastAsia"/>
                      <w:color w:val="auto"/>
                    </w:rPr>
                    <w:t>m³</w:t>
                  </w:r>
                  <w:r>
                    <w:rPr>
                      <w:color w:val="auto"/>
                    </w:rPr>
                    <w:t>计。</w:t>
                  </w:r>
                </w:p>
              </w:tc>
            </w:tr>
          </w:tbl>
          <w:p>
            <w:pPr>
              <w:spacing w:line="480" w:lineRule="exact"/>
              <w:rPr>
                <w:color w:val="auto"/>
              </w:rPr>
            </w:pPr>
            <w:r>
              <w:rPr>
                <w:color w:val="auto"/>
              </w:rPr>
              <w:t>2、废水</w:t>
            </w:r>
          </w:p>
          <w:p>
            <w:pPr>
              <w:spacing w:line="480" w:lineRule="exact"/>
              <w:rPr>
                <w:color w:val="auto"/>
              </w:rPr>
            </w:pPr>
            <w:r>
              <w:rPr>
                <w:color w:val="auto"/>
              </w:rPr>
              <w:t>本项目施工期</w:t>
            </w:r>
            <w:r>
              <w:rPr>
                <w:rFonts w:hint="eastAsia"/>
                <w:color w:val="auto"/>
              </w:rPr>
              <w:t>废水主要为施工人员生活污水，</w:t>
            </w:r>
            <w:r>
              <w:rPr>
                <w:rFonts w:hint="eastAsia"/>
                <w:color w:val="auto"/>
                <w:lang w:val="en-US" w:eastAsia="zh-CN"/>
              </w:rPr>
              <w:t>用于场地泼洒抑尘</w:t>
            </w:r>
            <w:r>
              <w:rPr>
                <w:color w:val="auto"/>
              </w:rPr>
              <w:t>。</w:t>
            </w:r>
          </w:p>
          <w:p>
            <w:pPr>
              <w:spacing w:line="480" w:lineRule="exact"/>
              <w:rPr>
                <w:color w:val="auto"/>
              </w:rPr>
            </w:pPr>
            <w:r>
              <w:rPr>
                <w:color w:val="auto"/>
              </w:rPr>
              <w:t>3、噪声</w:t>
            </w:r>
          </w:p>
          <w:p>
            <w:pPr>
              <w:spacing w:line="480" w:lineRule="exact"/>
              <w:rPr>
                <w:color w:val="auto"/>
              </w:rPr>
            </w:pPr>
            <w:r>
              <w:rPr>
                <w:color w:val="auto"/>
              </w:rPr>
              <w:t>本项目施工期噪声执行《建筑施工场界环境噪声排放标准》（</w:t>
            </w:r>
            <w:r>
              <w:rPr>
                <w:rFonts w:hint="eastAsia"/>
                <w:color w:val="auto"/>
              </w:rPr>
              <w:t>GB 12523—2025</w:t>
            </w:r>
            <w:r>
              <w:rPr>
                <w:color w:val="auto"/>
              </w:rPr>
              <w:t>）表1标准。具体标准值见表3-</w:t>
            </w:r>
            <w:r>
              <w:rPr>
                <w:rFonts w:hint="eastAsia"/>
                <w:color w:val="auto"/>
              </w:rPr>
              <w:t>7</w:t>
            </w:r>
            <w:r>
              <w:rPr>
                <w:color w:val="auto"/>
              </w:rPr>
              <w:t>。</w:t>
            </w:r>
          </w:p>
          <w:p>
            <w:pPr>
              <w:spacing w:line="480" w:lineRule="exact"/>
              <w:jc w:val="center"/>
              <w:rPr>
                <w:b/>
                <w:bCs/>
                <w:color w:val="auto"/>
                <w:szCs w:val="22"/>
              </w:rPr>
            </w:pPr>
            <w:r>
              <w:rPr>
                <w:b/>
                <w:bCs/>
                <w:color w:val="auto"/>
              </w:rPr>
              <w:t>表3-</w:t>
            </w:r>
            <w:r>
              <w:rPr>
                <w:rFonts w:hint="eastAsia"/>
                <w:b/>
                <w:bCs/>
                <w:color w:val="auto"/>
              </w:rPr>
              <w:t xml:space="preserve">7  </w:t>
            </w:r>
            <w:r>
              <w:rPr>
                <w:b/>
                <w:bCs/>
                <w:color w:val="auto"/>
              </w:rPr>
              <w:t>建筑施工场界环境噪声排放限值</w:t>
            </w:r>
            <w:r>
              <w:rPr>
                <w:rFonts w:hint="eastAsia"/>
                <w:b/>
                <w:bCs/>
                <w:color w:val="auto"/>
              </w:rPr>
              <w:t xml:space="preserve">       </w:t>
            </w:r>
            <w:r>
              <w:rPr>
                <w:b/>
                <w:bCs/>
                <w:color w:val="auto"/>
              </w:rPr>
              <w:t>单位：dB(A</w:t>
            </w:r>
            <w:r>
              <w:rPr>
                <w:b/>
                <w:bCs/>
                <w:color w:val="auto"/>
                <w:szCs w:val="22"/>
              </w:rPr>
              <w:t>)</w:t>
            </w:r>
          </w:p>
          <w:tbl>
            <w:tblPr>
              <w:jc w:val="left"/>
              <w:tblInd w:w="0" w:type="dxa"/>
              <w:tblW w:w="4999" w:type="pct"/>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4146"/>
              <w:gridCol w:w="4208"/>
            </w:tblGrid>
            <w:tr>
              <w:trPr>
                <w:trHeight w:val="340"/>
              </w:trPr>
              <w:tc>
                <w:tcPr>
                  <w:tcW w:w="2481" w:type="pct"/>
                  <w:tcBorders>
                    <w:tl2br w:val="nil"/>
                    <w:tr2bl w:val="nil"/>
                  </w:tcBorders>
                  <w:vAlign w:val="center"/>
                </w:tcPr>
                <w:p>
                  <w:pPr>
                    <w:pStyle w:val="39"/>
                    <w:rPr>
                      <w:color w:val="auto"/>
                    </w:rPr>
                  </w:pPr>
                  <w:r>
                    <w:rPr>
                      <w:color w:val="auto"/>
                    </w:rPr>
                    <w:t>昼间</w:t>
                  </w:r>
                </w:p>
              </w:tc>
              <w:tc>
                <w:tcPr>
                  <w:tcW w:w="2518" w:type="pct"/>
                  <w:tcBorders>
                    <w:tl2br w:val="nil"/>
                    <w:tr2bl w:val="nil"/>
                  </w:tcBorders>
                  <w:vAlign w:val="center"/>
                </w:tcPr>
                <w:p>
                  <w:pPr>
                    <w:pStyle w:val="39"/>
                    <w:rPr>
                      <w:color w:val="auto"/>
                    </w:rPr>
                  </w:pPr>
                  <w:r>
                    <w:rPr>
                      <w:color w:val="auto"/>
                    </w:rPr>
                    <w:t>夜间</w:t>
                  </w:r>
                </w:p>
              </w:tc>
            </w:tr>
            <w:tr>
              <w:trPr>
                <w:trHeight w:val="340"/>
              </w:trPr>
              <w:tc>
                <w:tcPr>
                  <w:tcW w:w="2481" w:type="pct"/>
                  <w:tcBorders>
                    <w:tl2br w:val="nil"/>
                    <w:tr2bl w:val="nil"/>
                  </w:tcBorders>
                  <w:vAlign w:val="center"/>
                </w:tcPr>
                <w:p>
                  <w:pPr>
                    <w:pStyle w:val="39"/>
                    <w:rPr>
                      <w:color w:val="auto"/>
                    </w:rPr>
                  </w:pPr>
                  <w:r>
                    <w:rPr>
                      <w:color w:val="auto"/>
                    </w:rPr>
                    <w:t>70</w:t>
                  </w:r>
                </w:p>
              </w:tc>
              <w:tc>
                <w:tcPr>
                  <w:tcW w:w="2518" w:type="pct"/>
                  <w:tcBorders>
                    <w:tl2br w:val="nil"/>
                    <w:tr2bl w:val="nil"/>
                  </w:tcBorders>
                  <w:vAlign w:val="center"/>
                </w:tcPr>
                <w:p>
                  <w:pPr>
                    <w:pStyle w:val="39"/>
                    <w:rPr>
                      <w:color w:val="auto"/>
                    </w:rPr>
                  </w:pPr>
                  <w:r>
                    <w:rPr>
                      <w:color w:val="auto"/>
                    </w:rPr>
                    <w:t>55</w:t>
                  </w:r>
                </w:p>
              </w:tc>
            </w:tr>
          </w:tbl>
          <w:p>
            <w:pPr>
              <w:spacing w:line="480" w:lineRule="exact"/>
              <w:rPr>
                <w:b/>
                <w:bCs/>
                <w:color w:val="auto"/>
              </w:rPr>
            </w:pPr>
            <w:r>
              <w:rPr>
                <w:color w:val="auto"/>
              </w:rPr>
              <w:t>4、固体废物</w:t>
            </w:r>
          </w:p>
          <w:p>
            <w:pPr>
              <w:spacing w:line="480" w:lineRule="exact"/>
              <w:rPr>
                <w:color w:val="auto"/>
              </w:rPr>
            </w:pPr>
            <w:r>
              <w:rPr>
                <w:rFonts w:hint="eastAsia"/>
                <w:bCs/>
                <w:color w:val="auto"/>
              </w:rPr>
              <w:t>本项目</w:t>
            </w:r>
            <w:r>
              <w:rPr>
                <w:bCs/>
                <w:color w:val="auto"/>
              </w:rPr>
              <w:t>施工期固体废物执行《一般工业固体废物贮存和填埋污染控制标准》（GB18599-2020）中相关要求规定</w:t>
            </w:r>
            <w:r>
              <w:rPr>
                <w:rFonts w:hint="eastAsia"/>
                <w:bCs/>
                <w:color w:val="auto"/>
              </w:rPr>
              <w:t>；危险废物执行《危险废物贮存污染控制标准》（GB18597-2023）相关要求规定；生活垃圾执行《河北省城乡生活垃圾分类管理条例》（2021年1月1日起实施）中相关要求规定</w:t>
            </w:r>
            <w:r>
              <w:rPr>
                <w:bCs/>
                <w:color w:val="auto"/>
              </w:rPr>
              <w:t>。</w:t>
            </w:r>
          </w:p>
          <w:p>
            <w:pPr>
              <w:spacing w:line="480" w:lineRule="exact"/>
              <w:rPr>
                <w:color w:val="auto"/>
              </w:rPr>
            </w:pPr>
            <w:r>
              <w:rPr>
                <w:color w:val="auto"/>
              </w:rPr>
              <w:t>运营期：</w:t>
            </w:r>
          </w:p>
          <w:p>
            <w:pPr>
              <w:spacing w:line="480" w:lineRule="exact"/>
              <w:rPr>
                <w:rFonts w:hint="eastAsia"/>
                <w:bCs/>
                <w:color w:val="auto"/>
              </w:rPr>
            </w:pPr>
            <w:r>
              <w:rPr>
                <w:rFonts w:hint="eastAsia"/>
                <w:bCs/>
                <w:color w:val="auto"/>
              </w:rPr>
              <w:t>1、废气</w:t>
            </w:r>
          </w:p>
          <w:p>
            <w:pPr>
              <w:spacing w:line="480" w:lineRule="exact"/>
              <w:rPr>
                <w:bCs/>
                <w:color w:val="auto"/>
                <w:lang w:val="en-US" w:eastAsia="zh-CN"/>
              </w:rPr>
            </w:pPr>
            <w:r>
              <w:rPr>
                <w:rFonts w:hint="eastAsia"/>
                <w:bCs/>
                <w:color w:val="auto"/>
                <w:lang w:val="en-US" w:eastAsia="zh-CN"/>
              </w:rPr>
              <w:t>有组织：中微量元素混合车间投料废气、破碎废气、搅拌废气（排气筒P1）颗粒物排放满足《大气污染物综合排放标准》（GB16297-1996）表2二级标准。挤压造粒生产线投料废气、第一次破碎废气、造粒废气、第二次破碎废气、第一次筛分废气、整形废气、喷脲废气、第二次筛分废气、裹油废气、铺粉废气、冷却废气、抛光废气、装袋废气和复混肥生产线投料废气、装袋废气（P2排气筒）颗粒物、甲醛排放满足《大气污染物综合排放标准》（GB16297-1996）表2二级标准，氨、臭气浓度排放满足《恶臭污染物排放标准》(GB14554-93)表2排放标准值要求，非甲烷总烃排放满足《工业企业挥发性有机物排放控制标准》（DB13/2322-2025）表1其他工业行业排放限值。烘干工序（P3排气筒）废气颗粒物、甲醛排放满足《大气污染物综合排放标准》（GB16297-1996）表2二级标准，氨、臭气浓度排放满足《恶臭污染物排放标准》(GB14554-93)表2排放标准值要求。天然气燃烧烟气（P3排气筒）颗粒物、氮氧化物、二氧化硫、烟气黑度排放满足《工业炉窑大气污染物排放标准》（DB13/1640-2012）和《工业炉窑大气污染综合治理方案》（环大气[2019]56号）文件要求。化验室废气（P4排气筒）氯化氢、硫酸雾、氮氧化物排放满足《大气污染物综合排放标准》（GB16297-1996）表2二级标准；非甲烷总烃满足《工业企业挥发性有机物排放控制标准》（DB13/2322-2025）表1其他工业行业排放限值。</w:t>
            </w:r>
          </w:p>
          <w:p>
            <w:pPr>
              <w:spacing w:line="480" w:lineRule="exact"/>
              <w:rPr>
                <w:bCs/>
                <w:color w:val="auto"/>
                <w:lang w:val="en-US" w:eastAsia="zh-CN"/>
              </w:rPr>
            </w:pPr>
            <w:r>
              <w:rPr>
                <w:rFonts w:hint="eastAsia"/>
                <w:bCs/>
                <w:color w:val="auto"/>
                <w:lang w:val="en-US" w:eastAsia="zh-CN"/>
              </w:rPr>
              <w:t>无组织废气：颗粒物、氯化氢、硫酸雾、氮氧化物、甲醛排放满足《大气污染物综合排放标准》（GB16297-1996）表2无组织排放监控浓度限值；氨、臭气浓度排放满足《恶臭污染物排放标准》(GB14554-93)表1二级新扩改建标准；非甲烷总烃排放满足《工业企业挥发性有机物排放控制标准》（DB13/2322-2025）表2厂区内排放限值要求和《大气污染物综合排放标准》（GB16297-1996）表2无组织排放监控浓度限值。</w:t>
            </w:r>
          </w:p>
          <w:p>
            <w:pPr>
              <w:spacing w:line="480" w:lineRule="exact"/>
              <w:rPr>
                <w:rFonts w:hint="eastAsia"/>
                <w:bCs/>
                <w:color w:val="auto"/>
                <w:lang w:val="en-US" w:eastAsia="zh-CN"/>
              </w:rPr>
            </w:pPr>
            <w:r>
              <w:rPr>
                <w:rFonts w:hint="eastAsia"/>
                <w:bCs/>
                <w:color w:val="auto"/>
                <w:lang w:val="en-US" w:eastAsia="zh-CN"/>
              </w:rPr>
              <w:t>具体标准值见表3-8。</w:t>
            </w:r>
          </w:p>
          <w:p>
            <w:pPr>
              <w:pStyle w:val="40"/>
              <w:rPr>
                <w:color w:val="auto"/>
              </w:rPr>
            </w:pPr>
            <w:r>
              <w:rPr>
                <w:rFonts w:hint="eastAsia"/>
                <w:color w:val="auto"/>
              </w:rPr>
              <w:t xml:space="preserve">表3-8  </w:t>
            </w:r>
            <w:r>
              <w:rPr>
                <w:color w:val="auto"/>
              </w:rPr>
              <w:t>运营期废气污染物排放标准</w:t>
            </w:r>
          </w:p>
          <w:tbl>
            <w:tblPr>
              <w:jc w:val="left"/>
              <w:tblInd w:w="0" w:type="dxa"/>
              <w:tblW w:w="872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1558"/>
              <w:gridCol w:w="1332"/>
              <w:gridCol w:w="2196"/>
              <w:gridCol w:w="3638"/>
            </w:tblGrid>
            <w:tr>
              <w:trPr>
                <w:trHeight w:val="90"/>
              </w:trPr>
              <w:tc>
                <w:tcPr>
                  <w:tcW w:w="1558" w:type="dxa"/>
                  <w:vAlign w:val="center"/>
                </w:tcPr>
                <w:p>
                  <w:pPr>
                    <w:pStyle w:val="39"/>
                    <w:rPr>
                      <w:color w:val="auto"/>
                    </w:rPr>
                  </w:pPr>
                  <w:r>
                    <w:rPr>
                      <w:rFonts w:hint="eastAsia"/>
                      <w:color w:val="auto"/>
                    </w:rPr>
                    <w:t>排气筒</w:t>
                  </w:r>
                </w:p>
              </w:tc>
              <w:tc>
                <w:tcPr>
                  <w:tcW w:w="1332" w:type="dxa"/>
                  <w:vAlign w:val="center"/>
                </w:tcPr>
                <w:p>
                  <w:pPr>
                    <w:pStyle w:val="39"/>
                    <w:rPr>
                      <w:color w:val="auto"/>
                    </w:rPr>
                  </w:pPr>
                  <w:r>
                    <w:rPr>
                      <w:rFonts w:hint="eastAsia"/>
                      <w:color w:val="auto"/>
                    </w:rPr>
                    <w:t>污染因子</w:t>
                  </w:r>
                </w:p>
              </w:tc>
              <w:tc>
                <w:tcPr>
                  <w:tcW w:w="2196" w:type="dxa"/>
                  <w:vAlign w:val="center"/>
                </w:tcPr>
                <w:p>
                  <w:pPr>
                    <w:pStyle w:val="39"/>
                    <w:rPr>
                      <w:color w:val="auto"/>
                    </w:rPr>
                  </w:pPr>
                  <w:r>
                    <w:rPr>
                      <w:color w:val="auto"/>
                    </w:rPr>
                    <w:t>标准值</w:t>
                  </w:r>
                </w:p>
              </w:tc>
              <w:tc>
                <w:tcPr>
                  <w:tcW w:w="3638" w:type="dxa"/>
                  <w:vAlign w:val="center"/>
                </w:tcPr>
                <w:p>
                  <w:pPr>
                    <w:pStyle w:val="39"/>
                    <w:rPr>
                      <w:color w:val="auto"/>
                    </w:rPr>
                  </w:pPr>
                  <w:r>
                    <w:rPr>
                      <w:color w:val="auto"/>
                    </w:rPr>
                    <w:t>标准来源</w:t>
                  </w:r>
                </w:p>
              </w:tc>
            </w:tr>
            <w:tr>
              <w:trPr>
                <w:trHeight w:val="257"/>
              </w:trPr>
              <w:tc>
                <w:tcPr>
                  <w:tcW w:w="1558" w:type="dxa"/>
                  <w:vMerge w:val="restart"/>
                  <w:vAlign w:val="center"/>
                </w:tcPr>
                <w:p>
                  <w:pPr>
                    <w:pStyle w:val="39"/>
                    <w:rPr>
                      <w:color w:val="auto"/>
                    </w:rPr>
                  </w:pPr>
                  <w:r>
                    <w:rPr>
                      <w:rFonts w:hint="eastAsia"/>
                      <w:color w:val="auto"/>
                      <w:lang w:val="en-US" w:eastAsia="zh-CN"/>
                    </w:rPr>
                    <w:t>中微量元素车间</w:t>
                  </w:r>
                  <w:r>
                    <w:rPr>
                      <w:color w:val="auto"/>
                    </w:rPr>
                    <w:t>排气筒</w:t>
                  </w:r>
                  <w:r>
                    <w:rPr>
                      <w:rFonts w:hint="eastAsia"/>
                      <w:color w:val="auto"/>
                      <w:lang w:eastAsia="zh-CN"/>
                    </w:rPr>
                    <w:t>（</w:t>
                  </w:r>
                  <w:r>
                    <w:rPr>
                      <w:rFonts w:hint="eastAsia"/>
                      <w:color w:val="auto"/>
                      <w:lang w:val="en-US" w:eastAsia="zh-CN"/>
                    </w:rPr>
                    <w:t>P1）（15m）</w:t>
                  </w:r>
                </w:p>
              </w:tc>
              <w:tc>
                <w:tcPr>
                  <w:tcW w:w="1332" w:type="dxa"/>
                  <w:vMerge w:val="restart"/>
                  <w:tcBorders>
                    <w:left w:val="single" w:sz="4" w:space="0" w:color="000000"/>
                  </w:tcBorders>
                  <w:vAlign w:val="center"/>
                </w:tcPr>
                <w:p>
                  <w:pPr>
                    <w:pStyle w:val="39"/>
                    <w:rPr>
                      <w:color w:val="auto"/>
                    </w:rPr>
                  </w:pPr>
                  <w:r>
                    <w:rPr>
                      <w:color w:val="auto"/>
                    </w:rPr>
                    <w:t>颗粒物</w:t>
                  </w:r>
                </w:p>
              </w:tc>
              <w:tc>
                <w:tcPr>
                  <w:tcW w:w="2196" w:type="dxa"/>
                  <w:tcBorders>
                    <w:bottom w:val="single" w:sz="4" w:space="0" w:color="auto"/>
                  </w:tcBorders>
                  <w:vAlign w:val="center"/>
                </w:tcPr>
                <w:p>
                  <w:pPr>
                    <w:pStyle w:val="39"/>
                    <w:ind w:firstLine="0"/>
                    <w:rPr>
                      <w:rFonts w:hint="eastAsia"/>
                      <w:color w:val="auto"/>
                    </w:rPr>
                  </w:pPr>
                  <w:r>
                    <w:rPr>
                      <w:rFonts w:hint="eastAsia"/>
                      <w:color w:val="auto"/>
                    </w:rPr>
                    <w:t>120mg/m³</w:t>
                  </w:r>
                </w:p>
              </w:tc>
              <w:tc>
                <w:tcPr>
                  <w:tcW w:w="3638" w:type="dxa"/>
                  <w:vMerge w:val="restart"/>
                  <w:tcBorders>
                    <w:left w:val="single" w:sz="4" w:space="0" w:color="000000"/>
                  </w:tcBorders>
                  <w:vAlign w:val="center"/>
                </w:tcPr>
                <w:p>
                  <w:pPr>
                    <w:pStyle w:val="39"/>
                    <w:rPr>
                      <w:rFonts w:hint="eastAsia"/>
                      <w:color w:val="auto"/>
                    </w:rPr>
                  </w:pPr>
                  <w:r>
                    <w:rPr>
                      <w:rFonts w:hint="eastAsia"/>
                      <w:color w:val="auto"/>
                    </w:rPr>
                    <w:t>《大气污染物综合排放标准》（GB16297-1996）表2二级</w:t>
                  </w:r>
                  <w:r>
                    <w:rPr>
                      <w:rFonts w:hint="eastAsia"/>
                      <w:color w:val="auto"/>
                      <w:lang w:val="en-US" w:eastAsia="zh-CN"/>
                    </w:rPr>
                    <w:t>标准</w:t>
                  </w:r>
                </w:p>
              </w:tc>
            </w:tr>
            <w:tr>
              <w:trPr>
                <w:trHeight w:val="233"/>
              </w:trPr>
              <w:tc>
                <w:tcPr>
                  <w:tcW w:w="1558" w:type="dxa"/>
                  <w:vMerge/>
                  <w:vAlign w:val="center"/>
                </w:tcPr>
                <w:p/>
              </w:tc>
              <w:tc>
                <w:tcPr>
                  <w:tcW w:w="1332" w:type="dxa"/>
                  <w:vMerge/>
                  <w:tcBorders>
                    <w:left w:val="single" w:sz="4" w:space="0" w:color="000000"/>
                  </w:tcBorders>
                  <w:vAlign w:val="center"/>
                </w:tcPr>
                <w:p/>
              </w:tc>
              <w:tc>
                <w:tcPr>
                  <w:tcW w:w="2196" w:type="dxa"/>
                  <w:tcBorders>
                    <w:top w:val="single" w:sz="4" w:space="0" w:color="auto"/>
                  </w:tcBorders>
                  <w:vAlign w:val="center"/>
                </w:tcPr>
                <w:p>
                  <w:pPr>
                    <w:pStyle w:val="39"/>
                    <w:ind w:firstLine="0"/>
                    <w:rPr>
                      <w:rFonts w:hint="eastAsia"/>
                      <w:color w:val="auto"/>
                    </w:rPr>
                  </w:pPr>
                  <w:r>
                    <w:rPr>
                      <w:rFonts w:hint="eastAsia"/>
                      <w:color w:val="auto"/>
                      <w:lang w:val="en-US" w:eastAsia="zh-CN"/>
                    </w:rPr>
                    <w:t>3.5</w:t>
                  </w:r>
                  <w:r>
                    <w:rPr>
                      <w:color w:val="auto"/>
                    </w:rPr>
                    <w:t>kg/h</w:t>
                  </w:r>
                </w:p>
              </w:tc>
              <w:tc>
                <w:tcPr>
                  <w:tcW w:w="3638" w:type="dxa"/>
                  <w:vMerge/>
                  <w:tcBorders>
                    <w:left w:val="single" w:sz="4" w:space="0" w:color="000000"/>
                  </w:tcBorders>
                  <w:vAlign w:val="center"/>
                </w:tcPr>
                <w:p/>
              </w:tc>
            </w:tr>
            <w:tr>
              <w:trPr>
                <w:trHeight w:val="211"/>
              </w:trPr>
              <w:tc>
                <w:tcPr>
                  <w:tcW w:w="1558" w:type="dxa"/>
                  <w:vMerge w:val="restart"/>
                  <w:vAlign w:val="center"/>
                </w:tcPr>
                <w:p>
                  <w:pPr>
                    <w:pStyle w:val="39"/>
                    <w:rPr>
                      <w:color w:val="auto"/>
                      <w:lang w:val="en-US"/>
                    </w:rPr>
                  </w:pPr>
                  <w:r>
                    <w:rPr>
                      <w:color w:val="auto"/>
                    </w:rPr>
                    <w:t>排气筒</w:t>
                  </w:r>
                  <w:r>
                    <w:rPr>
                      <w:rFonts w:hint="eastAsia"/>
                      <w:color w:val="auto"/>
                      <w:lang w:eastAsia="zh-CN"/>
                    </w:rPr>
                    <w:t>（</w:t>
                  </w:r>
                  <w:r>
                    <w:rPr>
                      <w:rFonts w:hint="eastAsia"/>
                      <w:color w:val="auto"/>
                      <w:lang w:val="en-US" w:eastAsia="zh-CN"/>
                    </w:rPr>
                    <w:t>P2）（15m）</w:t>
                  </w:r>
                </w:p>
              </w:tc>
              <w:tc>
                <w:tcPr>
                  <w:tcW w:w="1332" w:type="dxa"/>
                  <w:vMerge w:val="restart"/>
                  <w:tcBorders>
                    <w:left w:val="single" w:sz="4" w:space="0" w:color="000000"/>
                  </w:tcBorders>
                  <w:vAlign w:val="center"/>
                </w:tcPr>
                <w:p>
                  <w:pPr>
                    <w:pStyle w:val="39"/>
                    <w:rPr>
                      <w:color w:val="auto"/>
                    </w:rPr>
                  </w:pPr>
                  <w:r>
                    <w:rPr>
                      <w:color w:val="auto"/>
                    </w:rPr>
                    <w:t>颗粒物</w:t>
                  </w:r>
                </w:p>
              </w:tc>
              <w:tc>
                <w:tcPr>
                  <w:tcW w:w="2196" w:type="dxa"/>
                  <w:tcBorders>
                    <w:left w:val="single" w:sz="4" w:space="0" w:color="000000"/>
                  </w:tcBorders>
                  <w:vAlign w:val="center"/>
                </w:tcPr>
                <w:p>
                  <w:pPr>
                    <w:pStyle w:val="39"/>
                    <w:rPr>
                      <w:color w:val="auto"/>
                    </w:rPr>
                  </w:pPr>
                  <w:r>
                    <w:rPr>
                      <w:rFonts w:hint="eastAsia"/>
                      <w:color w:val="auto"/>
                    </w:rPr>
                    <w:t>120mg/m³</w:t>
                  </w:r>
                </w:p>
              </w:tc>
              <w:tc>
                <w:tcPr>
                  <w:tcW w:w="3638" w:type="dxa"/>
                  <w:vMerge w:val="restart"/>
                  <w:tcBorders>
                    <w:left w:val="single" w:sz="4" w:space="0" w:color="000000"/>
                  </w:tcBorders>
                  <w:vAlign w:val="center"/>
                </w:tcPr>
                <w:p>
                  <w:pPr>
                    <w:pStyle w:val="39"/>
                    <w:rPr>
                      <w:rFonts w:eastAsia="宋体" w:hint="eastAsia"/>
                      <w:color w:val="auto"/>
                      <w:lang w:eastAsia="zh-CN"/>
                    </w:rPr>
                  </w:pPr>
                  <w:r>
                    <w:rPr>
                      <w:rFonts w:hint="eastAsia"/>
                      <w:color w:val="auto"/>
                    </w:rPr>
                    <w:t>《大气污染物综合排放标准》（GB16297-1996）表2二级</w:t>
                  </w:r>
                  <w:r>
                    <w:rPr>
                      <w:rFonts w:hint="eastAsia"/>
                      <w:color w:val="auto"/>
                      <w:lang w:val="en-US" w:eastAsia="zh-CN"/>
                    </w:rPr>
                    <w:t>标准</w:t>
                  </w:r>
                </w:p>
              </w:tc>
            </w:tr>
            <w:tr>
              <w:trPr>
                <w:trHeight w:val="90"/>
              </w:trPr>
              <w:tc>
                <w:tcPr>
                  <w:tcW w:w="1558" w:type="dxa"/>
                  <w:vMerge/>
                  <w:vAlign w:val="center"/>
                </w:tcPr>
                <w:p/>
              </w:tc>
              <w:tc>
                <w:tcPr>
                  <w:tcW w:w="1332" w:type="dxa"/>
                  <w:vMerge/>
                  <w:tcBorders>
                    <w:left w:val="single" w:sz="4" w:space="0" w:color="000000"/>
                  </w:tcBorders>
                  <w:vAlign w:val="center"/>
                </w:tcPr>
                <w:p/>
              </w:tc>
              <w:tc>
                <w:tcPr>
                  <w:tcW w:w="2196" w:type="dxa"/>
                  <w:tcBorders>
                    <w:left w:val="single" w:sz="4" w:space="0" w:color="000000"/>
                  </w:tcBorders>
                  <w:vAlign w:val="center"/>
                </w:tcPr>
                <w:p>
                  <w:pPr>
                    <w:pStyle w:val="39"/>
                    <w:rPr>
                      <w:color w:val="auto"/>
                    </w:rPr>
                  </w:pPr>
                  <w:r>
                    <w:rPr>
                      <w:rFonts w:hint="eastAsia"/>
                      <w:color w:val="auto"/>
                      <w:lang w:val="en-US" w:eastAsia="zh-CN"/>
                    </w:rPr>
                    <w:t>3.5</w:t>
                  </w:r>
                  <w:r>
                    <w:rPr>
                      <w:color w:val="auto"/>
                    </w:rPr>
                    <w:t>kg/h</w:t>
                  </w:r>
                </w:p>
              </w:tc>
              <w:tc>
                <w:tcPr>
                  <w:tcW w:w="3638" w:type="dxa"/>
                  <w:vMerge/>
                  <w:tcBorders>
                    <w:left w:val="single" w:sz="4" w:space="0" w:color="000000"/>
                  </w:tcBorders>
                  <w:vAlign w:val="center"/>
                </w:tcPr>
                <w:p/>
              </w:tc>
            </w:tr>
            <w:tr>
              <w:trPr>
                <w:trHeight w:val="250"/>
              </w:trPr>
              <w:tc>
                <w:tcPr>
                  <w:tcW w:w="1558" w:type="dxa"/>
                  <w:vMerge/>
                  <w:vAlign w:val="center"/>
                </w:tcPr>
                <w:p/>
              </w:tc>
              <w:tc>
                <w:tcPr>
                  <w:tcW w:w="1332" w:type="dxa"/>
                  <w:vMerge w:val="restart"/>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甲醛</w:t>
                  </w:r>
                </w:p>
              </w:tc>
              <w:tc>
                <w:tcPr>
                  <w:tcW w:w="2196" w:type="dxa"/>
                  <w:tcBorders>
                    <w:bottom w:val="single" w:sz="4" w:space="0" w:color="auto"/>
                  </w:tcBorders>
                  <w:vAlign w:val="center"/>
                </w:tcPr>
                <w:p>
                  <w:pPr>
                    <w:pStyle w:val="39"/>
                    <w:rPr>
                      <w:color w:val="auto"/>
                      <w:lang w:val="en-US" w:eastAsia="zh-CN"/>
                    </w:rPr>
                  </w:pPr>
                  <w:r>
                    <w:rPr>
                      <w:rFonts w:hint="eastAsia"/>
                      <w:color w:val="auto"/>
                      <w:lang w:val="en-US" w:eastAsia="zh-CN"/>
                    </w:rPr>
                    <w:t>25mg/m³</w:t>
                  </w:r>
                </w:p>
              </w:tc>
              <w:tc>
                <w:tcPr>
                  <w:tcW w:w="3638" w:type="dxa"/>
                  <w:vMerge/>
                  <w:tcBorders>
                    <w:left w:val="single" w:sz="4" w:space="0" w:color="000000"/>
                  </w:tcBorders>
                  <w:vAlign w:val="center"/>
                </w:tcPr>
                <w:p/>
              </w:tc>
            </w:tr>
            <w:tr>
              <w:trPr>
                <w:trHeight w:val="239"/>
              </w:trPr>
              <w:tc>
                <w:tcPr>
                  <w:tcW w:w="1558" w:type="dxa"/>
                  <w:vMerge/>
                  <w:vAlign w:val="center"/>
                </w:tcPr>
                <w:p/>
              </w:tc>
              <w:tc>
                <w:tcPr>
                  <w:tcW w:w="1332" w:type="dxa"/>
                  <w:vMerge/>
                  <w:tcBorders>
                    <w:left w:val="single" w:sz="4" w:space="0" w:color="000000"/>
                  </w:tcBorders>
                  <w:vAlign w:val="center"/>
                </w:tcPr>
                <w:p/>
              </w:tc>
              <w:tc>
                <w:tcPr>
                  <w:tcW w:w="2196" w:type="dxa"/>
                  <w:tcBorders>
                    <w:top w:val="single" w:sz="4" w:space="0" w:color="auto"/>
                  </w:tcBorders>
                  <w:vAlign w:val="center"/>
                </w:tcPr>
                <w:p>
                  <w:pPr>
                    <w:pStyle w:val="39"/>
                    <w:rPr>
                      <w:color w:val="auto"/>
                      <w:lang w:val="en-US" w:eastAsia="zh-CN"/>
                    </w:rPr>
                  </w:pPr>
                  <w:r>
                    <w:rPr>
                      <w:rFonts w:hint="eastAsia"/>
                      <w:color w:val="auto"/>
                      <w:lang w:val="en-US" w:eastAsia="zh-CN"/>
                    </w:rPr>
                    <w:t>0.26kg/h</w:t>
                  </w:r>
                </w:p>
              </w:tc>
              <w:tc>
                <w:tcPr>
                  <w:tcW w:w="3638" w:type="dxa"/>
                  <w:vMerge/>
                  <w:tcBorders>
                    <w:left w:val="single" w:sz="4" w:space="0" w:color="000000"/>
                  </w:tcBorders>
                  <w:vAlign w:val="center"/>
                </w:tcPr>
                <w:p/>
              </w:tc>
            </w:tr>
            <w:tr>
              <w:trPr>
                <w:trHeight w:val="299"/>
              </w:trPr>
              <w:tc>
                <w:tcPr>
                  <w:tcW w:w="1558" w:type="dxa"/>
                  <w:vMerge/>
                  <w:shd w:val="clear" w:color="auto" w:fill="auto"/>
                  <w:vAlign w:val="center"/>
                </w:tcPr>
                <w:p/>
              </w:tc>
              <w:tc>
                <w:tcPr>
                  <w:tcW w:w="1332" w:type="dxa"/>
                  <w:tcBorders>
                    <w:left w:val="single" w:sz="4" w:space="0" w:color="000000"/>
                  </w:tcBorders>
                  <w:shd w:val="clear" w:color="auto" w:fill="auto"/>
                  <w:vAlign w:val="center"/>
                </w:tcPr>
                <w:p>
                  <w:pPr>
                    <w:pStyle w:val="39"/>
                    <w:rPr>
                      <w:rFonts w:eastAsia="宋体" w:hint="eastAsia"/>
                      <w:color w:val="auto"/>
                      <w:lang w:eastAsia="zh-CN"/>
                    </w:rPr>
                  </w:pPr>
                  <w:r>
                    <w:rPr>
                      <w:rFonts w:hint="eastAsia"/>
                      <w:color w:val="auto"/>
                      <w:lang w:val="en-US" w:eastAsia="zh-CN"/>
                    </w:rPr>
                    <w:t>氨</w:t>
                  </w:r>
                </w:p>
              </w:tc>
              <w:tc>
                <w:tcPr>
                  <w:tcW w:w="2196" w:type="dxa"/>
                  <w:tcBorders>
                    <w:left w:val="single" w:sz="4"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4.9</w:t>
                  </w:r>
                  <w:r>
                    <w:rPr>
                      <w:color w:val="auto"/>
                    </w:rPr>
                    <w:t>kg/h</w:t>
                  </w:r>
                </w:p>
              </w:tc>
              <w:tc>
                <w:tcPr>
                  <w:tcW w:w="3638" w:type="dxa"/>
                  <w:vMerge w:val="restart"/>
                  <w:tcBorders>
                    <w:left w:val="single" w:sz="4" w:space="0" w:color="000000"/>
                  </w:tcBorders>
                  <w:vAlign w:val="center"/>
                </w:tcPr>
                <w:p>
                  <w:pPr>
                    <w:pStyle w:val="39"/>
                    <w:rPr>
                      <w:color w:val="auto"/>
                    </w:rPr>
                  </w:pPr>
                  <w:r>
                    <w:rPr>
                      <w:rFonts w:hint="eastAsia"/>
                      <w:color w:val="auto"/>
                      <w:lang w:val="en-US" w:eastAsia="zh-CN"/>
                    </w:rPr>
                    <w:t>《恶臭污染物排放标准》(GB14554-93)表2排放标准值</w:t>
                  </w:r>
                </w:p>
              </w:tc>
            </w:tr>
            <w:tr>
              <w:trPr>
                <w:trHeight w:val="204"/>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eastAsia="zh-CN"/>
                    </w:rPr>
                  </w:pPr>
                  <w:r>
                    <w:rPr>
                      <w:rFonts w:hint="eastAsia"/>
                      <w:color w:val="auto"/>
                      <w:lang w:val="en-US" w:eastAsia="zh-CN"/>
                    </w:rPr>
                    <w:t>臭气浓度</w:t>
                  </w:r>
                </w:p>
              </w:tc>
              <w:tc>
                <w:tcPr>
                  <w:tcW w:w="2196" w:type="dxa"/>
                  <w:tcBorders>
                    <w:left w:val="single" w:sz="4" w:space="0" w:color="000000"/>
                  </w:tcBorders>
                  <w:vAlign w:val="center"/>
                </w:tcPr>
                <w:p>
                  <w:pPr>
                    <w:pStyle w:val="39"/>
                    <w:rPr>
                      <w:rFonts w:eastAsia="宋体"/>
                      <w:color w:val="auto"/>
                      <w:lang w:val="en-US" w:eastAsia="zh-CN"/>
                    </w:rPr>
                  </w:pPr>
                  <w:r>
                    <w:rPr>
                      <w:rFonts w:hint="eastAsia"/>
                      <w:color w:val="auto"/>
                      <w:lang w:val="en-US" w:eastAsia="zh-CN"/>
                    </w:rPr>
                    <w:t>2000无量纲</w:t>
                  </w:r>
                </w:p>
              </w:tc>
              <w:tc>
                <w:tcPr>
                  <w:tcW w:w="3638" w:type="dxa"/>
                  <w:vMerge/>
                  <w:tcBorders>
                    <w:left w:val="single" w:sz="4" w:space="0" w:color="000000"/>
                  </w:tcBorders>
                  <w:vAlign w:val="center"/>
                </w:tcPr>
                <w:p/>
              </w:tc>
            </w:tr>
            <w:tr>
              <w:trPr>
                <w:trHeight w:val="430"/>
              </w:trPr>
              <w:tc>
                <w:tcPr>
                  <w:tcW w:w="1558" w:type="dxa"/>
                  <w:vMerge/>
                  <w:vAlign w:val="center"/>
                </w:tcPr>
                <w:p/>
              </w:tc>
              <w:tc>
                <w:tcPr>
                  <w:tcW w:w="1332" w:type="dxa"/>
                  <w:tcBorders>
                    <w:left w:val="single" w:sz="4" w:space="0" w:color="000000"/>
                  </w:tcBorders>
                  <w:vAlign w:val="center"/>
                </w:tcPr>
                <w:p>
                  <w:pPr>
                    <w:pStyle w:val="39"/>
                    <w:rPr>
                      <w:color w:val="auto"/>
                      <w:lang w:val="en-US" w:eastAsia="zh-CN"/>
                    </w:rPr>
                  </w:pPr>
                  <w:r>
                    <w:rPr>
                      <w:rFonts w:hint="eastAsia"/>
                      <w:color w:val="auto"/>
                      <w:lang w:val="en-US" w:eastAsia="zh-CN"/>
                    </w:rPr>
                    <w:t>非甲烷总烃</w:t>
                  </w:r>
                </w:p>
              </w:tc>
              <w:tc>
                <w:tcPr>
                  <w:tcW w:w="2196" w:type="dxa"/>
                  <w:tcBorders>
                    <w:left w:val="single" w:sz="4" w:space="0" w:color="000000"/>
                  </w:tcBorders>
                  <w:shd w:val="clear" w:color="auto" w:fill="auto"/>
                  <w:vAlign w:val="center"/>
                </w:tcPr>
                <w:p>
                  <w:pPr>
                    <w:pStyle w:val="39"/>
                    <w:ind w:firstLine="0"/>
                    <w:rPr>
                      <w:rFonts w:eastAsia="宋体"/>
                      <w:color w:val="auto"/>
                      <w:vertAlign w:val="superscript"/>
                      <w:lang w:val="en-US" w:eastAsia="zh-CN"/>
                    </w:rPr>
                  </w:pPr>
                  <w:r>
                    <w:rPr>
                      <w:rFonts w:hint="eastAsia"/>
                      <w:color w:val="auto"/>
                      <w:lang w:val="en-US" w:eastAsia="zh-CN"/>
                    </w:rPr>
                    <w:t>60.0mg/m</w:t>
                  </w:r>
                  <w:r>
                    <w:rPr>
                      <w:rFonts w:hint="eastAsia"/>
                      <w:color w:val="auto"/>
                      <w:vertAlign w:val="superscript"/>
                      <w:lang w:val="en-US" w:eastAsia="zh-CN"/>
                    </w:rPr>
                    <w:t>3</w:t>
                  </w:r>
                </w:p>
              </w:tc>
              <w:tc>
                <w:tcPr>
                  <w:tcW w:w="3638" w:type="dxa"/>
                  <w:tcBorders>
                    <w:left w:val="single" w:sz="4" w:space="0" w:color="000000"/>
                  </w:tcBorders>
                  <w:vAlign w:val="center"/>
                </w:tcPr>
                <w:p>
                  <w:pPr>
                    <w:pStyle w:val="39"/>
                    <w:rPr>
                      <w:rFonts w:hint="eastAsia"/>
                      <w:color w:val="auto"/>
                    </w:rPr>
                  </w:pPr>
                  <w:r>
                    <w:rPr>
                      <w:rFonts w:hint="eastAsia"/>
                      <w:color w:val="auto"/>
                      <w:lang w:val="en-US" w:eastAsia="zh-CN"/>
                    </w:rPr>
                    <w:t>《工业企业挥发性有机物排放控制标准》（DB13/2322-2025）表1其他工业行业排放限值</w:t>
                  </w:r>
                </w:p>
              </w:tc>
            </w:tr>
            <w:tr>
              <w:trPr>
                <w:trHeight w:val="430"/>
              </w:trPr>
              <w:tc>
                <w:tcPr>
                  <w:tcW w:w="1558" w:type="dxa"/>
                  <w:vMerge w:val="restart"/>
                  <w:vAlign w:val="center"/>
                </w:tcPr>
                <w:p>
                  <w:pPr>
                    <w:pStyle w:val="39"/>
                    <w:rPr>
                      <w:rFonts w:eastAsia="宋体" w:hint="eastAsia"/>
                      <w:color w:val="auto"/>
                      <w:lang w:val="en-US" w:eastAsia="zh-CN"/>
                    </w:rPr>
                  </w:pPr>
                  <w:r>
                    <w:rPr>
                      <w:color w:val="auto"/>
                    </w:rPr>
                    <w:t>排气筒</w:t>
                  </w:r>
                  <w:r>
                    <w:rPr>
                      <w:rFonts w:hint="eastAsia"/>
                      <w:color w:val="auto"/>
                      <w:lang w:eastAsia="zh-CN"/>
                    </w:rPr>
                    <w:t>（</w:t>
                  </w:r>
                  <w:r>
                    <w:rPr>
                      <w:rFonts w:hint="eastAsia"/>
                      <w:color w:val="auto"/>
                      <w:lang w:val="en-US" w:eastAsia="zh-CN"/>
                    </w:rPr>
                    <w:t>P3</w:t>
                  </w:r>
                  <w:r>
                    <w:rPr>
                      <w:rFonts w:hint="eastAsia"/>
                      <w:color w:val="auto"/>
                      <w:lang w:eastAsia="zh-CN"/>
                    </w:rPr>
                    <w:t>）</w:t>
                  </w:r>
                  <w:r>
                    <w:rPr>
                      <w:rFonts w:hint="eastAsia"/>
                      <w:color w:val="auto"/>
                    </w:rPr>
                    <w:t>（</w:t>
                  </w:r>
                  <w:r>
                    <w:rPr>
                      <w:rFonts w:hint="eastAsia"/>
                      <w:color w:val="auto"/>
                      <w:lang w:val="en-US" w:eastAsia="zh-CN"/>
                    </w:rPr>
                    <w:t>15</w:t>
                  </w:r>
                  <w:r>
                    <w:rPr>
                      <w:rFonts w:hint="eastAsia"/>
                      <w:color w:val="auto"/>
                    </w:rPr>
                    <w:t>m）</w:t>
                  </w: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颗粒物</w:t>
                  </w:r>
                </w:p>
              </w:tc>
              <w:tc>
                <w:tcPr>
                  <w:tcW w:w="2196" w:type="dxa"/>
                  <w:tcBorders>
                    <w:left w:val="single" w:sz="4"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120mg/m³</w:t>
                  </w:r>
                  <w:r>
                    <w:rPr>
                      <w:rFonts w:hint="eastAsia"/>
                      <w:color w:val="auto"/>
                      <w:lang w:eastAsia="zh-CN"/>
                    </w:rPr>
                    <w:t>，</w:t>
                  </w:r>
                  <w:r>
                    <w:rPr>
                      <w:rFonts w:hint="eastAsia"/>
                      <w:color w:val="auto"/>
                      <w:lang w:val="en-US" w:eastAsia="zh-CN"/>
                    </w:rPr>
                    <w:t>3.5</w:t>
                  </w:r>
                  <w:r>
                    <w:rPr>
                      <w:rFonts w:hint="eastAsia"/>
                      <w:color w:val="auto"/>
                      <w:lang w:eastAsia="zh-CN"/>
                    </w:rPr>
                    <w:t>kg/h</w:t>
                  </w:r>
                </w:p>
              </w:tc>
              <w:tc>
                <w:tcPr>
                  <w:tcW w:w="3638" w:type="dxa"/>
                  <w:vMerge w:val="restart"/>
                  <w:tcBorders>
                    <w:left w:val="single" w:sz="4" w:space="0" w:color="000000"/>
                  </w:tcBorders>
                  <w:vAlign w:val="center"/>
                </w:tcPr>
                <w:p>
                  <w:pPr>
                    <w:pStyle w:val="39"/>
                    <w:rPr>
                      <w:color w:val="auto"/>
                    </w:rPr>
                  </w:pPr>
                  <w:r>
                    <w:rPr>
                      <w:rFonts w:hint="eastAsia"/>
                      <w:color w:val="auto"/>
                    </w:rPr>
                    <w:t>《大气污染物综合排放标准》（GB16297-1996）表2二级其他限值</w:t>
                  </w:r>
                </w:p>
              </w:tc>
            </w:tr>
            <w:tr>
              <w:trPr>
                <w:trHeight w:val="23"/>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甲醛</w:t>
                  </w:r>
                </w:p>
              </w:tc>
              <w:tc>
                <w:tcPr>
                  <w:tcW w:w="2196" w:type="dxa"/>
                  <w:tcBorders>
                    <w:left w:val="single" w:sz="4" w:space="0" w:color="000000"/>
                  </w:tcBorders>
                  <w:shd w:val="clear" w:color="auto" w:fill="auto"/>
                  <w:vAlign w:val="center"/>
                </w:tcPr>
                <w:p>
                  <w:pPr>
                    <w:pStyle w:val="39"/>
                    <w:ind w:firstLine="0"/>
                    <w:rPr>
                      <w:color w:val="auto"/>
                      <w:lang w:val="en-US" w:eastAsia="zh-CN"/>
                    </w:rPr>
                  </w:pPr>
                  <w:r>
                    <w:rPr>
                      <w:rFonts w:hint="eastAsia"/>
                      <w:color w:val="auto"/>
                      <w:lang w:val="en-US" w:eastAsia="zh-CN"/>
                    </w:rPr>
                    <w:t>25mg/m³，0.26kg/h</w:t>
                  </w:r>
                </w:p>
              </w:tc>
              <w:tc>
                <w:tcPr>
                  <w:tcW w:w="3638" w:type="dxa"/>
                  <w:vMerge/>
                  <w:tcBorders>
                    <w:left w:val="single" w:sz="4" w:space="0" w:color="000000"/>
                  </w:tcBorders>
                  <w:vAlign w:val="center"/>
                </w:tcPr>
                <w:p/>
              </w:tc>
            </w:tr>
            <w:tr>
              <w:trPr>
                <w:trHeight w:val="23"/>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氨</w:t>
                  </w:r>
                </w:p>
              </w:tc>
              <w:tc>
                <w:tcPr>
                  <w:tcW w:w="2196" w:type="dxa"/>
                  <w:tcBorders>
                    <w:left w:val="single" w:sz="4"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4.9</w:t>
                  </w:r>
                  <w:r>
                    <w:rPr>
                      <w:color w:val="auto"/>
                    </w:rPr>
                    <w:t>kg/h</w:t>
                  </w:r>
                </w:p>
              </w:tc>
              <w:tc>
                <w:tcPr>
                  <w:tcW w:w="3638" w:type="dxa"/>
                  <w:vMerge w:val="restart"/>
                  <w:tcBorders>
                    <w:left w:val="single" w:sz="4" w:space="0" w:color="000000"/>
                  </w:tcBorders>
                  <w:vAlign w:val="center"/>
                </w:tcPr>
                <w:p>
                  <w:pPr>
                    <w:pStyle w:val="39"/>
                    <w:rPr>
                      <w:color w:val="auto"/>
                    </w:rPr>
                  </w:pPr>
                  <w:r>
                    <w:rPr>
                      <w:rFonts w:hint="eastAsia"/>
                      <w:color w:val="auto"/>
                      <w:lang w:val="en-US" w:eastAsia="zh-CN"/>
                    </w:rPr>
                    <w:t>《恶臭污染物排放标准》(GB14554-93)表2排放标准值</w:t>
                  </w:r>
                </w:p>
              </w:tc>
            </w:tr>
            <w:tr>
              <w:trPr>
                <w:trHeight w:val="23"/>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臭气浓度</w:t>
                  </w:r>
                </w:p>
              </w:tc>
              <w:tc>
                <w:tcPr>
                  <w:tcW w:w="2196" w:type="dxa"/>
                  <w:tcBorders>
                    <w:left w:val="single" w:sz="4"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2000无量纲</w:t>
                  </w:r>
                </w:p>
              </w:tc>
              <w:tc>
                <w:tcPr>
                  <w:tcW w:w="3638" w:type="dxa"/>
                  <w:vMerge/>
                  <w:tcBorders>
                    <w:left w:val="single" w:sz="4" w:space="0" w:color="000000"/>
                  </w:tcBorders>
                  <w:vAlign w:val="center"/>
                </w:tcPr>
                <w:p/>
              </w:tc>
            </w:tr>
            <w:tr>
              <w:trPr>
                <w:trHeight w:val="671"/>
              </w:trPr>
              <w:tc>
                <w:tcPr>
                  <w:tcW w:w="1558" w:type="dxa"/>
                  <w:vMerge w:val="restart"/>
                  <w:vAlign w:val="center"/>
                </w:tcPr>
                <w:p>
                  <w:pPr>
                    <w:pStyle w:val="39"/>
                    <w:rPr>
                      <w:color w:val="auto"/>
                    </w:rPr>
                  </w:pPr>
                  <w:r>
                    <w:rPr>
                      <w:rFonts w:hint="eastAsia"/>
                      <w:color w:val="auto"/>
                      <w:lang w:val="en-US" w:eastAsia="zh-CN"/>
                    </w:rPr>
                    <w:t>天然气燃烧机后进入密闭烘干机前管道</w:t>
                  </w: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颗粒物</w:t>
                  </w:r>
                </w:p>
              </w:tc>
              <w:tc>
                <w:tcPr>
                  <w:tcW w:w="2196" w:type="dxa"/>
                  <w:tcBorders>
                    <w:left w:val="single" w:sz="4" w:space="0" w:color="000000"/>
                  </w:tcBorders>
                  <w:shd w:val="clear" w:color="auto" w:fill="auto"/>
                  <w:vAlign w:val="center"/>
                </w:tcPr>
                <w:p>
                  <w:pPr>
                    <w:pStyle w:val="39"/>
                    <w:ind w:firstLine="0"/>
                    <w:rPr>
                      <w:color w:val="auto"/>
                      <w:lang w:val="en-US" w:eastAsia="zh-CN"/>
                    </w:rPr>
                  </w:pPr>
                  <w:r>
                    <w:rPr>
                      <w:rFonts w:hint="eastAsia"/>
                      <w:color w:val="auto"/>
                      <w:lang w:val="en-US" w:eastAsia="zh-CN"/>
                    </w:rPr>
                    <w:t>30mg/m</w:t>
                  </w:r>
                  <w:r>
                    <w:rPr>
                      <w:rFonts w:hint="eastAsia"/>
                      <w:color w:val="auto"/>
                      <w:vertAlign w:val="superscript"/>
                      <w:lang w:val="en-US" w:eastAsia="zh-CN"/>
                    </w:rPr>
                    <w:t>3</w:t>
                  </w:r>
                </w:p>
              </w:tc>
              <w:tc>
                <w:tcPr>
                  <w:tcW w:w="3638" w:type="dxa"/>
                  <w:vMerge w:val="restart"/>
                  <w:tcBorders>
                    <w:left w:val="single" w:sz="4" w:space="0" w:color="000000"/>
                  </w:tcBorders>
                  <w:vAlign w:val="center"/>
                </w:tcPr>
                <w:p>
                  <w:pPr>
                    <w:pStyle w:val="39"/>
                    <w:rPr>
                      <w:color w:val="auto"/>
                      <w:lang w:val="en-US"/>
                    </w:rPr>
                  </w:pPr>
                  <w:r>
                    <w:rPr>
                      <w:rFonts w:hint="eastAsia"/>
                      <w:color w:val="auto"/>
                      <w:lang w:val="en-US" w:eastAsia="zh-CN"/>
                    </w:rPr>
                    <w:t>《工业炉窑大气污染物排放标准》(DB13/1640-2012)表1标准限值及《工业炉窑大气污染综合治理方案》环大气【2019】56号文件要求</w:t>
                  </w:r>
                </w:p>
              </w:tc>
            </w:tr>
            <w:tr>
              <w:trPr>
                <w:trHeight w:val="852"/>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二氧化硫</w:t>
                  </w:r>
                </w:p>
              </w:tc>
              <w:tc>
                <w:tcPr>
                  <w:tcW w:w="2196" w:type="dxa"/>
                  <w:tcBorders>
                    <w:left w:val="single" w:sz="4" w:space="0" w:color="000000"/>
                  </w:tcBorders>
                  <w:shd w:val="clear" w:color="auto" w:fill="auto"/>
                  <w:vAlign w:val="center"/>
                </w:tcPr>
                <w:p>
                  <w:pPr>
                    <w:pStyle w:val="39"/>
                    <w:ind w:firstLine="0"/>
                    <w:rPr>
                      <w:color w:val="auto"/>
                      <w:lang w:val="en-US" w:eastAsia="zh-CN"/>
                    </w:rPr>
                  </w:pPr>
                  <w:r>
                    <w:rPr>
                      <w:rFonts w:hint="eastAsia"/>
                      <w:color w:val="auto"/>
                      <w:lang w:val="en-US" w:eastAsia="zh-CN"/>
                    </w:rPr>
                    <w:t>200mg/m</w:t>
                  </w:r>
                  <w:r>
                    <w:rPr>
                      <w:rFonts w:hint="eastAsia"/>
                      <w:color w:val="auto"/>
                      <w:vertAlign w:val="superscript"/>
                      <w:lang w:val="en-US" w:eastAsia="zh-CN"/>
                    </w:rPr>
                    <w:t>3</w:t>
                  </w:r>
                </w:p>
              </w:tc>
              <w:tc>
                <w:tcPr>
                  <w:tcW w:w="3638" w:type="dxa"/>
                  <w:vMerge/>
                  <w:tcBorders>
                    <w:left w:val="single" w:sz="4" w:space="0" w:color="000000"/>
                  </w:tcBorders>
                  <w:vAlign w:val="center"/>
                </w:tcPr>
                <w:p/>
              </w:tc>
            </w:tr>
            <w:tr>
              <w:trPr>
                <w:trHeight w:val="23"/>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氮氧化物</w:t>
                  </w:r>
                </w:p>
              </w:tc>
              <w:tc>
                <w:tcPr>
                  <w:tcW w:w="2196" w:type="dxa"/>
                  <w:tcBorders>
                    <w:left w:val="single" w:sz="4" w:space="0" w:color="000000"/>
                  </w:tcBorders>
                  <w:shd w:val="clear" w:color="auto" w:fill="auto"/>
                  <w:vAlign w:val="center"/>
                </w:tcPr>
                <w:p>
                  <w:pPr>
                    <w:pStyle w:val="39"/>
                    <w:ind w:firstLine="0"/>
                    <w:rPr>
                      <w:color w:val="auto"/>
                      <w:lang w:val="en-US" w:eastAsia="zh-CN"/>
                    </w:rPr>
                  </w:pPr>
                  <w:r>
                    <w:rPr>
                      <w:rFonts w:hint="eastAsia"/>
                      <w:color w:val="auto"/>
                      <w:lang w:val="en-US" w:eastAsia="zh-CN"/>
                    </w:rPr>
                    <w:t>300mg/m</w:t>
                  </w:r>
                  <w:r>
                    <w:rPr>
                      <w:rFonts w:hint="eastAsia"/>
                      <w:color w:val="auto"/>
                      <w:vertAlign w:val="superscript"/>
                      <w:lang w:val="en-US" w:eastAsia="zh-CN"/>
                    </w:rPr>
                    <w:t>3</w:t>
                  </w:r>
                </w:p>
              </w:tc>
              <w:tc>
                <w:tcPr>
                  <w:tcW w:w="3638" w:type="dxa"/>
                  <w:vMerge/>
                  <w:tcBorders>
                    <w:left w:val="single" w:sz="4" w:space="0" w:color="000000"/>
                  </w:tcBorders>
                  <w:vAlign w:val="center"/>
                </w:tcPr>
                <w:p/>
              </w:tc>
            </w:tr>
            <w:tr>
              <w:trPr>
                <w:trHeight w:val="23"/>
              </w:trPr>
              <w:tc>
                <w:tcPr>
                  <w:tcW w:w="1558" w:type="dxa"/>
                  <w:vMerge/>
                  <w:vAlign w:val="center"/>
                </w:tcPr>
                <w:p/>
              </w:tc>
              <w:tc>
                <w:tcPr>
                  <w:tcW w:w="1332" w:type="dxa"/>
                  <w:tcBorders>
                    <w:left w:val="single" w:sz="4" w:space="0" w:color="000000"/>
                  </w:tcBorders>
                  <w:vAlign w:val="center"/>
                </w:tcPr>
                <w:p>
                  <w:pPr>
                    <w:pStyle w:val="39"/>
                    <w:rPr>
                      <w:color w:val="auto"/>
                      <w:lang w:val="en-US" w:eastAsia="zh-CN"/>
                    </w:rPr>
                  </w:pPr>
                  <w:r>
                    <w:rPr>
                      <w:rFonts w:hint="eastAsia"/>
                      <w:color w:val="auto"/>
                      <w:lang w:val="en-US" w:eastAsia="zh-CN"/>
                    </w:rPr>
                    <w:t>烟气黑度</w:t>
                  </w:r>
                </w:p>
              </w:tc>
              <w:tc>
                <w:tcPr>
                  <w:tcW w:w="2196" w:type="dxa"/>
                  <w:tcBorders>
                    <w:left w:val="single" w:sz="4" w:space="0" w:color="000000"/>
                  </w:tcBorders>
                  <w:shd w:val="clear" w:color="auto" w:fill="auto"/>
                  <w:vAlign w:val="center"/>
                </w:tcPr>
                <w:p>
                  <w:pPr>
                    <w:pStyle w:val="39"/>
                    <w:ind w:firstLine="0"/>
                    <w:rPr>
                      <w:color w:val="auto"/>
                      <w:lang w:val="en-US" w:eastAsia="zh-CN"/>
                    </w:rPr>
                  </w:pPr>
                  <w:r>
                    <w:rPr>
                      <w:rFonts w:hint="eastAsia"/>
                      <w:color w:val="auto"/>
                      <w:lang w:val="en-US" w:eastAsia="zh-CN"/>
                    </w:rPr>
                    <w:t>＜1</w:t>
                  </w:r>
                </w:p>
              </w:tc>
              <w:tc>
                <w:tcPr>
                  <w:tcW w:w="3638" w:type="dxa"/>
                  <w:vMerge/>
                  <w:tcBorders>
                    <w:left w:val="single" w:sz="4" w:space="0" w:color="000000"/>
                  </w:tcBorders>
                  <w:vAlign w:val="center"/>
                </w:tcPr>
                <w:p/>
              </w:tc>
            </w:tr>
            <w:tr>
              <w:trPr>
                <w:trHeight w:val="257"/>
              </w:trPr>
              <w:tc>
                <w:tcPr>
                  <w:tcW w:w="1558" w:type="dxa"/>
                  <w:vMerge w:val="restart"/>
                  <w:vAlign w:val="center"/>
                </w:tcPr>
                <w:p>
                  <w:pPr>
                    <w:pStyle w:val="39"/>
                    <w:rPr>
                      <w:color w:val="auto"/>
                    </w:rPr>
                  </w:pPr>
                  <w:r>
                    <w:rPr>
                      <w:color w:val="auto"/>
                    </w:rPr>
                    <w:t>排气筒</w:t>
                  </w:r>
                  <w:r>
                    <w:rPr>
                      <w:rFonts w:hint="eastAsia"/>
                      <w:color w:val="auto"/>
                      <w:lang w:eastAsia="zh-CN"/>
                    </w:rPr>
                    <w:t>（</w:t>
                  </w:r>
                  <w:r>
                    <w:rPr>
                      <w:rFonts w:hint="eastAsia"/>
                      <w:color w:val="auto"/>
                      <w:lang w:val="en-US" w:eastAsia="zh-CN"/>
                    </w:rPr>
                    <w:t>P4）（15m）</w:t>
                  </w:r>
                </w:p>
              </w:tc>
              <w:tc>
                <w:tcPr>
                  <w:tcW w:w="1332" w:type="dxa"/>
                  <w:tcBorders>
                    <w:bottom w:val="single" w:sz="4" w:space="0" w:color="auto"/>
                  </w:tcBorders>
                  <w:vAlign w:val="center"/>
                </w:tcPr>
                <w:p>
                  <w:pPr>
                    <w:pStyle w:val="39"/>
                    <w:rPr>
                      <w:color w:val="auto"/>
                      <w:lang w:val="en-US" w:eastAsia="zh-CN"/>
                    </w:rPr>
                  </w:pPr>
                  <w:r>
                    <w:rPr>
                      <w:rFonts w:hint="eastAsia"/>
                      <w:color w:val="auto"/>
                      <w:lang w:val="en-US" w:eastAsia="zh-CN"/>
                    </w:rPr>
                    <w:t>氯化氢</w:t>
                  </w:r>
                </w:p>
              </w:tc>
              <w:tc>
                <w:tcPr>
                  <w:tcW w:w="2196" w:type="dxa"/>
                  <w:tcBorders>
                    <w:bottom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100mg/m</w:t>
                  </w:r>
                  <w:r>
                    <w:rPr>
                      <w:rFonts w:cs="Times New Roman" w:hint="eastAsia"/>
                      <w:color w:val="auto"/>
                      <w:kern w:val="0"/>
                      <w:sz w:val="21"/>
                      <w:szCs w:val="24"/>
                      <w:vertAlign w:val="superscript"/>
                      <w:lang w:val="en-US" w:eastAsia="zh-CN" w:bidi="ar-SA"/>
                    </w:rPr>
                    <w:t>3</w:t>
                  </w:r>
                  <w:r>
                    <w:rPr>
                      <w:rFonts w:cs="Times New Roman" w:hint="eastAsia"/>
                      <w:color w:val="auto"/>
                      <w:kern w:val="0"/>
                      <w:sz w:val="21"/>
                      <w:szCs w:val="24"/>
                      <w:lang w:val="en-US" w:eastAsia="zh-CN" w:bidi="ar-SA"/>
                    </w:rPr>
                    <w:t>，0.26kg/h</w:t>
                  </w:r>
                </w:p>
              </w:tc>
              <w:tc>
                <w:tcPr>
                  <w:tcW w:w="3638" w:type="dxa"/>
                  <w:vMerge w:val="restart"/>
                  <w:tcBorders>
                    <w:left w:val="single" w:sz="4" w:space="0" w:color="000000"/>
                  </w:tcBorders>
                  <w:vAlign w:val="center"/>
                </w:tcPr>
                <w:p>
                  <w:pPr>
                    <w:pStyle w:val="39"/>
                    <w:rPr>
                      <w:color w:val="auto"/>
                    </w:rPr>
                  </w:pPr>
                  <w:r>
                    <w:rPr>
                      <w:rFonts w:hint="eastAsia"/>
                      <w:color w:val="auto"/>
                      <w:lang w:val="en-US" w:eastAsia="zh-CN"/>
                    </w:rPr>
                    <w:t>《大气污染物综合排放标准》（GB16297-1996）表2二级标准</w:t>
                  </w:r>
                </w:p>
              </w:tc>
            </w:tr>
            <w:tr>
              <w:trPr>
                <w:trHeight w:val="206"/>
              </w:trPr>
              <w:tc>
                <w:tcPr>
                  <w:tcW w:w="1558" w:type="dxa"/>
                  <w:vMerge/>
                  <w:vAlign w:val="center"/>
                </w:tcPr>
                <w:p/>
              </w:tc>
              <w:tc>
                <w:tcPr>
                  <w:tcW w:w="1332" w:type="dxa"/>
                  <w:tcBorders>
                    <w:top w:val="single" w:sz="4" w:space="0" w:color="auto"/>
                  </w:tcBorders>
                  <w:vAlign w:val="center"/>
                </w:tcPr>
                <w:p>
                  <w:pPr>
                    <w:pStyle w:val="39"/>
                    <w:rPr>
                      <w:color w:val="auto"/>
                      <w:lang w:val="en-US" w:eastAsia="zh-CN"/>
                    </w:rPr>
                  </w:pPr>
                  <w:r>
                    <w:rPr>
                      <w:rFonts w:hint="eastAsia"/>
                      <w:color w:val="auto"/>
                      <w:lang w:val="en-US" w:eastAsia="zh-CN"/>
                    </w:rPr>
                    <w:t>硫酸雾</w:t>
                  </w:r>
                </w:p>
              </w:tc>
              <w:tc>
                <w:tcPr>
                  <w:tcW w:w="2196" w:type="dxa"/>
                  <w:tcBorders>
                    <w:top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45</w:t>
                  </w:r>
                  <w:r>
                    <w:rPr>
                      <w:rFonts w:ascii="Times New Roman" w:eastAsia="宋体" w:cs="Times New Roman" w:hAnsi="Times New Roman" w:hint="eastAsia"/>
                      <w:color w:val="auto"/>
                      <w:kern w:val="0"/>
                      <w:sz w:val="21"/>
                      <w:szCs w:val="24"/>
                      <w:lang w:val="en-US" w:eastAsia="zh-CN" w:bidi="ar-SA"/>
                    </w:rPr>
                    <w:t>mg/m3，</w:t>
                  </w:r>
                  <w:r>
                    <w:rPr>
                      <w:rFonts w:cs="Times New Roman" w:hint="eastAsia"/>
                      <w:color w:val="auto"/>
                      <w:kern w:val="0"/>
                      <w:sz w:val="21"/>
                      <w:szCs w:val="24"/>
                      <w:lang w:val="en-US" w:eastAsia="zh-CN" w:bidi="ar-SA"/>
                    </w:rPr>
                    <w:t>1.5</w:t>
                  </w:r>
                  <w:r>
                    <w:rPr>
                      <w:rFonts w:ascii="Times New Roman" w:eastAsia="宋体" w:cs="Times New Roman" w:hAnsi="Times New Roman" w:hint="eastAsia"/>
                      <w:color w:val="auto"/>
                      <w:kern w:val="0"/>
                      <w:sz w:val="21"/>
                      <w:szCs w:val="24"/>
                      <w:lang w:val="en-US" w:eastAsia="zh-CN" w:bidi="ar-SA"/>
                    </w:rPr>
                    <w:t>7kg/h</w:t>
                  </w:r>
                </w:p>
              </w:tc>
              <w:tc>
                <w:tcPr>
                  <w:tcW w:w="3638" w:type="dxa"/>
                  <w:vMerge/>
                  <w:tcBorders>
                    <w:left w:val="single" w:sz="4" w:space="0" w:color="000000"/>
                  </w:tcBorders>
                  <w:vAlign w:val="center"/>
                </w:tcPr>
                <w:p/>
              </w:tc>
            </w:tr>
            <w:tr>
              <w:trPr>
                <w:trHeight w:val="23"/>
              </w:trPr>
              <w:tc>
                <w:tcPr>
                  <w:tcW w:w="1558" w:type="dxa"/>
                  <w:vMerge/>
                  <w:vAlign w:val="center"/>
                </w:tcPr>
                <w:p/>
              </w:tc>
              <w:tc>
                <w:tcPr>
                  <w:tcW w:w="1332" w:type="dxa"/>
                  <w:tcBorders>
                    <w:bottom w:val="single" w:sz="4" w:space="0" w:color="auto"/>
                  </w:tcBorders>
                  <w:vAlign w:val="center"/>
                </w:tcPr>
                <w:p>
                  <w:pPr>
                    <w:pStyle w:val="39"/>
                    <w:rPr>
                      <w:color w:val="auto"/>
                      <w:lang w:val="en-US" w:eastAsia="zh-CN"/>
                    </w:rPr>
                  </w:pPr>
                  <w:r>
                    <w:rPr>
                      <w:rFonts w:hint="eastAsia"/>
                      <w:color w:val="auto"/>
                      <w:lang w:val="en-US" w:eastAsia="zh-CN"/>
                    </w:rPr>
                    <w:t>氮氧化物</w:t>
                  </w:r>
                </w:p>
              </w:tc>
              <w:tc>
                <w:tcPr>
                  <w:tcW w:w="2196" w:type="dxa"/>
                  <w:tcBorders>
                    <w:left w:val="single" w:sz="4" w:space="0" w:color="000000"/>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240mg/m</w:t>
                  </w:r>
                  <w:r>
                    <w:rPr>
                      <w:rFonts w:cs="Times New Roman" w:hint="eastAsia"/>
                      <w:color w:val="auto"/>
                      <w:kern w:val="0"/>
                      <w:sz w:val="21"/>
                      <w:szCs w:val="24"/>
                      <w:vertAlign w:val="superscript"/>
                      <w:lang w:val="en-US" w:eastAsia="zh-CN" w:bidi="ar-SA"/>
                    </w:rPr>
                    <w:t>3</w:t>
                  </w:r>
                  <w:r>
                    <w:rPr>
                      <w:rFonts w:cs="Times New Roman" w:hint="eastAsia"/>
                      <w:color w:val="auto"/>
                      <w:kern w:val="0"/>
                      <w:sz w:val="21"/>
                      <w:szCs w:val="24"/>
                      <w:lang w:val="en-US" w:eastAsia="zh-CN" w:bidi="ar-SA"/>
                    </w:rPr>
                    <w:t>，0.77kg/h</w:t>
                  </w:r>
                </w:p>
              </w:tc>
              <w:tc>
                <w:tcPr>
                  <w:tcW w:w="3638" w:type="dxa"/>
                  <w:vMerge/>
                  <w:tcBorders>
                    <w:bottom w:val="single" w:sz="4" w:space="0" w:color="auto"/>
                  </w:tcBorders>
                  <w:vAlign w:val="center"/>
                </w:tcPr>
                <w:p/>
              </w:tc>
            </w:tr>
            <w:tr>
              <w:trPr>
                <w:trHeight w:val="23"/>
              </w:trPr>
              <w:tc>
                <w:tcPr>
                  <w:tcW w:w="1558" w:type="dxa"/>
                  <w:vMerge/>
                  <w:vAlign w:val="center"/>
                </w:tcPr>
                <w:p/>
              </w:tc>
              <w:tc>
                <w:tcPr>
                  <w:tcW w:w="1332" w:type="dxa"/>
                  <w:tcBorders>
                    <w:top w:val="single" w:sz="4" w:space="0" w:color="auto"/>
                  </w:tcBorders>
                  <w:vAlign w:val="center"/>
                </w:tcPr>
                <w:p>
                  <w:pPr>
                    <w:pStyle w:val="39"/>
                    <w:rPr>
                      <w:color w:val="auto"/>
                      <w:lang w:val="en-US" w:eastAsia="zh-CN"/>
                    </w:rPr>
                  </w:pPr>
                  <w:r>
                    <w:rPr>
                      <w:rFonts w:hint="eastAsia"/>
                      <w:color w:val="auto"/>
                      <w:lang w:val="en-US" w:eastAsia="zh-CN"/>
                    </w:rPr>
                    <w:t>非甲烷总烃</w:t>
                  </w:r>
                </w:p>
              </w:tc>
              <w:tc>
                <w:tcPr>
                  <w:tcW w:w="2196" w:type="dxa"/>
                  <w:tcBorders>
                    <w:left w:val="single" w:sz="4" w:space="0" w:color="000000"/>
                  </w:tcBorders>
                  <w:shd w:val="clear" w:color="auto" w:fill="auto"/>
                  <w:vAlign w:val="center"/>
                </w:tcPr>
                <w:p>
                  <w:pPr>
                    <w:pStyle w:val="39"/>
                    <w:ind w:firstLine="0"/>
                    <w:rPr>
                      <w:rFonts w:hint="eastAsia"/>
                      <w:color w:val="auto"/>
                      <w:lang w:val="en-US" w:eastAsia="zh-CN"/>
                    </w:rPr>
                  </w:pPr>
                  <w:r>
                    <w:rPr>
                      <w:rFonts w:ascii="Times New Roman" w:eastAsia="宋体" w:hAnsi="Times New Roman" w:hint="eastAsia"/>
                      <w:color w:val="auto"/>
                      <w:lang w:val="en-US" w:eastAsia="zh-CN"/>
                    </w:rPr>
                    <w:t>60.0mg/m</w:t>
                  </w:r>
                  <w:r>
                    <w:rPr>
                      <w:rFonts w:ascii="Times New Roman" w:eastAsia="宋体" w:hAnsi="Times New Roman" w:hint="eastAsia"/>
                      <w:color w:val="auto"/>
                      <w:vertAlign w:val="superscript"/>
                      <w:lang w:val="en-US" w:eastAsia="zh-CN"/>
                    </w:rPr>
                    <w:t>3</w:t>
                  </w:r>
                </w:p>
              </w:tc>
              <w:tc>
                <w:tcPr>
                  <w:tcW w:w="3638" w:type="dxa"/>
                  <w:tcBorders>
                    <w:top w:val="single" w:sz="4" w:space="0" w:color="auto"/>
                    <w:bottom w:val="single" w:sz="4" w:space="0" w:color="auto"/>
                  </w:tcBorders>
                  <w:vAlign w:val="center"/>
                </w:tcPr>
                <w:p>
                  <w:pPr>
                    <w:pStyle w:val="39"/>
                    <w:rPr>
                      <w:color w:val="auto"/>
                    </w:rPr>
                  </w:pPr>
                  <w:r>
                    <w:rPr>
                      <w:rFonts w:hint="eastAsia"/>
                      <w:color w:val="auto"/>
                      <w:lang w:val="en-US" w:eastAsia="zh-CN"/>
                    </w:rPr>
                    <w:t>《工业企业挥发性有机物排放控制标准》（DB13/2322-2025）表1其他工业行业排放限值</w:t>
                  </w:r>
                </w:p>
              </w:tc>
            </w:tr>
            <w:tr>
              <w:trPr>
                <w:trHeight w:val="90"/>
              </w:trPr>
              <w:tc>
                <w:tcPr>
                  <w:tcW w:w="1558" w:type="dxa"/>
                  <w:vMerge w:val="restart"/>
                  <w:vAlign w:val="center"/>
                </w:tcPr>
                <w:p>
                  <w:pPr>
                    <w:pStyle w:val="39"/>
                    <w:rPr>
                      <w:color w:val="auto"/>
                    </w:rPr>
                  </w:pPr>
                  <w:r>
                    <w:rPr>
                      <w:rFonts w:hint="eastAsia"/>
                      <w:color w:val="auto"/>
                    </w:rPr>
                    <w:t>厂界</w:t>
                  </w:r>
                </w:p>
              </w:tc>
              <w:tc>
                <w:tcPr>
                  <w:tcW w:w="1332" w:type="dxa"/>
                  <w:tcBorders>
                    <w:left w:val="single" w:sz="4" w:space="0" w:color="000000"/>
                  </w:tcBorders>
                  <w:vAlign w:val="center"/>
                </w:tcPr>
                <w:p>
                  <w:pPr>
                    <w:pStyle w:val="39"/>
                    <w:rPr>
                      <w:color w:val="auto"/>
                    </w:rPr>
                  </w:pPr>
                  <w:r>
                    <w:rPr>
                      <w:rFonts w:hint="eastAsia"/>
                      <w:color w:val="auto"/>
                    </w:rPr>
                    <w:t>颗粒物</w:t>
                  </w:r>
                </w:p>
              </w:tc>
              <w:tc>
                <w:tcPr>
                  <w:tcW w:w="2196" w:type="dxa"/>
                  <w:tcBorders>
                    <w:left w:val="single" w:sz="4" w:space="0" w:color="000000"/>
                  </w:tcBorders>
                  <w:vAlign w:val="center"/>
                </w:tcPr>
                <w:p>
                  <w:pPr>
                    <w:pStyle w:val="39"/>
                    <w:rPr>
                      <w:color w:val="auto"/>
                    </w:rPr>
                  </w:pPr>
                  <w:r>
                    <w:rPr>
                      <w:rFonts w:hint="eastAsia"/>
                      <w:color w:val="auto"/>
                    </w:rPr>
                    <w:t>1.0mg/m³</w:t>
                  </w:r>
                </w:p>
              </w:tc>
              <w:tc>
                <w:tcPr>
                  <w:tcW w:w="3638" w:type="dxa"/>
                  <w:vMerge w:val="restart"/>
                  <w:tcBorders>
                    <w:top w:val="single" w:sz="4" w:space="0" w:color="auto"/>
                    <w:bottom w:val="single" w:sz="4" w:space="0" w:color="auto"/>
                  </w:tcBorders>
                  <w:vAlign w:val="center"/>
                </w:tcPr>
                <w:p>
                  <w:pPr>
                    <w:pStyle w:val="39"/>
                    <w:rPr>
                      <w:color w:val="auto"/>
                    </w:rPr>
                  </w:pPr>
                  <w:bookmarkStart w:id="3" w:name="_Hlk176797578"/>
                  <w:r>
                    <w:rPr>
                      <w:rFonts w:hint="eastAsia"/>
                      <w:color w:val="auto"/>
                    </w:rPr>
                    <w:t>《大气污染物综合排放标准》(GB16297-1996)表2无组织浓度限值要求</w:t>
                  </w:r>
                  <w:bookmarkEnd w:id="3"/>
                </w:p>
              </w:tc>
            </w:tr>
            <w:tr>
              <w:trPr>
                <w:trHeight w:val="90"/>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氯化氢</w:t>
                  </w:r>
                </w:p>
              </w:tc>
              <w:tc>
                <w:tcPr>
                  <w:tcW w:w="2196" w:type="dxa"/>
                  <w:tcBorders>
                    <w:left w:val="single" w:sz="4" w:space="0" w:color="000000"/>
                  </w:tcBorders>
                  <w:vAlign w:val="center"/>
                </w:tcPr>
                <w:p>
                  <w:pPr>
                    <w:pStyle w:val="39"/>
                    <w:rPr>
                      <w:rFonts w:eastAsia="宋体"/>
                      <w:color w:val="auto"/>
                      <w:lang w:val="en-US" w:eastAsia="zh-CN"/>
                    </w:rPr>
                  </w:pPr>
                  <w:r>
                    <w:rPr>
                      <w:rFonts w:hint="eastAsia"/>
                      <w:color w:val="auto"/>
                      <w:lang w:val="en-US" w:eastAsia="zh-CN"/>
                    </w:rPr>
                    <w:t>0.2mg/m</w:t>
                  </w:r>
                  <w:r>
                    <w:rPr>
                      <w:rFonts w:hint="eastAsia"/>
                      <w:color w:val="auto"/>
                      <w:vertAlign w:val="superscript"/>
                      <w:lang w:val="en-US" w:eastAsia="zh-CN"/>
                    </w:rPr>
                    <w:t>3</w:t>
                  </w:r>
                </w:p>
              </w:tc>
              <w:tc>
                <w:tcPr>
                  <w:tcW w:w="3638" w:type="dxa"/>
                  <w:vMerge/>
                  <w:tcBorders>
                    <w:top w:val="single" w:sz="4" w:space="0" w:color="auto"/>
                    <w:bottom w:val="single" w:sz="4" w:space="0" w:color="auto"/>
                  </w:tcBorders>
                  <w:vAlign w:val="center"/>
                </w:tcPr>
                <w:p/>
              </w:tc>
            </w:tr>
            <w:tr>
              <w:trPr>
                <w:trHeight w:val="90"/>
              </w:trPr>
              <w:tc>
                <w:tcPr>
                  <w:tcW w:w="1558" w:type="dxa"/>
                  <w:vMerge/>
                  <w:vAlign w:val="center"/>
                </w:tcPr>
                <w:p/>
              </w:tc>
              <w:tc>
                <w:tcPr>
                  <w:tcW w:w="1332" w:type="dxa"/>
                  <w:tcBorders>
                    <w:left w:val="single" w:sz="4" w:space="0" w:color="000000"/>
                  </w:tcBorders>
                  <w:vAlign w:val="center"/>
                </w:tcPr>
                <w:p>
                  <w:pPr>
                    <w:pStyle w:val="39"/>
                    <w:rPr>
                      <w:rFonts w:eastAsia="宋体"/>
                      <w:color w:val="auto"/>
                      <w:lang w:val="en-US" w:eastAsia="zh-CN"/>
                    </w:rPr>
                  </w:pPr>
                  <w:r>
                    <w:rPr>
                      <w:rFonts w:hint="eastAsia"/>
                      <w:color w:val="auto"/>
                      <w:lang w:val="en-US" w:eastAsia="zh-CN"/>
                    </w:rPr>
                    <w:t>硫酸雾</w:t>
                  </w:r>
                </w:p>
              </w:tc>
              <w:tc>
                <w:tcPr>
                  <w:tcW w:w="2196" w:type="dxa"/>
                  <w:tcBorders>
                    <w:left w:val="single" w:sz="4" w:space="0" w:color="000000"/>
                  </w:tcBorders>
                  <w:vAlign w:val="center"/>
                </w:tcPr>
                <w:p>
                  <w:pPr>
                    <w:pStyle w:val="39"/>
                    <w:rPr>
                      <w:rFonts w:eastAsia="宋体"/>
                      <w:color w:val="auto"/>
                      <w:lang w:val="en-US" w:eastAsia="zh-CN"/>
                    </w:rPr>
                  </w:pPr>
                  <w:r>
                    <w:rPr>
                      <w:rFonts w:hint="eastAsia"/>
                      <w:color w:val="auto"/>
                      <w:lang w:val="en-US" w:eastAsia="zh-CN"/>
                    </w:rPr>
                    <w:t>1.2</w:t>
                  </w:r>
                  <w:r>
                    <w:rPr>
                      <w:rFonts w:ascii="Times New Roman" w:eastAsia="宋体" w:hAnsi="Times New Roman" w:hint="eastAsia"/>
                      <w:color w:val="auto"/>
                      <w:lang w:val="en-US" w:eastAsia="zh-CN"/>
                    </w:rPr>
                    <w:t>mg/m</w:t>
                  </w:r>
                  <w:r>
                    <w:rPr>
                      <w:rFonts w:ascii="Times New Roman" w:eastAsia="宋体" w:hAnsi="Times New Roman" w:hint="eastAsia"/>
                      <w:color w:val="auto"/>
                      <w:vertAlign w:val="superscript"/>
                      <w:lang w:val="en-US" w:eastAsia="zh-CN"/>
                    </w:rPr>
                    <w:t>3</w:t>
                  </w:r>
                </w:p>
              </w:tc>
              <w:tc>
                <w:tcPr>
                  <w:tcW w:w="3638" w:type="dxa"/>
                  <w:vMerge/>
                  <w:tcBorders>
                    <w:top w:val="single" w:sz="4" w:space="0" w:color="auto"/>
                    <w:bottom w:val="single" w:sz="4" w:space="0" w:color="auto"/>
                  </w:tcBorders>
                  <w:vAlign w:val="center"/>
                </w:tcPr>
                <w:p/>
              </w:tc>
            </w:tr>
            <w:tr>
              <w:trPr>
                <w:trHeight w:val="90"/>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氮氧化物</w:t>
                  </w:r>
                </w:p>
              </w:tc>
              <w:tc>
                <w:tcPr>
                  <w:tcW w:w="2196" w:type="dxa"/>
                  <w:tcBorders>
                    <w:left w:val="single" w:sz="4" w:space="0" w:color="000000"/>
                  </w:tcBorders>
                  <w:vAlign w:val="center"/>
                </w:tcPr>
                <w:p>
                  <w:pPr>
                    <w:pStyle w:val="39"/>
                    <w:rPr>
                      <w:rFonts w:eastAsia="宋体"/>
                      <w:color w:val="auto"/>
                      <w:lang w:val="en-US" w:eastAsia="zh-CN"/>
                    </w:rPr>
                  </w:pPr>
                  <w:r>
                    <w:rPr>
                      <w:rFonts w:hint="eastAsia"/>
                      <w:color w:val="auto"/>
                      <w:lang w:val="en-US" w:eastAsia="zh-CN"/>
                    </w:rPr>
                    <w:t>0.12</w:t>
                  </w:r>
                  <w:r>
                    <w:rPr>
                      <w:rFonts w:ascii="Times New Roman" w:eastAsia="宋体" w:hAnsi="Times New Roman" w:hint="eastAsia"/>
                      <w:color w:val="auto"/>
                      <w:lang w:val="en-US" w:eastAsia="zh-CN"/>
                    </w:rPr>
                    <w:t>mg/m</w:t>
                  </w:r>
                  <w:r>
                    <w:rPr>
                      <w:rFonts w:ascii="Times New Roman" w:eastAsia="宋体" w:hAnsi="Times New Roman" w:hint="eastAsia"/>
                      <w:color w:val="auto"/>
                      <w:vertAlign w:val="superscript"/>
                      <w:lang w:val="en-US" w:eastAsia="zh-CN"/>
                    </w:rPr>
                    <w:t>3</w:t>
                  </w:r>
                </w:p>
              </w:tc>
              <w:tc>
                <w:tcPr>
                  <w:tcW w:w="3638" w:type="dxa"/>
                  <w:vMerge/>
                  <w:tcBorders>
                    <w:top w:val="single" w:sz="4" w:space="0" w:color="auto"/>
                    <w:bottom w:val="single" w:sz="4" w:space="0" w:color="auto"/>
                  </w:tcBorders>
                  <w:vAlign w:val="center"/>
                </w:tcPr>
                <w:p/>
              </w:tc>
            </w:tr>
            <w:tr>
              <w:trPr>
                <w:trHeight w:val="90"/>
              </w:trPr>
              <w:tc>
                <w:tcPr>
                  <w:tcW w:w="1558" w:type="dxa"/>
                  <w:vMerge/>
                  <w:vAlign w:val="center"/>
                </w:tcPr>
                <w:p/>
              </w:tc>
              <w:tc>
                <w:tcPr>
                  <w:tcW w:w="1332" w:type="dxa"/>
                  <w:tcBorders>
                    <w:left w:val="single" w:sz="4" w:space="0" w:color="000000"/>
                  </w:tcBorders>
                  <w:vAlign w:val="center"/>
                </w:tcPr>
                <w:p>
                  <w:pPr>
                    <w:pStyle w:val="39"/>
                    <w:rPr>
                      <w:color w:val="auto"/>
                      <w:lang w:val="en-US" w:eastAsia="zh-CN"/>
                    </w:rPr>
                  </w:pPr>
                  <w:r>
                    <w:rPr>
                      <w:rFonts w:hint="eastAsia"/>
                      <w:color w:val="auto"/>
                      <w:lang w:val="en-US" w:eastAsia="zh-CN"/>
                    </w:rPr>
                    <w:t>甲醛</w:t>
                  </w:r>
                </w:p>
              </w:tc>
              <w:tc>
                <w:tcPr>
                  <w:tcW w:w="2196" w:type="dxa"/>
                  <w:tcBorders>
                    <w:left w:val="single" w:sz="4" w:space="0" w:color="000000"/>
                  </w:tcBorders>
                  <w:vAlign w:val="center"/>
                </w:tcPr>
                <w:p>
                  <w:pPr>
                    <w:pStyle w:val="39"/>
                    <w:rPr>
                      <w:color w:val="auto"/>
                      <w:lang w:val="en-US" w:eastAsia="zh-CN"/>
                    </w:rPr>
                  </w:pPr>
                  <w:r>
                    <w:rPr>
                      <w:rFonts w:hint="eastAsia"/>
                      <w:color w:val="auto"/>
                      <w:lang w:val="en-US" w:eastAsia="zh-CN"/>
                    </w:rPr>
                    <w:t>0.2</w:t>
                  </w:r>
                  <w:r>
                    <w:rPr>
                      <w:rFonts w:ascii="Times New Roman" w:eastAsia="宋体" w:hAnsi="Times New Roman" w:hint="eastAsia"/>
                      <w:color w:val="auto"/>
                      <w:lang w:val="en-US" w:eastAsia="zh-CN"/>
                    </w:rPr>
                    <w:t>mg/m</w:t>
                  </w:r>
                  <w:r>
                    <w:rPr>
                      <w:rFonts w:ascii="Times New Roman" w:eastAsia="宋体" w:hAnsi="Times New Roman" w:hint="eastAsia"/>
                      <w:color w:val="auto"/>
                      <w:vertAlign w:val="superscript"/>
                      <w:lang w:val="en-US" w:eastAsia="zh-CN"/>
                    </w:rPr>
                    <w:t>3</w:t>
                  </w:r>
                </w:p>
              </w:tc>
              <w:tc>
                <w:tcPr>
                  <w:tcW w:w="3638" w:type="dxa"/>
                  <w:vMerge/>
                  <w:tcBorders>
                    <w:top w:val="single" w:sz="4" w:space="0" w:color="auto"/>
                    <w:bottom w:val="single" w:sz="4" w:space="0" w:color="auto"/>
                  </w:tcBorders>
                  <w:vAlign w:val="center"/>
                </w:tcPr>
                <w:p/>
              </w:tc>
            </w:tr>
            <w:tr>
              <w:trPr>
                <w:trHeight w:val="90"/>
              </w:trPr>
              <w:tc>
                <w:tcPr>
                  <w:tcW w:w="1558" w:type="dxa"/>
                  <w:vMerge/>
                  <w:vAlign w:val="center"/>
                </w:tcPr>
                <w:p/>
              </w:tc>
              <w:tc>
                <w:tcPr>
                  <w:tcW w:w="1332" w:type="dxa"/>
                  <w:tcBorders>
                    <w:left w:val="single" w:sz="4" w:space="0" w:color="000000"/>
                  </w:tcBorders>
                  <w:vAlign w:val="center"/>
                </w:tcPr>
                <w:p>
                  <w:pPr>
                    <w:pStyle w:val="39"/>
                    <w:rPr>
                      <w:color w:val="auto"/>
                      <w:lang w:val="en-US" w:eastAsia="zh-CN"/>
                    </w:rPr>
                  </w:pPr>
                  <w:r>
                    <w:rPr>
                      <w:rFonts w:hint="eastAsia"/>
                      <w:color w:val="auto"/>
                      <w:lang w:val="en-US" w:eastAsia="zh-CN"/>
                    </w:rPr>
                    <w:t>非甲烷总烃</w:t>
                  </w:r>
                </w:p>
              </w:tc>
              <w:tc>
                <w:tcPr>
                  <w:tcW w:w="2196" w:type="dxa"/>
                  <w:tcBorders>
                    <w:left w:val="single" w:sz="4" w:space="0" w:color="000000"/>
                  </w:tcBorders>
                  <w:vAlign w:val="center"/>
                </w:tcPr>
                <w:p>
                  <w:pPr>
                    <w:pStyle w:val="39"/>
                    <w:rPr>
                      <w:color w:val="auto"/>
                      <w:lang w:val="en-US" w:eastAsia="zh-CN"/>
                    </w:rPr>
                  </w:pPr>
                  <w:r>
                    <w:rPr>
                      <w:rFonts w:hint="eastAsia"/>
                      <w:color w:val="auto"/>
                      <w:lang w:val="en-US" w:eastAsia="zh-CN"/>
                    </w:rPr>
                    <w:t>4.0</w:t>
                  </w:r>
                  <w:r>
                    <w:rPr>
                      <w:rFonts w:ascii="Times New Roman" w:eastAsia="宋体" w:hAnsi="Times New Roman" w:hint="eastAsia"/>
                      <w:color w:val="auto"/>
                      <w:lang w:val="en-US" w:eastAsia="zh-CN"/>
                    </w:rPr>
                    <w:t>mg/m</w:t>
                  </w:r>
                  <w:r>
                    <w:rPr>
                      <w:rFonts w:ascii="Times New Roman" w:eastAsia="宋体" w:hAnsi="Times New Roman" w:hint="eastAsia"/>
                      <w:color w:val="auto"/>
                      <w:vertAlign w:val="superscript"/>
                      <w:lang w:val="en-US" w:eastAsia="zh-CN"/>
                    </w:rPr>
                    <w:t>3</w:t>
                  </w:r>
                </w:p>
              </w:tc>
              <w:tc>
                <w:tcPr>
                  <w:tcW w:w="3638" w:type="dxa"/>
                  <w:vMerge/>
                  <w:tcBorders>
                    <w:top w:val="single" w:sz="4" w:space="0" w:color="auto"/>
                    <w:bottom w:val="single" w:sz="4" w:space="0" w:color="auto"/>
                  </w:tcBorders>
                  <w:vAlign w:val="center"/>
                </w:tcPr>
                <w:p/>
              </w:tc>
            </w:tr>
            <w:tr>
              <w:trPr>
                <w:trHeight w:val="90"/>
              </w:trPr>
              <w:tc>
                <w:tcPr>
                  <w:tcW w:w="1558" w:type="dxa"/>
                  <w:vMerge/>
                  <w:vAlign w:val="center"/>
                </w:tcPr>
                <w:p/>
              </w:tc>
              <w:tc>
                <w:tcPr>
                  <w:tcW w:w="1332" w:type="dxa"/>
                  <w:tcBorders>
                    <w:left w:val="single" w:sz="4" w:space="0" w:color="000000"/>
                  </w:tcBorders>
                  <w:vAlign w:val="center"/>
                </w:tcPr>
                <w:p>
                  <w:pPr>
                    <w:pStyle w:val="39"/>
                    <w:rPr>
                      <w:rFonts w:eastAsia="宋体" w:hint="eastAsia"/>
                      <w:color w:val="auto"/>
                      <w:lang w:val="en-US" w:eastAsia="zh-CN"/>
                    </w:rPr>
                  </w:pPr>
                  <w:r>
                    <w:rPr>
                      <w:rFonts w:hint="eastAsia"/>
                      <w:color w:val="auto"/>
                      <w:lang w:val="en-US" w:eastAsia="zh-CN"/>
                    </w:rPr>
                    <w:t>氨</w:t>
                  </w:r>
                </w:p>
              </w:tc>
              <w:tc>
                <w:tcPr>
                  <w:tcW w:w="2196" w:type="dxa"/>
                  <w:tcBorders>
                    <w:left w:val="single" w:sz="4" w:space="0" w:color="000000"/>
                  </w:tcBorders>
                  <w:vAlign w:val="center"/>
                </w:tcPr>
                <w:p>
                  <w:pPr>
                    <w:pStyle w:val="39"/>
                    <w:rPr>
                      <w:rFonts w:eastAsia="宋体"/>
                      <w:color w:val="auto"/>
                      <w:lang w:val="en-US" w:eastAsia="zh-CN"/>
                    </w:rPr>
                  </w:pPr>
                  <w:r>
                    <w:rPr>
                      <w:rFonts w:hint="eastAsia"/>
                      <w:color w:val="auto"/>
                      <w:lang w:val="en-US" w:eastAsia="zh-CN"/>
                    </w:rPr>
                    <w:t>1.5</w:t>
                  </w:r>
                  <w:r>
                    <w:rPr>
                      <w:rFonts w:ascii="Times New Roman" w:eastAsia="宋体" w:hAnsi="Times New Roman" w:hint="eastAsia"/>
                      <w:color w:val="auto"/>
                      <w:lang w:val="en-US" w:eastAsia="zh-CN"/>
                    </w:rPr>
                    <w:t>mg/m</w:t>
                  </w:r>
                  <w:r>
                    <w:rPr>
                      <w:rFonts w:ascii="Times New Roman" w:eastAsia="宋体" w:hAnsi="Times New Roman" w:hint="eastAsia"/>
                      <w:color w:val="auto"/>
                      <w:vertAlign w:val="superscript"/>
                      <w:lang w:val="en-US" w:eastAsia="zh-CN"/>
                    </w:rPr>
                    <w:t>3</w:t>
                  </w:r>
                </w:p>
              </w:tc>
              <w:tc>
                <w:tcPr>
                  <w:tcW w:w="3638" w:type="dxa"/>
                  <w:vMerge w:val="restart"/>
                  <w:tcBorders>
                    <w:top w:val="single" w:sz="4" w:space="0" w:color="auto"/>
                    <w:bottom w:val="single" w:sz="4" w:space="0" w:color="auto"/>
                  </w:tcBorders>
                  <w:vAlign w:val="center"/>
                </w:tcPr>
                <w:p>
                  <w:pPr>
                    <w:pStyle w:val="39"/>
                    <w:rPr>
                      <w:rFonts w:hint="eastAsia"/>
                      <w:color w:val="auto"/>
                    </w:rPr>
                  </w:pPr>
                  <w:r>
                    <w:rPr>
                      <w:rFonts w:hint="eastAsia"/>
                      <w:color w:val="auto"/>
                      <w:lang w:val="en-US" w:eastAsia="zh-CN"/>
                    </w:rPr>
                    <w:t>《恶臭污染物排放标准》（GB14554-93）表1二级新扩改建标准</w:t>
                  </w:r>
                </w:p>
              </w:tc>
            </w:tr>
            <w:tr>
              <w:trPr>
                <w:trHeight w:val="90"/>
              </w:trPr>
              <w:tc>
                <w:tcPr>
                  <w:tcW w:w="1558" w:type="dxa"/>
                  <w:vMerge/>
                  <w:vAlign w:val="center"/>
                </w:tcPr>
                <w:p/>
              </w:tc>
              <w:tc>
                <w:tcPr>
                  <w:tcW w:w="1332" w:type="dxa"/>
                  <w:tcBorders>
                    <w:left w:val="single" w:sz="4" w:space="0" w:color="000000"/>
                  </w:tcBorders>
                  <w:vAlign w:val="center"/>
                </w:tcPr>
                <w:p>
                  <w:pPr>
                    <w:pStyle w:val="39"/>
                    <w:rPr>
                      <w:color w:val="auto"/>
                      <w:lang w:val="en-US" w:eastAsia="zh-CN"/>
                    </w:rPr>
                  </w:pPr>
                  <w:r>
                    <w:rPr>
                      <w:rFonts w:hint="eastAsia"/>
                      <w:color w:val="auto"/>
                      <w:lang w:val="en-US" w:eastAsia="zh-CN"/>
                    </w:rPr>
                    <w:t>臭气浓度</w:t>
                  </w:r>
                </w:p>
              </w:tc>
              <w:tc>
                <w:tcPr>
                  <w:tcW w:w="2196" w:type="dxa"/>
                  <w:tcBorders>
                    <w:left w:val="single" w:sz="4" w:space="0" w:color="000000"/>
                  </w:tcBorders>
                  <w:vAlign w:val="center"/>
                </w:tcPr>
                <w:p>
                  <w:pPr>
                    <w:pStyle w:val="39"/>
                    <w:rPr>
                      <w:rFonts w:eastAsia="宋体"/>
                      <w:color w:val="auto"/>
                      <w:lang w:val="en-US" w:eastAsia="zh-CN"/>
                    </w:rPr>
                  </w:pPr>
                  <w:r>
                    <w:rPr>
                      <w:rFonts w:hint="eastAsia"/>
                      <w:color w:val="auto"/>
                      <w:lang w:val="en-US" w:eastAsia="zh-CN"/>
                    </w:rPr>
                    <w:t>20无量纲</w:t>
                  </w:r>
                </w:p>
              </w:tc>
              <w:tc>
                <w:tcPr>
                  <w:tcW w:w="3638" w:type="dxa"/>
                  <w:vMerge/>
                  <w:tcBorders>
                    <w:top w:val="single" w:sz="4" w:space="0" w:color="auto"/>
                    <w:bottom w:val="single" w:sz="4" w:space="0" w:color="auto"/>
                  </w:tcBorders>
                  <w:vAlign w:val="center"/>
                </w:tcPr>
                <w:p/>
              </w:tc>
            </w:tr>
            <w:tr>
              <w:trPr>
                <w:trHeight w:val="90"/>
              </w:trPr>
              <w:tc>
                <w:tcPr>
                  <w:tcW w:w="1558" w:type="dxa"/>
                  <w:vAlign w:val="center"/>
                </w:tcPr>
                <w:p>
                  <w:pPr>
                    <w:pStyle w:val="39"/>
                    <w:rPr>
                      <w:rFonts w:eastAsia="宋体" w:hint="eastAsia"/>
                      <w:color w:val="auto"/>
                      <w:lang w:val="en-US" w:eastAsia="zh-CN"/>
                    </w:rPr>
                  </w:pPr>
                  <w:r>
                    <w:rPr>
                      <w:rFonts w:hint="eastAsia"/>
                      <w:color w:val="auto"/>
                      <w:lang w:val="en-US" w:eastAsia="zh-CN"/>
                    </w:rPr>
                    <w:t>厂区内</w:t>
                  </w:r>
                </w:p>
              </w:tc>
              <w:tc>
                <w:tcPr>
                  <w:tcW w:w="1332" w:type="dxa"/>
                  <w:tcBorders>
                    <w:left w:val="single" w:sz="4" w:space="0" w:color="000000"/>
                  </w:tcBorders>
                  <w:vAlign w:val="center"/>
                </w:tcPr>
                <w:p>
                  <w:pPr>
                    <w:pStyle w:val="39"/>
                    <w:rPr>
                      <w:color w:val="auto"/>
                      <w:lang w:val="en-US" w:eastAsia="zh-CN"/>
                    </w:rPr>
                  </w:pPr>
                  <w:r>
                    <w:rPr>
                      <w:rFonts w:hint="eastAsia"/>
                      <w:color w:val="auto"/>
                      <w:lang w:val="en-US" w:eastAsia="zh-CN"/>
                    </w:rPr>
                    <w:t>非甲烷总烃</w:t>
                  </w:r>
                </w:p>
              </w:tc>
              <w:tc>
                <w:tcPr>
                  <w:tcW w:w="2196" w:type="dxa"/>
                  <w:tcBorders>
                    <w:left w:val="single" w:sz="4" w:space="0" w:color="000000"/>
                  </w:tcBorders>
                  <w:vAlign w:val="center"/>
                </w:tcPr>
                <w:p>
                  <w:pPr>
                    <w:pStyle w:val="39"/>
                    <w:rPr>
                      <w:color w:val="auto"/>
                      <w:lang w:val="en-US" w:eastAsia="zh-CN"/>
                    </w:rPr>
                  </w:pPr>
                  <w:r>
                    <w:rPr>
                      <w:rFonts w:hint="eastAsia"/>
                      <w:color w:val="auto"/>
                      <w:lang w:val="en-US" w:eastAsia="zh-CN"/>
                    </w:rPr>
                    <w:t>在厂房外设监控点，1h评价浓度值2.0mg/m</w:t>
                  </w:r>
                  <w:r>
                    <w:rPr>
                      <w:rFonts w:hint="eastAsia"/>
                      <w:color w:val="auto"/>
                      <w:vertAlign w:val="superscript"/>
                      <w:lang w:val="en-US" w:eastAsia="zh-CN"/>
                    </w:rPr>
                    <w:t>3</w:t>
                  </w:r>
                  <w:r>
                    <w:rPr>
                      <w:rFonts w:hint="eastAsia"/>
                      <w:color w:val="auto"/>
                      <w:lang w:val="en-US" w:eastAsia="zh-CN"/>
                    </w:rPr>
                    <w:t>，厂区内任意一次浓度值10.0mg/m</w:t>
                  </w:r>
                  <w:r>
                    <w:rPr>
                      <w:rFonts w:hint="eastAsia"/>
                      <w:color w:val="auto"/>
                      <w:vertAlign w:val="superscript"/>
                      <w:lang w:val="en-US" w:eastAsia="zh-CN"/>
                    </w:rPr>
                    <w:t>3</w:t>
                  </w:r>
                </w:p>
              </w:tc>
              <w:tc>
                <w:tcPr>
                  <w:tcW w:w="3638" w:type="dxa"/>
                  <w:tcBorders>
                    <w:top w:val="single" w:sz="4" w:space="0" w:color="auto"/>
                  </w:tcBorders>
                  <w:vAlign w:val="center"/>
                </w:tcPr>
                <w:p>
                  <w:pPr>
                    <w:pStyle w:val="39"/>
                    <w:rPr>
                      <w:rFonts w:eastAsia="宋体"/>
                      <w:color w:val="auto"/>
                      <w:lang w:val="en-US" w:eastAsia="zh-CN"/>
                    </w:rPr>
                  </w:pPr>
                  <w:r>
                    <w:rPr>
                      <w:rFonts w:hint="eastAsia"/>
                      <w:color w:val="auto"/>
                      <w:lang w:val="en-US" w:eastAsia="zh-CN"/>
                    </w:rPr>
                    <w:t>《工业企业挥发性有机物排放控制标准》（DB13/2322-2025）表2厂区内排放限值要求</w:t>
                  </w:r>
                </w:p>
              </w:tc>
            </w:tr>
          </w:tbl>
          <w:p>
            <w:pPr>
              <w:rPr>
                <w:color w:val="auto"/>
              </w:rPr>
            </w:pPr>
            <w:r>
              <w:rPr>
                <w:color w:val="auto"/>
              </w:rPr>
              <w:t>2、废水</w:t>
            </w:r>
          </w:p>
          <w:p>
            <w:pPr>
              <w:rPr>
                <w:color w:val="auto"/>
              </w:rPr>
            </w:pPr>
            <w:r>
              <w:rPr>
                <w:rFonts w:hint="eastAsia"/>
                <w:color w:val="auto"/>
                <w:lang w:val="en-US" w:eastAsia="zh-CN"/>
              </w:rPr>
              <w:t>本项目不涉及废水排放</w:t>
            </w:r>
            <w:r>
              <w:rPr>
                <w:rFonts w:hint="eastAsia"/>
                <w:color w:val="auto"/>
              </w:rPr>
              <w:t>。</w:t>
            </w:r>
          </w:p>
          <w:p>
            <w:pPr>
              <w:rPr>
                <w:rFonts w:eastAsia="宋体" w:hint="eastAsia"/>
                <w:color w:val="auto"/>
                <w:lang w:val="en-US" w:eastAsia="zh-CN"/>
              </w:rPr>
            </w:pPr>
            <w:r>
              <w:rPr>
                <w:color w:val="auto"/>
              </w:rPr>
              <w:t>3、噪声</w:t>
            </w:r>
          </w:p>
          <w:p>
            <w:pPr>
              <w:rPr>
                <w:color w:val="auto"/>
              </w:rPr>
            </w:pPr>
            <w:r>
              <w:rPr>
                <w:color w:val="auto"/>
              </w:rPr>
              <w:t>厂界声</w:t>
            </w:r>
            <w:r>
              <w:rPr>
                <w:rFonts w:hint="eastAsia"/>
                <w:color w:val="auto"/>
              </w:rPr>
              <w:t>排放</w:t>
            </w:r>
            <w:r>
              <w:rPr>
                <w:color w:val="auto"/>
              </w:rPr>
              <w:t>满足《工业企业厂界环境噪声排放标准》（GB12348-2008）</w:t>
            </w:r>
            <w:r>
              <w:rPr>
                <w:rFonts w:hint="eastAsia"/>
                <w:color w:val="auto"/>
                <w:lang w:val="en-US" w:eastAsia="zh-CN"/>
              </w:rPr>
              <w:t>3</w:t>
            </w:r>
            <w:r>
              <w:rPr>
                <w:rFonts w:hint="eastAsia"/>
                <w:color w:val="auto"/>
              </w:rPr>
              <w:t>类</w:t>
            </w:r>
            <w:r>
              <w:rPr>
                <w:color w:val="auto"/>
              </w:rPr>
              <w:t>标准要求，具体标准值见表3-</w:t>
            </w:r>
            <w:r>
              <w:rPr>
                <w:rFonts w:hint="eastAsia"/>
                <w:color w:val="auto"/>
              </w:rPr>
              <w:t>9</w:t>
            </w:r>
            <w:r>
              <w:rPr>
                <w:color w:val="auto"/>
              </w:rPr>
              <w:t>。</w:t>
            </w:r>
          </w:p>
          <w:p>
            <w:pPr>
              <w:pStyle w:val="40"/>
              <w:rPr>
                <w:color w:val="auto"/>
              </w:rPr>
            </w:pPr>
            <w:r>
              <w:rPr>
                <w:color w:val="auto"/>
              </w:rPr>
              <w:t>表3-</w:t>
            </w:r>
            <w:r>
              <w:rPr>
                <w:rFonts w:hint="eastAsia"/>
                <w:color w:val="auto"/>
              </w:rPr>
              <w:t xml:space="preserve">9  </w:t>
            </w:r>
            <w:r>
              <w:rPr>
                <w:color w:val="auto"/>
              </w:rPr>
              <w:t>工业企业厂界环境噪声排放标准</w:t>
            </w:r>
          </w:p>
          <w:tbl>
            <w:tblPr>
              <w:jc w:val="center"/>
              <w:tblW w:w="81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34"/>
              <w:gridCol w:w="1819"/>
              <w:gridCol w:w="2127"/>
              <w:gridCol w:w="3211"/>
            </w:tblGrid>
            <w:tr>
              <w:trPr>
                <w:trHeight w:val="23"/>
              </w:trPr>
              <w:tc>
                <w:tcPr>
                  <w:tcW w:w="1034" w:type="dxa"/>
                  <w:tcBorders>
                    <w:tl2br w:val="nil"/>
                    <w:tr2bl w:val="nil"/>
                  </w:tcBorders>
                  <w:vAlign w:val="center"/>
                </w:tcPr>
                <w:p>
                  <w:pPr>
                    <w:pStyle w:val="39"/>
                    <w:rPr>
                      <w:color w:val="auto"/>
                    </w:rPr>
                  </w:pPr>
                  <w:r>
                    <w:rPr>
                      <w:color w:val="auto"/>
                    </w:rPr>
                    <w:t>污染物种类</w:t>
                  </w:r>
                </w:p>
              </w:tc>
              <w:tc>
                <w:tcPr>
                  <w:tcW w:w="1819" w:type="dxa"/>
                  <w:tcBorders>
                    <w:tl2br w:val="nil"/>
                    <w:tr2bl w:val="nil"/>
                  </w:tcBorders>
                  <w:vAlign w:val="center"/>
                </w:tcPr>
                <w:p>
                  <w:pPr>
                    <w:pStyle w:val="39"/>
                    <w:rPr>
                      <w:color w:val="auto"/>
                    </w:rPr>
                  </w:pPr>
                  <w:r>
                    <w:rPr>
                      <w:rFonts w:hint="eastAsia"/>
                      <w:color w:val="auto"/>
                    </w:rPr>
                    <w:t>项目</w:t>
                  </w:r>
                </w:p>
              </w:tc>
              <w:tc>
                <w:tcPr>
                  <w:tcW w:w="2127" w:type="dxa"/>
                  <w:tcBorders>
                    <w:tl2br w:val="nil"/>
                    <w:tr2bl w:val="nil"/>
                  </w:tcBorders>
                  <w:vAlign w:val="center"/>
                </w:tcPr>
                <w:p>
                  <w:pPr>
                    <w:pStyle w:val="39"/>
                    <w:rPr>
                      <w:color w:val="auto"/>
                    </w:rPr>
                  </w:pPr>
                  <w:r>
                    <w:rPr>
                      <w:color w:val="auto"/>
                    </w:rPr>
                    <w:t>标准值</w:t>
                  </w:r>
                </w:p>
              </w:tc>
              <w:tc>
                <w:tcPr>
                  <w:tcW w:w="3211" w:type="dxa"/>
                  <w:tcBorders>
                    <w:tl2br w:val="nil"/>
                    <w:tr2bl w:val="nil"/>
                  </w:tcBorders>
                  <w:vAlign w:val="center"/>
                </w:tcPr>
                <w:p>
                  <w:pPr>
                    <w:pStyle w:val="39"/>
                    <w:rPr>
                      <w:color w:val="auto"/>
                    </w:rPr>
                  </w:pPr>
                  <w:r>
                    <w:rPr>
                      <w:color w:val="auto"/>
                    </w:rPr>
                    <w:t>标准来源</w:t>
                  </w:r>
                </w:p>
              </w:tc>
            </w:tr>
            <w:tr>
              <w:trPr>
                <w:trHeight w:val="23"/>
              </w:trPr>
              <w:tc>
                <w:tcPr>
                  <w:tcW w:w="1034" w:type="dxa"/>
                  <w:tcBorders>
                    <w:tl2br w:val="nil"/>
                    <w:tr2bl w:val="nil"/>
                  </w:tcBorders>
                  <w:vAlign w:val="center"/>
                </w:tcPr>
                <w:p>
                  <w:pPr>
                    <w:pStyle w:val="39"/>
                    <w:rPr>
                      <w:color w:val="auto"/>
                    </w:rPr>
                  </w:pPr>
                  <w:r>
                    <w:rPr>
                      <w:color w:val="auto"/>
                    </w:rPr>
                    <w:t>噪声</w:t>
                  </w:r>
                </w:p>
              </w:tc>
              <w:tc>
                <w:tcPr>
                  <w:tcW w:w="1819" w:type="dxa"/>
                  <w:tcBorders>
                    <w:tl2br w:val="nil"/>
                    <w:tr2bl w:val="nil"/>
                  </w:tcBorders>
                  <w:vAlign w:val="center"/>
                </w:tcPr>
                <w:p>
                  <w:pPr>
                    <w:pStyle w:val="39"/>
                    <w:rPr>
                      <w:color w:val="auto"/>
                    </w:rPr>
                  </w:pPr>
                  <w:r>
                    <w:rPr>
                      <w:color w:val="auto"/>
                    </w:rPr>
                    <w:t>厂界</w:t>
                  </w:r>
                </w:p>
              </w:tc>
              <w:tc>
                <w:tcPr>
                  <w:tcW w:w="2127" w:type="dxa"/>
                  <w:tcBorders>
                    <w:tl2br w:val="nil"/>
                    <w:tr2bl w:val="nil"/>
                  </w:tcBorders>
                  <w:vAlign w:val="center"/>
                </w:tcPr>
                <w:p>
                  <w:pPr>
                    <w:pStyle w:val="39"/>
                    <w:rPr>
                      <w:color w:val="auto"/>
                    </w:rPr>
                  </w:pPr>
                  <w:r>
                    <w:rPr>
                      <w:color w:val="auto"/>
                    </w:rPr>
                    <w:t>昼间：</w:t>
                  </w:r>
                  <w:r>
                    <w:rPr>
                      <w:rFonts w:hint="eastAsia"/>
                      <w:color w:val="auto"/>
                    </w:rPr>
                    <w:t>6</w:t>
                  </w:r>
                  <w:r>
                    <w:rPr>
                      <w:rFonts w:hint="eastAsia"/>
                      <w:color w:val="auto"/>
                      <w:lang w:val="en-US" w:eastAsia="zh-CN"/>
                    </w:rPr>
                    <w:t>5</w:t>
                  </w:r>
                  <w:r>
                    <w:rPr>
                      <w:color w:val="auto"/>
                    </w:rPr>
                    <w:t>dB(A)</w:t>
                  </w:r>
                </w:p>
              </w:tc>
              <w:tc>
                <w:tcPr>
                  <w:tcW w:w="3211" w:type="dxa"/>
                  <w:tcBorders>
                    <w:tl2br w:val="nil"/>
                    <w:tr2bl w:val="nil"/>
                  </w:tcBorders>
                  <w:vAlign w:val="center"/>
                </w:tcPr>
                <w:p>
                  <w:pPr>
                    <w:pStyle w:val="39"/>
                    <w:rPr>
                      <w:color w:val="auto"/>
                    </w:rPr>
                  </w:pPr>
                  <w:r>
                    <w:rPr>
                      <w:color w:val="auto"/>
                    </w:rPr>
                    <w:t>《工业企业厂界环境噪声排放标准》（GB12348-2008）</w:t>
                  </w:r>
                  <w:r>
                    <w:rPr>
                      <w:rFonts w:hint="eastAsia"/>
                      <w:color w:val="auto"/>
                      <w:lang w:val="en-US" w:eastAsia="zh-CN"/>
                    </w:rPr>
                    <w:t>3</w:t>
                  </w:r>
                  <w:r>
                    <w:rPr>
                      <w:color w:val="auto"/>
                    </w:rPr>
                    <w:t>类标准</w:t>
                  </w:r>
                </w:p>
              </w:tc>
            </w:tr>
          </w:tbl>
          <w:p>
            <w:pPr>
              <w:rPr>
                <w:color w:val="auto"/>
                <w:kern w:val="0"/>
              </w:rPr>
            </w:pPr>
            <w:r>
              <w:rPr>
                <w:color w:val="auto"/>
                <w:kern w:val="0"/>
              </w:rPr>
              <w:t>4、固体废物</w:t>
            </w:r>
          </w:p>
          <w:p>
            <w:pPr>
              <w:rPr>
                <w:color w:val="auto"/>
              </w:rPr>
            </w:pPr>
            <w:r>
              <w:rPr>
                <w:rFonts w:hint="eastAsia"/>
                <w:color w:val="auto"/>
                <w:szCs w:val="32"/>
              </w:rPr>
              <w:t>本项目</w:t>
            </w:r>
            <w:r>
              <w:rPr>
                <w:color w:val="auto"/>
                <w:kern w:val="0"/>
              </w:rPr>
              <w:t>运营期</w:t>
            </w:r>
            <w:r>
              <w:rPr>
                <w:rFonts w:hint="eastAsia"/>
                <w:color w:val="auto"/>
                <w:kern w:val="0"/>
              </w:rPr>
              <w:t>一般</w:t>
            </w:r>
            <w:r>
              <w:rPr>
                <w:color w:val="auto"/>
                <w:kern w:val="0"/>
              </w:rPr>
              <w:t>工业固体废物处置执行《一般工业固体废物贮存和填埋污染控制标准》（GB18599-2020）</w:t>
            </w:r>
            <w:r>
              <w:rPr>
                <w:rFonts w:hint="eastAsia"/>
                <w:color w:val="auto"/>
                <w:kern w:val="0"/>
              </w:rPr>
              <w:t>要求；危险废物执行</w:t>
            </w:r>
            <w:r>
              <w:rPr>
                <w:color w:val="auto"/>
                <w:kern w:val="0"/>
              </w:rPr>
              <w:t>《危险废物贮存污染控制标准》（GB18597-20</w:t>
            </w:r>
            <w:r>
              <w:rPr>
                <w:rFonts w:hint="eastAsia"/>
                <w:color w:val="auto"/>
                <w:kern w:val="0"/>
              </w:rPr>
              <w:t>23</w:t>
            </w:r>
            <w:r>
              <w:rPr>
                <w:color w:val="auto"/>
                <w:kern w:val="0"/>
              </w:rPr>
              <w:t>）相关要求规定；生活垃圾执行</w:t>
            </w:r>
            <w:r>
              <w:rPr>
                <w:rFonts w:hint="eastAsia"/>
                <w:color w:val="auto"/>
                <w:kern w:val="0"/>
              </w:rPr>
              <w:t>《河北省城乡生活垃圾分类管理条例》（2021年1月1日起实施）中相关要求规定</w:t>
            </w:r>
            <w:r>
              <w:rPr>
                <w:color w:val="auto"/>
                <w:kern w:val="0"/>
              </w:rPr>
              <w:t>。</w:t>
            </w:r>
          </w:p>
        </w:tc>
      </w:tr>
      <w:tr>
        <w:trPr>
          <w:trHeight w:val="13881"/>
        </w:trPr>
        <w:tc>
          <w:tcPr>
            <w:tcW w:w="283" w:type="pct"/>
            <w:vAlign w:val="center"/>
          </w:tcPr>
          <w:p>
            <w:pPr>
              <w:adjustRightInd w:val="0"/>
              <w:snapToGrid w:val="0"/>
              <w:spacing w:line="240" w:lineRule="auto"/>
              <w:ind w:firstLineChars="0" w:firstLine="0"/>
              <w:jc w:val="center"/>
              <w:rPr>
                <w:color w:val="auto"/>
                <w:kern w:val="0"/>
              </w:rPr>
            </w:pPr>
            <w:r>
              <w:rPr>
                <w:color w:val="auto"/>
                <w:kern w:val="0"/>
              </w:rPr>
              <w:t>总量控制</w:t>
            </w:r>
          </w:p>
          <w:p>
            <w:pPr>
              <w:adjustRightInd w:val="0"/>
              <w:snapToGrid w:val="0"/>
              <w:spacing w:line="240" w:lineRule="auto"/>
              <w:ind w:firstLineChars="0" w:firstLine="0"/>
              <w:jc w:val="center"/>
              <w:rPr>
                <w:color w:val="auto"/>
                <w:kern w:val="0"/>
                <w:szCs w:val="21"/>
              </w:rPr>
            </w:pPr>
            <w:r>
              <w:rPr>
                <w:color w:val="auto"/>
                <w:kern w:val="0"/>
              </w:rPr>
              <w:t>指标</w:t>
            </w:r>
          </w:p>
        </w:tc>
        <w:tc>
          <w:tcPr>
            <w:tcW w:w="4716" w:type="pct"/>
            <w:tcBorders>
              <w:left w:val="single" w:sz="4" w:space="0" w:color="auto"/>
            </w:tcBorders>
          </w:tcPr>
          <w:p>
            <w:pPr>
              <w:contextualSpacing/>
              <w:rPr>
                <w:rFonts w:hint="eastAsia"/>
                <w:color w:val="auto"/>
                <w:lang w:val="en-US" w:eastAsia="zh-CN"/>
              </w:rPr>
            </w:pPr>
            <w:r>
              <w:rPr>
                <w:color w:val="auto"/>
              </w:rPr>
              <w:t>根据</w:t>
            </w:r>
            <w:r>
              <w:rPr>
                <w:rFonts w:hint="eastAsia"/>
                <w:color w:val="auto"/>
                <w:lang w:eastAsia="zh-CN"/>
              </w:rPr>
              <w:t>河北省生态环境厅</w:t>
            </w:r>
            <w:r>
              <w:rPr>
                <w:rFonts w:hint="eastAsia"/>
                <w:color w:val="auto"/>
              </w:rPr>
              <w:t>《河北省主要污染物排污权确权管理暂行办法》</w:t>
            </w:r>
            <w:r>
              <w:rPr>
                <w:rFonts w:hint="eastAsia"/>
                <w:color w:val="auto"/>
                <w:lang w:val="en-US" w:eastAsia="zh-CN"/>
              </w:rPr>
              <w:t>和河北省生态环境厅等六部门印发《关于深化排污权交易改革的若干措施》的通知（冀环排污权【2024】6号）</w:t>
            </w:r>
            <w:r>
              <w:rPr>
                <w:color w:val="auto"/>
              </w:rPr>
              <w:t>要求，结合本项目情况，确定</w:t>
            </w:r>
            <w:r>
              <w:rPr>
                <w:rFonts w:hint="eastAsia"/>
                <w:color w:val="auto"/>
                <w:lang w:val="en-US" w:eastAsia="zh-CN"/>
              </w:rPr>
              <w:t>本</w:t>
            </w:r>
            <w:r>
              <w:rPr>
                <w:color w:val="auto"/>
              </w:rPr>
              <w:t>项目的污染物排放总量控制因子为：</w:t>
            </w:r>
            <w:r>
              <w:rPr>
                <w:rFonts w:hint="eastAsia"/>
                <w:color w:val="auto"/>
              </w:rPr>
              <w:t>颗粒物</w:t>
            </w:r>
            <w:r>
              <w:rPr>
                <w:color w:val="auto"/>
              </w:rPr>
              <w:t>。</w:t>
            </w:r>
            <w:r>
              <w:rPr>
                <w:rFonts w:hint="eastAsia"/>
                <w:color w:val="auto"/>
                <w:lang w:val="en-US" w:eastAsia="zh-CN"/>
              </w:rPr>
              <w:t>企业现有工程总量控制指标为：COD：0.251t/a、氨氮：0.026t/a、二氧化硫：9.600t/a、氮氧化物：14.400t/a，颗粒物14.688t/a。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一、现有工程总量控制指标</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现有工程总量控制指标为：</w:t>
            </w:r>
            <w:r>
              <w:rPr>
                <w:rFonts w:ascii="Times New Roman" w:eastAsia="宋体" w:hAnsi="Times New Roman" w:hint="eastAsia"/>
                <w:color w:val="auto"/>
                <w:lang w:val="en-US" w:eastAsia="zh-CN"/>
              </w:rPr>
              <w:t>COD：0.251t/a、氨氮：0.026t/a、二氧化硫：9.600t/a、氮氧化物：14.400t/a，颗粒物14.688t/a。</w:t>
            </w:r>
            <w:r>
              <w:rPr>
                <w:rFonts w:ascii="Times New Roman" w:eastAsia="宋体" w:cs="Times New Roman" w:hAnsi="Times New Roman" w:hint="eastAsia"/>
                <w:color w:val="auto"/>
                <w:sz w:val="24"/>
                <w:szCs w:val="24"/>
                <w:lang w:val="en-US" w:eastAsia="zh-CN"/>
                <w:highlight w:val="none"/>
              </w:rPr>
              <w:t>其中COD、NH</w:t>
            </w:r>
            <w:r>
              <w:rPr>
                <w:rFonts w:ascii="Times New Roman" w:eastAsia="宋体" w:cs="Times New Roman" w:hAnsi="Times New Roman" w:hint="eastAsia"/>
                <w:color w:val="auto"/>
                <w:sz w:val="24"/>
                <w:szCs w:val="24"/>
                <w:vertAlign w:val="subscript"/>
                <w:lang w:val="en-US" w:eastAsia="zh-CN"/>
                <w:highlight w:val="none"/>
              </w:rPr>
              <w:t>3</w:t>
            </w:r>
            <w:r>
              <w:rPr>
                <w:rFonts w:ascii="Times New Roman" w:eastAsia="宋体" w:cs="Times New Roman" w:hAnsi="Times New Roman" w:hint="eastAsia"/>
                <w:color w:val="auto"/>
                <w:sz w:val="24"/>
                <w:szCs w:val="24"/>
                <w:lang w:val="en-US" w:eastAsia="zh-CN"/>
                <w:highlight w:val="none"/>
              </w:rPr>
              <w:t>-N</w:t>
            </w:r>
            <w:r>
              <w:rPr>
                <w:rFonts w:cs="Times New Roman" w:hint="eastAsia"/>
                <w:color w:val="auto"/>
                <w:sz w:val="24"/>
                <w:szCs w:val="24"/>
                <w:lang w:val="en-US" w:eastAsia="zh-CN"/>
                <w:highlight w:val="none"/>
              </w:rPr>
              <w:t>、</w:t>
            </w:r>
            <w:r>
              <w:rPr>
                <w:rFonts w:eastAsia="宋体"/>
                <w:color w:val="auto"/>
                <w:sz w:val="24"/>
                <w:highlight w:val="none"/>
              </w:rPr>
              <w:t>SO</w:t>
            </w:r>
            <w:r>
              <w:rPr>
                <w:rFonts w:eastAsia="宋体"/>
                <w:color w:val="auto"/>
                <w:sz w:val="24"/>
                <w:vertAlign w:val="subscript"/>
                <w:highlight w:val="none"/>
              </w:rPr>
              <w:t>2</w:t>
            </w:r>
            <w:r>
              <w:rPr>
                <w:rFonts w:eastAsia="宋体" w:hint="eastAsia"/>
                <w:color w:val="auto"/>
                <w:sz w:val="24"/>
                <w:vertAlign w:val="baseline"/>
                <w:lang w:eastAsia="zh-CN"/>
                <w:highlight w:val="none"/>
              </w:rPr>
              <w:t>、</w:t>
            </w:r>
            <w:r>
              <w:rPr>
                <w:rFonts w:eastAsia="宋体"/>
                <w:color w:val="auto"/>
                <w:sz w:val="24"/>
                <w:highlight w:val="none"/>
              </w:rPr>
              <w:t>NOx</w:t>
            </w:r>
            <w:r>
              <w:rPr>
                <w:rFonts w:ascii="Times New Roman" w:eastAsia="宋体" w:cs="Times New Roman" w:hAnsi="Times New Roman" w:hint="eastAsia"/>
                <w:color w:val="auto"/>
                <w:sz w:val="24"/>
                <w:szCs w:val="24"/>
                <w:lang w:val="en-US" w:eastAsia="zh-CN"/>
                <w:highlight w:val="none"/>
              </w:rPr>
              <w:t>总量指标已通过排污权出让购买，进行了总量交易。</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二、</w:t>
            </w:r>
            <w:r>
              <w:rPr>
                <w:rFonts w:cs="Times New Roman" w:hint="eastAsia"/>
                <w:color w:val="auto"/>
                <w:sz w:val="24"/>
                <w:szCs w:val="24"/>
                <w:lang w:val="en-US" w:eastAsia="zh-CN"/>
                <w:highlight w:val="none"/>
              </w:rPr>
              <w:t>本次技改完</w:t>
            </w:r>
            <w:r>
              <w:rPr>
                <w:rFonts w:ascii="Times New Roman" w:eastAsia="宋体" w:cs="Times New Roman" w:hAnsi="Times New Roman" w:hint="eastAsia"/>
                <w:color w:val="auto"/>
                <w:sz w:val="24"/>
                <w:szCs w:val="24"/>
                <w:lang w:val="en-US" w:eastAsia="zh-CN"/>
                <w:highlight w:val="none"/>
              </w:rPr>
              <w:t>全厂总量控制指标</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hint="eastAsia"/>
                <w:color w:val="auto"/>
                <w:sz w:val="24"/>
                <w:szCs w:val="24"/>
                <w:lang w:val="en-US" w:eastAsia="zh-CN"/>
                <w:highlight w:val="none"/>
              </w:rPr>
              <w:t>（1）COD、</w:t>
            </w:r>
            <w:r>
              <w:rPr>
                <w:rFonts w:ascii="Times New Roman" w:eastAsia="宋体" w:cs="Times New Roman" w:hAnsi="Times New Roman" w:hint="eastAsia"/>
                <w:color w:val="auto"/>
                <w:sz w:val="24"/>
                <w:szCs w:val="24"/>
                <w:lang w:val="en-US" w:eastAsia="zh-CN"/>
                <w:highlight w:val="none"/>
              </w:rPr>
              <w:t>NH</w:t>
            </w:r>
            <w:r>
              <w:rPr>
                <w:rFonts w:ascii="Times New Roman" w:eastAsia="宋体" w:cs="Times New Roman" w:hAnsi="Times New Roman" w:hint="eastAsia"/>
                <w:color w:val="auto"/>
                <w:sz w:val="24"/>
                <w:szCs w:val="24"/>
                <w:vertAlign w:val="subscript"/>
                <w:lang w:val="en-US" w:eastAsia="zh-CN"/>
                <w:highlight w:val="none"/>
              </w:rPr>
              <w:t>3</w:t>
            </w:r>
            <w:r>
              <w:rPr>
                <w:rFonts w:ascii="Times New Roman" w:eastAsia="宋体" w:cs="Times New Roman" w:hAnsi="Times New Roman" w:hint="eastAsia"/>
                <w:color w:val="auto"/>
                <w:sz w:val="24"/>
                <w:szCs w:val="24"/>
                <w:lang w:val="en-US" w:eastAsia="zh-CN"/>
                <w:highlight w:val="none"/>
              </w:rPr>
              <w:t>-N</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hint="eastAsia"/>
                <w:color w:val="auto"/>
                <w:sz w:val="24"/>
                <w:szCs w:val="24"/>
                <w:lang w:val="en-US" w:eastAsia="zh-CN"/>
                <w:highlight w:val="none"/>
              </w:rPr>
              <w:t>本次技改不新增生活废水排放量，不涉及生产废水排放，故技改完成后全厂COD、</w:t>
            </w:r>
            <w:r>
              <w:rPr>
                <w:rFonts w:ascii="Times New Roman" w:eastAsia="宋体" w:cs="Times New Roman" w:hAnsi="Times New Roman" w:hint="eastAsia"/>
                <w:color w:val="auto"/>
                <w:sz w:val="24"/>
                <w:szCs w:val="24"/>
                <w:lang w:val="en-US" w:eastAsia="zh-CN"/>
                <w:highlight w:val="none"/>
              </w:rPr>
              <w:t>NH</w:t>
            </w:r>
            <w:r>
              <w:rPr>
                <w:rFonts w:ascii="Times New Roman" w:eastAsia="宋体" w:cs="Times New Roman" w:hAnsi="Times New Roman" w:hint="eastAsia"/>
                <w:color w:val="auto"/>
                <w:sz w:val="24"/>
                <w:szCs w:val="24"/>
                <w:vertAlign w:val="subscript"/>
                <w:lang w:val="en-US" w:eastAsia="zh-CN"/>
                <w:highlight w:val="none"/>
              </w:rPr>
              <w:t>3</w:t>
            </w:r>
            <w:r>
              <w:rPr>
                <w:rFonts w:ascii="Times New Roman" w:eastAsia="宋体" w:cs="Times New Roman" w:hAnsi="Times New Roman" w:hint="eastAsia"/>
                <w:color w:val="auto"/>
                <w:sz w:val="24"/>
                <w:szCs w:val="24"/>
                <w:lang w:val="en-US" w:eastAsia="zh-CN"/>
                <w:highlight w:val="none"/>
              </w:rPr>
              <w:t>-N</w:t>
            </w:r>
            <w:r>
              <w:rPr>
                <w:rFonts w:cs="Times New Roman" w:hint="eastAsia"/>
                <w:color w:val="auto"/>
                <w:sz w:val="24"/>
                <w:szCs w:val="24"/>
                <w:lang w:val="en-US" w:eastAsia="zh-CN"/>
                <w:highlight w:val="none"/>
              </w:rPr>
              <w:t>总量控制指标不变，仍为COD：0.251t/a、氨氮：0.026t/a。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hint="eastAsia"/>
                <w:color w:val="auto"/>
                <w:sz w:val="24"/>
                <w:szCs w:val="24"/>
                <w:lang w:val="en-US" w:eastAsia="zh-CN"/>
                <w:highlight w:val="none"/>
              </w:rPr>
            </w:pPr>
            <w:r>
              <w:rPr>
                <w:rFonts w:cs="Times New Roman" w:hint="eastAsia"/>
                <w:color w:val="auto"/>
                <w:sz w:val="24"/>
                <w:szCs w:val="24"/>
                <w:lang w:val="en-US" w:eastAsia="zh-CN"/>
                <w:highlight w:val="none"/>
              </w:rPr>
              <w:t>（2）</w:t>
            </w:r>
            <w:r>
              <w:rPr>
                <w:rFonts w:eastAsia="宋体" w:hint="eastAsia"/>
                <w:color w:val="auto"/>
                <w:sz w:val="24"/>
                <w:lang w:val="en-US" w:eastAsia="zh-CN"/>
                <w:highlight w:val="none"/>
              </w:rPr>
              <w:t>SO</w:t>
            </w:r>
            <w:r>
              <w:rPr>
                <w:rFonts w:eastAsia="宋体" w:hint="eastAsia"/>
                <w:color w:val="auto"/>
                <w:sz w:val="24"/>
                <w:vertAlign w:val="subscript"/>
                <w:lang w:val="en-US" w:eastAsia="zh-CN"/>
                <w:highlight w:val="none"/>
              </w:rPr>
              <w:t>2</w:t>
            </w:r>
            <w:r>
              <w:rPr>
                <w:rFonts w:eastAsia="宋体" w:hint="eastAsia"/>
                <w:color w:val="auto"/>
                <w:sz w:val="24"/>
                <w:lang w:val="en-US" w:eastAsia="zh-CN"/>
                <w:highlight w:val="none"/>
              </w:rPr>
              <w:t>、NOx</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eastAsia="宋体" w:hint="eastAsia"/>
                <w:color w:val="auto"/>
                <w:sz w:val="24"/>
                <w:lang w:val="en-US" w:eastAsia="zh-CN"/>
                <w:highlight w:val="none"/>
              </w:rPr>
            </w:pPr>
            <w:r>
              <w:rPr>
                <w:rFonts w:cs="Times New Roman" w:hint="eastAsia"/>
                <w:color w:val="auto"/>
                <w:sz w:val="24"/>
                <w:szCs w:val="24"/>
                <w:lang w:val="en-US" w:eastAsia="zh-CN"/>
                <w:highlight w:val="none"/>
              </w:rPr>
              <w:t>本次技改不新增天然气用量</w:t>
            </w:r>
            <w:r>
              <w:rPr>
                <w:rFonts w:ascii="Times New Roman" w:eastAsia="宋体" w:cs="Times New Roman" w:hAnsi="Times New Roman" w:hint="eastAsia"/>
                <w:color w:val="auto"/>
                <w:sz w:val="24"/>
                <w:szCs w:val="24"/>
                <w:lang w:val="en-US" w:eastAsia="zh-CN"/>
                <w:highlight w:val="none"/>
              </w:rPr>
              <w:t>，</w:t>
            </w:r>
            <w:r>
              <w:rPr>
                <w:rFonts w:cs="Times New Roman" w:hint="eastAsia"/>
                <w:color w:val="auto"/>
                <w:sz w:val="24"/>
                <w:szCs w:val="24"/>
                <w:lang w:val="en-US" w:eastAsia="zh-CN"/>
                <w:highlight w:val="none"/>
              </w:rPr>
              <w:t>新增实验室氮氧化物排放量</w:t>
            </w:r>
            <w:r>
              <w:rPr>
                <w:rFonts w:ascii="Times New Roman" w:eastAsia="宋体" w:hAnsi="Times New Roman" w:hint="eastAsia"/>
                <w:color w:val="auto"/>
                <w:sz w:val="24"/>
                <w:lang w:val="en-US" w:eastAsia="zh-CN"/>
                <w:highlight w:val="none"/>
              </w:rPr>
              <w:t>0.</w:t>
            </w:r>
            <w:r>
              <w:rPr>
                <w:rFonts w:hint="eastAsia"/>
                <w:color w:val="auto"/>
                <w:sz w:val="24"/>
                <w:lang w:val="en-US" w:eastAsia="zh-CN"/>
                <w:highlight w:val="none"/>
              </w:rPr>
              <w:t>240</w:t>
            </w:r>
            <w:r>
              <w:rPr>
                <w:rFonts w:ascii="Times New Roman" w:eastAsia="宋体" w:hAnsi="Times New Roman" w:hint="eastAsia"/>
                <w:color w:val="auto"/>
                <w:sz w:val="24"/>
                <w:lang w:val="en-US" w:eastAsia="zh-CN"/>
                <w:highlight w:val="none"/>
              </w:rPr>
              <w:t>t/a</w:t>
            </w:r>
            <w:r>
              <w:rPr>
                <w:rFonts w:hint="eastAsia"/>
                <w:color w:val="auto"/>
                <w:sz w:val="24"/>
                <w:lang w:val="en-US" w:eastAsia="zh-CN"/>
                <w:highlight w:val="none"/>
              </w:rPr>
              <w:t>，现有SO</w:t>
            </w:r>
            <w:r>
              <w:rPr>
                <w:rFonts w:hint="eastAsia"/>
                <w:color w:val="auto"/>
                <w:sz w:val="24"/>
                <w:vertAlign w:val="subscript"/>
                <w:lang w:val="en-US" w:eastAsia="zh-CN"/>
                <w:highlight w:val="none"/>
              </w:rPr>
              <w:t>2</w:t>
            </w:r>
            <w:r>
              <w:rPr>
                <w:rFonts w:hint="eastAsia"/>
                <w:color w:val="auto"/>
                <w:sz w:val="24"/>
                <w:lang w:val="en-US" w:eastAsia="zh-CN"/>
                <w:highlight w:val="none"/>
              </w:rPr>
              <w:t>、NOx总量控制指标为二氧化硫：9.600t/a、氮氧化物：14.400t/a，</w:t>
            </w:r>
            <w:r>
              <w:rPr>
                <w:rFonts w:eastAsia="宋体" w:hint="eastAsia"/>
                <w:color w:val="auto"/>
                <w:sz w:val="24"/>
                <w:lang w:val="en-US" w:eastAsia="zh-CN"/>
                <w:highlight w:val="none"/>
              </w:rPr>
              <w:t>技改完成后全厂SO</w:t>
            </w:r>
            <w:r>
              <w:rPr>
                <w:rFonts w:eastAsia="宋体" w:hint="eastAsia"/>
                <w:color w:val="auto"/>
                <w:sz w:val="24"/>
                <w:vertAlign w:val="subscript"/>
                <w:lang w:val="en-US" w:eastAsia="zh-CN"/>
                <w:highlight w:val="none"/>
              </w:rPr>
              <w:t>2</w:t>
            </w:r>
            <w:r>
              <w:rPr>
                <w:rFonts w:eastAsia="宋体" w:hint="eastAsia"/>
                <w:color w:val="auto"/>
                <w:sz w:val="24"/>
                <w:lang w:val="en-US" w:eastAsia="zh-CN"/>
                <w:highlight w:val="none"/>
              </w:rPr>
              <w:t>、NOx总量控制</w:t>
            </w:r>
            <w:r>
              <w:rPr>
                <w:rFonts w:hint="eastAsia"/>
                <w:color w:val="auto"/>
                <w:sz w:val="24"/>
                <w:lang w:val="en-US" w:eastAsia="zh-CN"/>
                <w:highlight w:val="none"/>
              </w:rPr>
              <w:t>指标</w:t>
            </w:r>
            <w:r>
              <w:rPr>
                <w:rFonts w:eastAsia="宋体" w:hint="eastAsia"/>
                <w:color w:val="auto"/>
                <w:sz w:val="24"/>
                <w:lang w:val="en-US" w:eastAsia="zh-CN"/>
                <w:highlight w:val="none"/>
              </w:rPr>
              <w:t>为二氧化硫：9.600t/a、氮氧化物：14.</w:t>
            </w:r>
            <w:r>
              <w:rPr>
                <w:rFonts w:hint="eastAsia"/>
                <w:color w:val="auto"/>
                <w:sz w:val="24"/>
                <w:lang w:val="en-US" w:eastAsia="zh-CN"/>
                <w:highlight w:val="none"/>
              </w:rPr>
              <w:t>640</w:t>
            </w:r>
            <w:r>
              <w:rPr>
                <w:rFonts w:eastAsia="宋体" w:hint="eastAsia"/>
                <w:color w:val="auto"/>
                <w:sz w:val="24"/>
                <w:lang w:val="en-US" w:eastAsia="zh-CN"/>
                <w:highlight w:val="none"/>
              </w:rPr>
              <w:t>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eastAsia="宋体"/>
                <w:color w:val="auto"/>
                <w:sz w:val="24"/>
                <w:lang w:val="en-US" w:eastAsia="zh-CN"/>
                <w:highlight w:val="none"/>
              </w:rPr>
            </w:pPr>
            <w:r>
              <w:rPr>
                <w:rFonts w:hint="eastAsia"/>
                <w:color w:val="auto"/>
                <w:sz w:val="24"/>
                <w:lang w:val="en-US" w:eastAsia="zh-CN"/>
                <w:highlight w:val="none"/>
              </w:rPr>
              <w:t>化验室废气氮氧化物排放量为：1000m³/h×240mg/m³×1000h÷10</w:t>
            </w:r>
            <w:r>
              <w:rPr>
                <w:rFonts w:hint="eastAsia"/>
                <w:color w:val="auto"/>
                <w:sz w:val="24"/>
                <w:vertAlign w:val="superscript"/>
                <w:lang w:val="en-US" w:eastAsia="zh-CN"/>
                <w:highlight w:val="none"/>
              </w:rPr>
              <w:t>9</w:t>
            </w:r>
            <w:r>
              <w:rPr>
                <w:rFonts w:hint="eastAsia"/>
                <w:color w:val="auto"/>
                <w:sz w:val="24"/>
                <w:lang w:val="en-US" w:eastAsia="zh-CN"/>
                <w:highlight w:val="none"/>
              </w:rPr>
              <w:t>=0.240t/a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color w:val="auto"/>
                <w:sz w:val="24"/>
                <w:szCs w:val="24"/>
                <w:lang w:val="en-US" w:eastAsia="zh-CN"/>
                <w:highlight w:val="none"/>
              </w:rPr>
            </w:pPr>
            <w:r>
              <w:rPr>
                <w:rFonts w:cs="Times New Roman" w:hint="eastAsia"/>
                <w:color w:val="auto"/>
                <w:sz w:val="24"/>
                <w:szCs w:val="24"/>
                <w:lang w:val="en-US" w:eastAsia="zh-CN"/>
                <w:highlight w:val="none"/>
              </w:rPr>
              <w:t>（3）颗粒物</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hint="eastAsia"/>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颗粒物以排放标准核算总量控制指标。</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hint="eastAsia"/>
                <w:color w:val="auto"/>
                <w:sz w:val="24"/>
                <w:szCs w:val="24"/>
                <w:lang w:val="en-US" w:eastAsia="zh-CN"/>
                <w:highlight w:val="none"/>
              </w:rPr>
            </w:pPr>
            <w:r>
              <w:rPr>
                <w:rFonts w:cs="Times New Roman" w:hint="eastAsia"/>
                <w:color w:val="auto"/>
                <w:sz w:val="24"/>
                <w:szCs w:val="24"/>
                <w:lang w:val="en-US" w:eastAsia="zh-CN"/>
                <w:highlight w:val="none"/>
              </w:rPr>
              <w:t>本项目完成后全厂运营期颗粒物废气包括中微量元素混合车间投料工序、破碎工序、搅拌工序；挤压造粒生产线车间投料工序、第一次破碎工序、第二次破碎工序、挤压造粒工序、第一次筛分工序、整形工序、喷脲工序、烘干工序、燃烧烟气、冷却工序、第二次筛分工序、裹油工序、铺粉工序、抛光工序、装袋工序；复混肥生产线车间投料工序、包装工序。</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hint="eastAsia"/>
                <w:color w:val="auto"/>
                <w:sz w:val="24"/>
                <w:szCs w:val="24"/>
                <w:lang w:val="en-US" w:eastAsia="zh-CN"/>
                <w:highlight w:val="yellow"/>
              </w:rPr>
            </w:pPr>
            <w:r>
              <w:rPr>
                <w:rFonts w:cs="Times New Roman" w:hint="eastAsia"/>
                <w:color w:val="auto"/>
                <w:sz w:val="24"/>
                <w:szCs w:val="24"/>
                <w:lang w:val="en-US" w:eastAsia="zh-CN"/>
                <w:highlight w:val="none"/>
              </w:rPr>
              <w:t>中微量元素混合车间排气筒P1废气量为6000m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/h，运行时间为4800h/a，排放浓度执行《大气污染物综合排放标准》（GB16297-1996）表2中颗粒物（其他）二级标准，即：颗粒物≤120mg/m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，3.5kg/h；</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hint="eastAsia"/>
                <w:color w:val="auto"/>
                <w:sz w:val="24"/>
                <w:szCs w:val="24"/>
                <w:lang w:val="en-US" w:eastAsia="zh-CN"/>
                <w:highlight w:val="none"/>
              </w:rPr>
            </w:pPr>
            <w:r>
              <w:rPr>
                <w:rFonts w:cs="Times New Roman"/>
                <w:color w:val="auto"/>
                <w:sz w:val="24"/>
                <w:szCs w:val="24"/>
                <w:lang w:val="en-US" w:eastAsia="zh-CN"/>
                <w:highlight w:val="none"/>
              </w:rPr>
              <w:t>挤压造粒生产线车间</w:t>
            </w:r>
            <w:r>
              <w:rPr>
                <w:rFonts w:cs="Times New Roman" w:hint="eastAsia"/>
                <w:color w:val="auto"/>
                <w:sz w:val="24"/>
                <w:szCs w:val="24"/>
                <w:lang w:val="en-US" w:eastAsia="zh-CN"/>
                <w:highlight w:val="none"/>
              </w:rPr>
              <w:t>排气筒P2</w:t>
            </w:r>
            <w:r>
              <w:rPr>
                <w:rFonts w:ascii="Times New Roman" w:eastAsia="宋体" w:cs="Times New Roman" w:hAnsi="Times New Roman" w:hint="eastAsia"/>
                <w:color w:val="auto"/>
                <w:sz w:val="24"/>
                <w:szCs w:val="24"/>
                <w:lang w:val="en-US" w:eastAsia="zh-CN"/>
                <w:highlight w:val="none"/>
              </w:rPr>
              <w:t>废气量为2</w:t>
            </w:r>
            <w:r>
              <w:rPr>
                <w:rFonts w:cs="Times New Roman" w:hint="eastAsia"/>
                <w:color w:val="auto"/>
                <w:sz w:val="24"/>
                <w:szCs w:val="24"/>
                <w:lang w:val="en-US" w:eastAsia="zh-CN"/>
                <w:highlight w:val="none"/>
              </w:rPr>
              <w:t>8</w:t>
            </w:r>
            <w:r>
              <w:rPr>
                <w:rFonts w:ascii="Times New Roman" w:eastAsia="宋体" w:cs="Times New Roman" w:hAnsi="Times New Roman" w:hint="eastAsia"/>
                <w:color w:val="auto"/>
                <w:sz w:val="24"/>
                <w:szCs w:val="24"/>
                <w:lang w:val="en-US" w:eastAsia="zh-CN"/>
                <w:highlight w:val="none"/>
              </w:rPr>
              <w:t>000m</w:t>
            </w:r>
            <w:r>
              <w:rPr>
                <w:rFonts w:ascii="Times New Roman" w:eastAsia="宋体" w:cs="Times New Roman" w:hAnsi="Times New Roman" w:hint="eastAsia"/>
                <w:color w:val="auto"/>
                <w:sz w:val="24"/>
                <w:szCs w:val="24"/>
                <w:vertAlign w:val="superscript"/>
                <w:lang w:val="en-US" w:eastAsia="zh-CN"/>
                <w:highlight w:val="none"/>
              </w:rPr>
              <w:t>3</w:t>
            </w:r>
            <w:r>
              <w:rPr>
                <w:rFonts w:ascii="Times New Roman" w:eastAsia="宋体" w:cs="Times New Roman" w:hAnsi="Times New Roman" w:hint="eastAsia"/>
                <w:color w:val="auto"/>
                <w:sz w:val="24"/>
                <w:szCs w:val="24"/>
                <w:lang w:val="en-US" w:eastAsia="zh-CN"/>
                <w:highlight w:val="none"/>
              </w:rPr>
              <w:t>/h，运行时间为4800h/a，排放浓度执行《大气污染物综合排放标准》（GB16297-1996）表2中颗粒物（其他）二级标准，即：颗粒物≤120mg/m</w:t>
            </w:r>
            <w:r>
              <w:rPr>
                <w:rFonts w:ascii="Times New Roman" w:eastAsia="宋体" w:cs="Times New Roman" w:hAnsi="Times New Roman" w:hint="eastAsia"/>
                <w:color w:val="auto"/>
                <w:sz w:val="24"/>
                <w:szCs w:val="24"/>
                <w:vertAlign w:val="superscript"/>
                <w:lang w:val="en-US" w:eastAsia="zh-CN"/>
                <w:highlight w:val="none"/>
              </w:rPr>
              <w:t>3</w:t>
            </w:r>
            <w:r>
              <w:rPr>
                <w:rFonts w:ascii="Times New Roman" w:eastAsia="宋体" w:cs="Times New Roman" w:hAnsi="Times New Roman" w:hint="eastAsia"/>
                <w:color w:val="auto"/>
                <w:sz w:val="24"/>
                <w:szCs w:val="24"/>
                <w:lang w:val="en-US" w:eastAsia="zh-CN"/>
                <w:highlight w:val="none"/>
              </w:rPr>
              <w:t>，</w:t>
            </w:r>
            <w:r>
              <w:rPr>
                <w:rFonts w:cs="Times New Roman" w:hint="eastAsia"/>
                <w:color w:val="auto"/>
                <w:sz w:val="24"/>
                <w:szCs w:val="24"/>
                <w:lang w:val="en-US" w:eastAsia="zh-CN"/>
                <w:highlight w:val="none"/>
              </w:rPr>
              <w:t>3.</w:t>
            </w:r>
            <w:r>
              <w:rPr>
                <w:rFonts w:ascii="Times New Roman" w:eastAsia="宋体" w:cs="Times New Roman" w:hAnsi="Times New Roman" w:hint="eastAsia"/>
                <w:color w:val="auto"/>
                <w:sz w:val="24"/>
                <w:szCs w:val="24"/>
                <w:lang w:val="en-US" w:eastAsia="zh-CN"/>
                <w:highlight w:val="none"/>
              </w:rPr>
              <w:t>5kg/h；</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color w:val="auto"/>
                <w:sz w:val="24"/>
                <w:szCs w:val="24"/>
                <w:lang w:val="en-US" w:eastAsia="zh-CN"/>
                <w:highlight w:val="none"/>
              </w:rPr>
            </w:pPr>
            <w:r>
              <w:rPr>
                <w:rFonts w:ascii="Times New Roman" w:eastAsia="宋体" w:cs="Times New Roman" w:hAnsi="Times New Roman" w:hint="eastAsia"/>
                <w:color w:val="auto"/>
                <w:sz w:val="24"/>
                <w:szCs w:val="24"/>
                <w:lang w:val="en-US" w:eastAsia="zh-CN"/>
                <w:highlight w:val="none"/>
              </w:rPr>
              <w:t>挤压造粒生产线车间烘干</w:t>
            </w:r>
            <w:r>
              <w:rPr>
                <w:rFonts w:cs="Times New Roman" w:hint="eastAsia"/>
                <w:color w:val="auto"/>
                <w:sz w:val="24"/>
                <w:szCs w:val="24"/>
                <w:lang w:val="en-US" w:eastAsia="zh-CN"/>
                <w:highlight w:val="none"/>
              </w:rPr>
              <w:t>排气筒P3废气量为15000m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/h，运行时间为4800h/a，排放浓度执行《大气污染物综合排放标准》（GB16297-1996）表2中颗粒物（其他）二级标准，即：颗粒物≤120mg/m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，3.5kg/h；</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color w:val="auto"/>
                <w:sz w:val="24"/>
                <w:szCs w:val="24"/>
                <w:lang w:val="en-US" w:eastAsia="zh-CN"/>
                <w:highlight w:val="none"/>
              </w:rPr>
              <w:t>挤压造粒生产线车间天然气用量为30万m</w:t>
            </w:r>
            <w:r>
              <w:rPr>
                <w:rFonts w:cs="Times New Roman"/>
                <w:color w:val="auto"/>
                <w:sz w:val="24"/>
                <w:szCs w:val="24"/>
                <w:vertAlign w:val="superscript"/>
                <w:lang w:val="en-US" w:eastAsia="zh-CN"/>
                <w:highlight w:val="none"/>
              </w:rPr>
              <w:t>3</w:t>
            </w:r>
            <w:r>
              <w:rPr>
                <w:rFonts w:cs="Times New Roman"/>
                <w:color w:val="auto"/>
                <w:sz w:val="24"/>
                <w:szCs w:val="24"/>
                <w:lang w:val="en-US" w:eastAsia="zh-CN"/>
                <w:highlight w:val="none"/>
              </w:rPr>
              <w:t>/a，天然气燃烧废气参照《排放源统计调查产排污核算方法和系数手册》中“33-37，431-434机械行业系数手册”中天然气燃烧的产污系数，工业废气量为：136000</w:t>
            </w:r>
            <w:r>
              <w:rPr>
                <w:rFonts w:cs="Times New Roman" w:hint="eastAsia"/>
                <w:color w:val="auto"/>
                <w:sz w:val="24"/>
                <w:szCs w:val="24"/>
                <w:lang w:val="en-US" w:eastAsia="zh-CN"/>
                <w:highlight w:val="none"/>
              </w:rPr>
              <w:t>m</w:t>
            </w:r>
            <w:r>
              <w:rPr>
                <w:rFonts w:cs="Times New Roman" w:hint="eastAsia"/>
                <w:color w:val="auto"/>
                <w:sz w:val="24"/>
                <w:szCs w:val="24"/>
                <w:vertAlign w:val="superscript"/>
                <w:lang w:val="en-US" w:eastAsia="zh-CN"/>
                <w:highlight w:val="none"/>
              </w:rPr>
              <w:t>3</w:t>
            </w:r>
            <w:r>
              <w:rPr>
                <w:rFonts w:cs="Times New Roman"/>
                <w:color w:val="auto"/>
                <w:sz w:val="24"/>
                <w:szCs w:val="24"/>
                <w:lang w:val="en-US" w:eastAsia="zh-CN"/>
                <w:highlight w:val="none"/>
              </w:rPr>
              <w:t>/万</w:t>
            </w:r>
            <w:r>
              <w:rPr>
                <w:rFonts w:cs="Times New Roman" w:hint="eastAsia"/>
                <w:color w:val="auto"/>
                <w:sz w:val="24"/>
                <w:szCs w:val="24"/>
                <w:lang w:val="en-US" w:eastAsia="zh-CN"/>
                <w:highlight w:val="none"/>
              </w:rPr>
              <w:t>m</w:t>
            </w:r>
            <w:r>
              <w:rPr>
                <w:rFonts w:cs="Times New Roman" w:hint="eastAsia"/>
                <w:color w:val="auto"/>
                <w:sz w:val="24"/>
                <w:szCs w:val="24"/>
                <w:vertAlign w:val="superscript"/>
                <w:lang w:val="en-US" w:eastAsia="zh-CN"/>
                <w:highlight w:val="none"/>
              </w:rPr>
              <w:t>3</w:t>
            </w:r>
            <w:r>
              <w:rPr>
                <w:rFonts w:cs="Times New Roman"/>
                <w:color w:val="auto"/>
                <w:sz w:val="24"/>
                <w:szCs w:val="24"/>
                <w:lang w:val="en-US" w:eastAsia="zh-CN"/>
                <w:highlight w:val="none"/>
              </w:rPr>
              <w:t>-原料</w:t>
            </w:r>
            <w:r>
              <w:rPr>
                <w:rFonts w:cs="Times New Roman" w:hint="eastAsia"/>
                <w:color w:val="auto"/>
                <w:sz w:val="24"/>
                <w:szCs w:val="24"/>
                <w:lang w:val="en-US" w:eastAsia="zh-CN"/>
                <w:highlight w:val="none"/>
              </w:rPr>
              <w:t>，燃烧烟气废气量为850m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/h，运行时间为4800h/a，排放浓度执行《工业炉窑大气污染物排放标准》(DB13/1640-2012)表1、标准限值及《工业炉窑大气污染综合治理方案》环大气【2019】56号文件要求，即：颗粒物：30mg/m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hint="eastAsia"/>
                <w:color w:val="auto"/>
                <w:sz w:val="24"/>
                <w:szCs w:val="24"/>
                <w:lang w:val="en-US" w:eastAsia="zh-CN"/>
                <w:highlight w:val="none"/>
              </w:rPr>
            </w:pPr>
            <w:r>
              <w:rPr>
                <w:rFonts w:cs="Times New Roman" w:hint="eastAsia"/>
                <w:color w:val="auto"/>
                <w:sz w:val="24"/>
                <w:szCs w:val="24"/>
                <w:lang w:val="en-US" w:eastAsia="zh-CN"/>
                <w:highlight w:val="none"/>
              </w:rPr>
              <w:t>则本项目完成后全厂颗粒物总量指标为：</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hint="eastAsia"/>
                <w:color w:val="auto"/>
                <w:sz w:val="24"/>
                <w:szCs w:val="24"/>
                <w:lang w:val="en-US" w:eastAsia="zh-CN"/>
                <w:highlight w:val="none"/>
              </w:rPr>
              <w:t>中微量元素车间排气筒P1：6</w:t>
            </w:r>
            <w:r>
              <w:rPr>
                <w:rFonts w:cs="Times New Roman" w:hint="eastAsia"/>
                <w:color w:val="auto"/>
                <w:lang w:val="en-US" w:eastAsia="zh-CN"/>
                <w:highlight w:val="none"/>
              </w:rPr>
              <w:t>000</w:t>
            </w:r>
            <w:r>
              <w:rPr>
                <w:rFonts w:ascii="Times New Roman" w:eastAsia="宋体" w:cs="Times New Roman" w:hAnsi="Times New Roman" w:hint="eastAsia"/>
                <w:color w:val="auto"/>
                <w:lang w:val="en-US" w:eastAsia="zh-CN"/>
                <w:highlight w:val="none"/>
              </w:rPr>
              <w:t>m³/h×</w:t>
            </w:r>
            <w:r>
              <w:rPr>
                <w:rFonts w:cs="Times New Roman" w:hint="eastAsia"/>
                <w:color w:val="auto"/>
                <w:lang w:val="en-US" w:eastAsia="zh-CN"/>
                <w:highlight w:val="none"/>
              </w:rPr>
              <w:t>120</w:t>
            </w:r>
            <w:r>
              <w:rPr>
                <w:rFonts w:ascii="Times New Roman" w:eastAsia="宋体" w:cs="Times New Roman" w:hAnsi="Times New Roman" w:hint="eastAsia"/>
                <w:color w:val="auto"/>
                <w:lang w:val="en-US" w:eastAsia="zh-CN"/>
                <w:highlight w:val="none"/>
              </w:rPr>
              <w:t>mg/m³×</w:t>
            </w:r>
            <w:r>
              <w:rPr>
                <w:rFonts w:cs="Times New Roman" w:hint="eastAsia"/>
                <w:color w:val="auto"/>
                <w:lang w:val="en-US" w:eastAsia="zh-CN"/>
                <w:highlight w:val="none"/>
              </w:rPr>
              <w:t>4800</w:t>
            </w:r>
            <w:r>
              <w:rPr>
                <w:rFonts w:ascii="Times New Roman" w:eastAsia="宋体" w:cs="Times New Roman" w:hAnsi="Times New Roman" w:hint="eastAsia"/>
                <w:color w:val="auto"/>
                <w:lang w:val="en-US" w:eastAsia="zh-CN"/>
                <w:highlight w:val="none"/>
              </w:rPr>
              <w:t>h÷10</w:t>
            </w:r>
            <w:r>
              <w:rPr>
                <w:rFonts w:ascii="Times New Roman" w:eastAsia="宋体" w:cs="Times New Roman" w:hAnsi="Times New Roman" w:hint="eastAsia"/>
                <w:color w:val="auto"/>
                <w:vertAlign w:val="superscript"/>
                <w:lang w:val="en-US" w:eastAsia="zh-CN"/>
                <w:highlight w:val="none"/>
              </w:rPr>
              <w:t>9</w:t>
            </w:r>
            <w:r>
              <w:rPr>
                <w:rFonts w:cs="Times New Roman" w:hint="eastAsia"/>
                <w:color w:val="auto"/>
                <w:lang w:val="en-US" w:eastAsia="zh-CN"/>
                <w:highlight w:val="none"/>
              </w:rPr>
              <w:t>=3.456</w:t>
            </w:r>
            <w:r>
              <w:rPr>
                <w:rFonts w:ascii="Times New Roman" w:eastAsia="宋体" w:cs="Times New Roman" w:hAnsi="Times New Roman" w:hint="eastAsia"/>
                <w:color w:val="auto"/>
                <w:lang w:val="en-US" w:eastAsia="zh-CN"/>
                <w:highlight w:val="none"/>
              </w:rPr>
              <w:t>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hint="eastAsia"/>
                <w:color w:val="auto"/>
                <w:sz w:val="24"/>
                <w:szCs w:val="24"/>
                <w:lang w:val="en-US" w:eastAsia="zh-CN"/>
                <w:highlight w:val="none"/>
              </w:rPr>
            </w:pPr>
            <w:r>
              <w:rPr>
                <w:rFonts w:cs="Times New Roman" w:hint="eastAsia"/>
                <w:color w:val="auto"/>
                <w:sz w:val="24"/>
                <w:szCs w:val="24"/>
                <w:lang w:val="en-US" w:eastAsia="zh-CN"/>
                <w:highlight w:val="none"/>
              </w:rPr>
              <w:t>挤压造粒生产线排气筒P2：280</w:t>
            </w:r>
            <w:r>
              <w:rPr>
                <w:rFonts w:ascii="Times New Roman" w:eastAsia="宋体" w:cs="Times New Roman" w:hAnsi="Times New Roman" w:hint="eastAsia"/>
                <w:color w:val="auto"/>
                <w:lang w:val="en-US" w:eastAsia="zh-CN"/>
                <w:highlight w:val="none"/>
              </w:rPr>
              <w:t>00m³/h×120mg/m³×4800h÷10</w:t>
            </w:r>
            <w:r>
              <w:rPr>
                <w:rFonts w:ascii="Times New Roman" w:eastAsia="宋体" w:cs="Times New Roman" w:hAnsi="Times New Roman" w:hint="eastAsia"/>
                <w:color w:val="auto"/>
                <w:vertAlign w:val="superscript"/>
                <w:lang w:val="en-US" w:eastAsia="zh-CN"/>
                <w:highlight w:val="none"/>
              </w:rPr>
              <w:t>9</w:t>
            </w:r>
            <w:r>
              <w:rPr>
                <w:rFonts w:ascii="Times New Roman" w:eastAsia="宋体" w:cs="Times New Roman" w:hAnsi="Times New Roman" w:hint="eastAsia"/>
                <w:color w:val="auto"/>
                <w:lang w:val="en-US" w:eastAsia="zh-CN"/>
                <w:highlight w:val="none"/>
              </w:rPr>
              <w:t>=1</w:t>
            </w:r>
            <w:r>
              <w:rPr>
                <w:rFonts w:cs="Times New Roman" w:hint="eastAsia"/>
                <w:color w:val="auto"/>
                <w:lang w:val="en-US" w:eastAsia="zh-CN"/>
                <w:highlight w:val="none"/>
              </w:rPr>
              <w:t>6.128</w:t>
            </w:r>
            <w:r>
              <w:rPr>
                <w:rFonts w:ascii="Times New Roman" w:eastAsia="宋体" w:cs="Times New Roman" w:hAnsi="Times New Roman" w:hint="eastAsia"/>
                <w:color w:val="auto"/>
                <w:lang w:val="en-US" w:eastAsia="zh-CN"/>
                <w:highlight w:val="none"/>
              </w:rPr>
              <w:t>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hint="eastAsia"/>
                <w:color w:val="auto"/>
                <w:sz w:val="24"/>
                <w:szCs w:val="24"/>
                <w:lang w:val="en-US" w:eastAsia="zh-CN"/>
                <w:highlight w:val="none"/>
              </w:rPr>
            </w:pPr>
            <w:r>
              <w:rPr>
                <w:rFonts w:cs="Times New Roman" w:hint="eastAsia"/>
                <w:color w:val="auto"/>
                <w:sz w:val="24"/>
                <w:szCs w:val="24"/>
                <w:lang w:val="en-US" w:eastAsia="zh-CN"/>
                <w:highlight w:val="none"/>
              </w:rPr>
              <w:t>挤压造粒生产线烘干排气筒P3：150</w:t>
            </w:r>
            <w:r>
              <w:rPr>
                <w:rFonts w:ascii="Times New Roman" w:eastAsia="宋体" w:cs="Times New Roman" w:hAnsi="Times New Roman" w:hint="eastAsia"/>
                <w:color w:val="auto"/>
                <w:lang w:val="en-US" w:eastAsia="zh-CN"/>
                <w:highlight w:val="none"/>
              </w:rPr>
              <w:t>00m³/h×120mg/m³×4800h÷10</w:t>
            </w:r>
            <w:r>
              <w:rPr>
                <w:rFonts w:ascii="Times New Roman" w:eastAsia="宋体" w:cs="Times New Roman" w:hAnsi="Times New Roman" w:hint="eastAsia"/>
                <w:color w:val="auto"/>
                <w:vertAlign w:val="superscript"/>
                <w:lang w:val="en-US" w:eastAsia="zh-CN"/>
                <w:highlight w:val="none"/>
              </w:rPr>
              <w:t>9</w:t>
            </w:r>
            <w:r>
              <w:rPr>
                <w:rFonts w:ascii="Times New Roman" w:eastAsia="宋体" w:cs="Times New Roman" w:hAnsi="Times New Roman" w:hint="eastAsia"/>
                <w:color w:val="auto"/>
                <w:lang w:val="en-US" w:eastAsia="zh-CN"/>
                <w:highlight w:val="none"/>
              </w:rPr>
              <w:t>=</w:t>
            </w:r>
            <w:r>
              <w:rPr>
                <w:rFonts w:cs="Times New Roman" w:hint="eastAsia"/>
                <w:color w:val="auto"/>
                <w:lang w:val="en-US" w:eastAsia="zh-CN"/>
                <w:highlight w:val="none"/>
              </w:rPr>
              <w:t>8.640</w:t>
            </w:r>
            <w:r>
              <w:rPr>
                <w:rFonts w:ascii="Times New Roman" w:eastAsia="宋体" w:cs="Times New Roman" w:hAnsi="Times New Roman" w:hint="eastAsia"/>
                <w:color w:val="auto"/>
                <w:lang w:val="en-US" w:eastAsia="zh-CN"/>
                <w:highlight w:val="none"/>
              </w:rPr>
              <w:t>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hint="eastAsia"/>
                <w:color w:val="auto"/>
                <w:sz w:val="24"/>
                <w:szCs w:val="24"/>
                <w:lang w:val="en-US" w:eastAsia="zh-CN"/>
                <w:highlight w:val="none"/>
              </w:rPr>
              <w:t>燃烧烟气：850</w:t>
            </w:r>
            <w:r>
              <w:rPr>
                <w:rFonts w:ascii="Times New Roman" w:eastAsia="宋体" w:cs="Times New Roman" w:hAnsi="Times New Roman" w:hint="eastAsia"/>
                <w:color w:val="auto"/>
                <w:lang w:val="en-US" w:eastAsia="zh-CN"/>
                <w:highlight w:val="none"/>
              </w:rPr>
              <w:t>m³/h×30mg/m³×4800h÷10</w:t>
            </w:r>
            <w:r>
              <w:rPr>
                <w:rFonts w:ascii="Times New Roman" w:eastAsia="宋体" w:cs="Times New Roman" w:hAnsi="Times New Roman" w:hint="eastAsia"/>
                <w:color w:val="auto"/>
                <w:vertAlign w:val="superscript"/>
                <w:lang w:val="en-US" w:eastAsia="zh-CN"/>
                <w:highlight w:val="none"/>
              </w:rPr>
              <w:t>9</w:t>
            </w:r>
            <w:r>
              <w:rPr>
                <w:rFonts w:ascii="Times New Roman" w:eastAsia="宋体" w:cs="Times New Roman" w:hAnsi="Times New Roman" w:hint="eastAsia"/>
                <w:color w:val="auto"/>
                <w:lang w:val="en-US" w:eastAsia="zh-CN"/>
                <w:highlight w:val="none"/>
              </w:rPr>
              <w:t>≈0.122t/a</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hint="eastAsia"/>
                <w:color w:val="auto"/>
                <w:sz w:val="24"/>
                <w:szCs w:val="24"/>
                <w:lang w:val="en-US" w:eastAsia="zh-CN"/>
                <w:highlight w:val="none"/>
              </w:rPr>
              <w:t>（4）非甲烷总烃</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color w:val="auto"/>
                <w:sz w:val="24"/>
                <w:szCs w:val="24"/>
                <w:lang w:val="en-US" w:eastAsia="zh-CN"/>
                <w:highlight w:val="none"/>
              </w:rPr>
              <w:t>非甲烷总烃以预测排放量为总量控制指标。</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yellow"/>
              </w:rPr>
            </w:pPr>
            <w:r>
              <w:rPr>
                <w:rFonts w:cs="Times New Roman" w:hint="eastAsia"/>
                <w:color w:val="auto"/>
                <w:sz w:val="24"/>
                <w:szCs w:val="24"/>
                <w:lang w:val="en-US" w:eastAsia="zh-CN"/>
                <w:highlight w:val="none"/>
              </w:rPr>
              <w:t>本项目运营期有机废气包括中挤压造粒生产线车间第一次破碎工序、第二次破碎工序、挤压造粒工序、第一次筛分工序、整形工序、喷脲工序、烘干工序、冷却工序、第二次筛分工序、裹油工序、铺粉工序、抛光工序、装袋工序；复混肥生产线车间投料工序、包装工序和化验室废气。</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ascii="Times New Roman" w:eastAsia="宋体" w:cs="Times New Roman" w:hAnsi="Times New Roman"/>
                <w:color w:val="auto"/>
                <w:sz w:val="24"/>
                <w:szCs w:val="24"/>
                <w:vertAlign w:val="baseline"/>
                <w:lang w:val="en-US" w:eastAsia="zh-CN"/>
                <w:highlight w:val="none"/>
              </w:rPr>
            </w:pPr>
            <w:r>
              <w:rPr>
                <w:rFonts w:ascii="Times New Roman" w:eastAsia="宋体" w:cs="Times New Roman" w:hAnsi="Times New Roman" w:hint="eastAsia"/>
                <w:color w:val="auto"/>
                <w:sz w:val="24"/>
                <w:szCs w:val="24"/>
                <w:lang w:val="en-US" w:eastAsia="zh-CN"/>
                <w:highlight w:val="none"/>
              </w:rPr>
              <w:t>挤压造粒生产线车间</w:t>
            </w:r>
            <w:r>
              <w:rPr>
                <w:rFonts w:cs="Times New Roman" w:hint="eastAsia"/>
                <w:color w:val="auto"/>
                <w:sz w:val="24"/>
                <w:szCs w:val="24"/>
                <w:lang w:val="en-US" w:eastAsia="zh-CN"/>
                <w:highlight w:val="none"/>
              </w:rPr>
              <w:t>排气筒P2</w:t>
            </w:r>
            <w:r>
              <w:rPr>
                <w:rFonts w:ascii="Times New Roman" w:eastAsia="宋体" w:cs="Times New Roman" w:hAnsi="Times New Roman" w:hint="eastAsia"/>
                <w:color w:val="auto"/>
                <w:sz w:val="24"/>
                <w:szCs w:val="24"/>
                <w:lang w:val="en-US" w:eastAsia="zh-CN"/>
                <w:highlight w:val="none"/>
              </w:rPr>
              <w:t>废气量为2</w:t>
            </w:r>
            <w:r>
              <w:rPr>
                <w:rFonts w:cs="Times New Roman" w:hint="eastAsia"/>
                <w:color w:val="auto"/>
                <w:sz w:val="24"/>
                <w:szCs w:val="24"/>
                <w:lang w:val="en-US" w:eastAsia="zh-CN"/>
                <w:highlight w:val="none"/>
              </w:rPr>
              <w:t>8</w:t>
            </w:r>
            <w:r>
              <w:rPr>
                <w:rFonts w:ascii="Times New Roman" w:eastAsia="宋体" w:cs="Times New Roman" w:hAnsi="Times New Roman" w:hint="eastAsia"/>
                <w:color w:val="auto"/>
                <w:sz w:val="24"/>
                <w:szCs w:val="24"/>
                <w:lang w:val="en-US" w:eastAsia="zh-CN"/>
                <w:highlight w:val="none"/>
              </w:rPr>
              <w:t>000m</w:t>
            </w:r>
            <w:r>
              <w:rPr>
                <w:rFonts w:ascii="Times New Roman" w:eastAsia="宋体" w:cs="Times New Roman" w:hAnsi="Times New Roman" w:hint="eastAsia"/>
                <w:color w:val="auto"/>
                <w:sz w:val="24"/>
                <w:szCs w:val="24"/>
                <w:vertAlign w:val="superscript"/>
                <w:lang w:val="en-US" w:eastAsia="zh-CN"/>
                <w:highlight w:val="none"/>
              </w:rPr>
              <w:t>3</w:t>
            </w:r>
            <w:r>
              <w:rPr>
                <w:rFonts w:ascii="Times New Roman" w:eastAsia="宋体" w:cs="Times New Roman" w:hAnsi="Times New Roman" w:hint="eastAsia"/>
                <w:color w:val="auto"/>
                <w:sz w:val="24"/>
                <w:szCs w:val="24"/>
                <w:lang w:val="en-US" w:eastAsia="zh-CN"/>
                <w:highlight w:val="none"/>
              </w:rPr>
              <w:t>/h，运行时间为4800h/a，经预测非甲烷总烃</w:t>
            </w:r>
            <w:r>
              <w:rPr>
                <w:rFonts w:cs="Times New Roman" w:hint="eastAsia"/>
                <w:color w:val="auto"/>
                <w:sz w:val="24"/>
                <w:szCs w:val="24"/>
                <w:lang w:val="en-US" w:eastAsia="zh-CN"/>
                <w:highlight w:val="none"/>
              </w:rPr>
              <w:t>（包括甲醛）</w:t>
            </w:r>
            <w:r>
              <w:rPr>
                <w:rFonts w:ascii="Times New Roman" w:eastAsia="宋体" w:cs="Times New Roman" w:hAnsi="Times New Roman" w:hint="eastAsia"/>
                <w:color w:val="auto"/>
                <w:sz w:val="24"/>
                <w:szCs w:val="24"/>
                <w:lang w:val="en-US" w:eastAsia="zh-CN"/>
                <w:highlight w:val="none"/>
              </w:rPr>
              <w:t>排放浓度为</w:t>
            </w:r>
            <w:r>
              <w:rPr>
                <w:rFonts w:cs="Times New Roman" w:hint="eastAsia"/>
                <w:color w:val="auto"/>
                <w:sz w:val="24"/>
                <w:szCs w:val="24"/>
                <w:lang w:val="en-US" w:eastAsia="zh-CN"/>
                <w:highlight w:val="none"/>
              </w:rPr>
              <w:t>1.59</w:t>
            </w:r>
            <w:r>
              <w:rPr>
                <w:rFonts w:ascii="Times New Roman" w:eastAsia="宋体" w:cs="Times New Roman" w:hAnsi="Times New Roman" w:hint="eastAsia"/>
                <w:color w:val="auto"/>
                <w:sz w:val="24"/>
                <w:szCs w:val="24"/>
                <w:lang w:val="en-US" w:eastAsia="zh-CN"/>
                <w:highlight w:val="none"/>
              </w:rPr>
              <w:t>mg/m</w:t>
            </w:r>
            <w:r>
              <w:rPr>
                <w:rFonts w:ascii="Times New Roman" w:eastAsia="宋体" w:cs="Times New Roman" w:hAnsi="Times New Roman" w:hint="eastAsia"/>
                <w:color w:val="auto"/>
                <w:sz w:val="24"/>
                <w:szCs w:val="24"/>
                <w:vertAlign w:val="superscript"/>
                <w:lang w:val="en-US" w:eastAsia="zh-CN"/>
                <w:highlight w:val="none"/>
              </w:rPr>
              <w:t>3</w:t>
            </w:r>
            <w:r>
              <w:rPr>
                <w:rFonts w:ascii="Times New Roman" w:eastAsia="宋体" w:cs="Times New Roman" w:hAnsi="Times New Roman" w:hint="eastAsia"/>
                <w:color w:val="auto"/>
                <w:sz w:val="24"/>
                <w:szCs w:val="24"/>
                <w:vertAlign w:val="baseline"/>
                <w:lang w:val="en-US" w:eastAsia="zh-CN"/>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hint="eastAsia"/>
                <w:color w:val="auto"/>
                <w:sz w:val="24"/>
                <w:szCs w:val="24"/>
                <w:lang w:val="en-US" w:eastAsia="zh-CN"/>
                <w:highlight w:val="none"/>
              </w:rPr>
              <w:t>挤压造粒生产线车间烘干排气筒P3废气量为15000m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/h，运行时间为4800h/a，</w:t>
            </w:r>
            <w:r>
              <w:rPr>
                <w:rFonts w:ascii="Times New Roman" w:eastAsia="宋体" w:cs="Times New Roman" w:hAnsi="Times New Roman" w:hint="eastAsia"/>
                <w:color w:val="auto"/>
                <w:sz w:val="24"/>
                <w:szCs w:val="24"/>
                <w:lang w:val="en-US" w:eastAsia="zh-CN"/>
                <w:highlight w:val="none"/>
              </w:rPr>
              <w:t>经预测非甲烷总烃（甲醛）排放浓度为</w:t>
            </w:r>
            <w:r>
              <w:rPr>
                <w:rFonts w:cs="Times New Roman" w:hint="eastAsia"/>
                <w:color w:val="auto"/>
                <w:sz w:val="24"/>
                <w:szCs w:val="24"/>
                <w:lang w:val="en-US" w:eastAsia="zh-CN"/>
                <w:highlight w:val="none"/>
              </w:rPr>
              <w:t>0.020</w:t>
            </w:r>
            <w:r>
              <w:rPr>
                <w:rFonts w:ascii="Times New Roman" w:eastAsia="宋体" w:cs="Times New Roman" w:hAnsi="Times New Roman" w:hint="eastAsia"/>
                <w:color w:val="auto"/>
                <w:sz w:val="24"/>
                <w:szCs w:val="24"/>
                <w:lang w:val="en-US" w:eastAsia="zh-CN"/>
                <w:highlight w:val="none"/>
              </w:rPr>
              <w:t>mg/m</w:t>
            </w:r>
            <w:r>
              <w:rPr>
                <w:rFonts w:ascii="Times New Roman" w:eastAsia="宋体" w:cs="Times New Roman" w:hAnsi="Times New Roman" w:hint="eastAsia"/>
                <w:color w:val="auto"/>
                <w:sz w:val="24"/>
                <w:szCs w:val="24"/>
                <w:vertAlign w:val="superscript"/>
                <w:lang w:val="en-US" w:eastAsia="zh-CN"/>
                <w:highlight w:val="none"/>
              </w:rPr>
              <w:t>3</w:t>
            </w:r>
            <w:r>
              <w:rPr>
                <w:rFonts w:ascii="Times New Roman" w:eastAsia="宋体" w:cs="Times New Roman" w:hAnsi="Times New Roman" w:hint="eastAsia"/>
                <w:color w:val="auto"/>
                <w:sz w:val="24"/>
                <w:szCs w:val="24"/>
                <w:vertAlign w:val="baseline"/>
                <w:lang w:val="en-US" w:eastAsia="zh-CN"/>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hint="eastAsia"/>
                <w:color w:val="auto"/>
                <w:sz w:val="24"/>
                <w:szCs w:val="24"/>
                <w:lang w:val="en-US" w:eastAsia="zh-CN"/>
                <w:highlight w:val="none"/>
              </w:rPr>
              <w:t>化验室废气排气筒P4废气量为1000m</w:t>
            </w:r>
            <w:r>
              <w:rPr>
                <w:rFonts w:cs="Times New Roman" w:hint="eastAsia"/>
                <w:color w:val="auto"/>
                <w:sz w:val="24"/>
                <w:szCs w:val="24"/>
                <w:vertAlign w:val="superscript"/>
                <w:lang w:val="en-US" w:eastAsia="zh-CN"/>
                <w:highlight w:val="none"/>
              </w:rPr>
              <w:t>3</w:t>
            </w:r>
            <w:r>
              <w:rPr>
                <w:rFonts w:cs="Times New Roman" w:hint="eastAsia"/>
                <w:color w:val="auto"/>
                <w:sz w:val="24"/>
                <w:szCs w:val="24"/>
                <w:lang w:val="en-US" w:eastAsia="zh-CN"/>
                <w:highlight w:val="none"/>
              </w:rPr>
              <w:t>/h，运行时间为1000h/a，经预测非甲烷总烃排放浓度为1.125</w:t>
            </w:r>
            <w:r>
              <w:rPr>
                <w:rFonts w:ascii="Times New Roman" w:eastAsia="宋体" w:cs="Times New Roman" w:hAnsi="Times New Roman" w:hint="eastAsia"/>
                <w:color w:val="auto"/>
                <w:sz w:val="24"/>
                <w:szCs w:val="24"/>
                <w:lang w:val="en-US" w:eastAsia="zh-CN"/>
                <w:highlight w:val="none"/>
              </w:rPr>
              <w:t>mg/m</w:t>
            </w:r>
            <w:r>
              <w:rPr>
                <w:rFonts w:ascii="Times New Roman" w:eastAsia="宋体" w:cs="Times New Roman" w:hAnsi="Times New Roman" w:hint="eastAsia"/>
                <w:color w:val="auto"/>
                <w:sz w:val="24"/>
                <w:szCs w:val="24"/>
                <w:vertAlign w:val="superscript"/>
                <w:lang w:val="en-US" w:eastAsia="zh-CN"/>
                <w:highlight w:val="none"/>
              </w:rPr>
              <w:t>3</w:t>
            </w:r>
            <w:r>
              <w:rPr>
                <w:rFonts w:ascii="Times New Roman" w:eastAsia="宋体" w:cs="Times New Roman" w:hAnsi="Times New Roman" w:hint="eastAsia"/>
                <w:color w:val="auto"/>
                <w:sz w:val="24"/>
                <w:szCs w:val="24"/>
                <w:vertAlign w:val="baseline"/>
                <w:lang w:val="en-US" w:eastAsia="zh-CN"/>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Chars="200" w:firstLine="480"/>
              <w:contextualSpacing/>
              <w:textAlignment w:val="auto"/>
              <w:rPr>
                <w:rFonts w:cs="Times New Roman"/>
                <w:color w:val="auto"/>
                <w:sz w:val="24"/>
                <w:szCs w:val="24"/>
                <w:lang w:val="en-US" w:eastAsia="zh-CN"/>
                <w:highlight w:val="none"/>
              </w:rPr>
            </w:pPr>
            <w:r>
              <w:rPr>
                <w:rFonts w:cs="Times New Roman"/>
                <w:color w:val="auto"/>
                <w:sz w:val="24"/>
                <w:szCs w:val="24"/>
                <w:lang w:val="en-US" w:eastAsia="zh-CN"/>
                <w:highlight w:val="none"/>
              </w:rPr>
              <w:t>则本项目完成后全厂</w:t>
            </w:r>
            <w:r>
              <w:rPr>
                <w:rFonts w:cs="Times New Roman" w:hint="eastAsia"/>
                <w:color w:val="auto"/>
                <w:sz w:val="24"/>
                <w:szCs w:val="24"/>
                <w:lang w:val="en-US" w:eastAsia="zh-CN"/>
                <w:highlight w:val="none"/>
              </w:rPr>
              <w:t>非甲烷总烃</w:t>
            </w:r>
            <w:r>
              <w:rPr>
                <w:rFonts w:cs="Times New Roman"/>
                <w:color w:val="auto"/>
                <w:sz w:val="24"/>
                <w:szCs w:val="24"/>
                <w:lang w:val="en-US" w:eastAsia="zh-CN"/>
                <w:highlight w:val="none"/>
              </w:rPr>
              <w:t>总量指标为：</w:t>
            </w:r>
          </w:p>
          <w:p>
            <w:pPr>
              <w:contextualSpacing/>
              <w:rPr>
                <w:rFonts w:cs="Times New Roman" w:hint="eastAsia"/>
                <w:color w:val="auto"/>
                <w:sz w:val="24"/>
                <w:szCs w:val="24"/>
                <w:lang w:val="en-US" w:eastAsia="zh-CN"/>
                <w:highlight w:val="none"/>
              </w:rPr>
            </w:pPr>
            <w:r>
              <w:rPr>
                <w:rFonts w:cs="Times New Roman" w:hint="eastAsia"/>
                <w:color w:val="auto"/>
                <w:sz w:val="24"/>
                <w:szCs w:val="24"/>
                <w:lang w:val="en-US" w:eastAsia="zh-CN"/>
                <w:highlight w:val="none"/>
              </w:rPr>
              <w:t>挤压造粒生产线车间排气筒P2：28</w:t>
            </w:r>
            <w:r>
              <w:rPr>
                <w:rFonts w:ascii="Times New Roman" w:eastAsia="宋体" w:cs="Times New Roman" w:hAnsi="Times New Roman" w:hint="eastAsia"/>
                <w:color w:val="auto"/>
                <w:lang w:val="en-US" w:eastAsia="zh-CN"/>
                <w:highlight w:val="none"/>
              </w:rPr>
              <w:t>000m³/h×1.</w:t>
            </w:r>
            <w:r>
              <w:rPr>
                <w:rFonts w:cs="Times New Roman" w:hint="eastAsia"/>
                <w:color w:val="auto"/>
                <w:lang w:val="en-US" w:eastAsia="zh-CN"/>
                <w:highlight w:val="none"/>
              </w:rPr>
              <w:t>59</w:t>
            </w:r>
            <w:r>
              <w:rPr>
                <w:rFonts w:ascii="Times New Roman" w:eastAsia="宋体" w:cs="Times New Roman" w:hAnsi="Times New Roman" w:hint="eastAsia"/>
                <w:color w:val="auto"/>
                <w:lang w:val="en-US" w:eastAsia="zh-CN"/>
                <w:highlight w:val="none"/>
              </w:rPr>
              <w:t>mg/m³×4800h÷10</w:t>
            </w:r>
            <w:r>
              <w:rPr>
                <w:rFonts w:ascii="Times New Roman" w:eastAsia="宋体" w:cs="Times New Roman" w:hAnsi="Times New Roman" w:hint="eastAsia"/>
                <w:color w:val="auto"/>
                <w:vertAlign w:val="superscript"/>
                <w:lang w:val="en-US" w:eastAsia="zh-CN"/>
                <w:highlight w:val="none"/>
              </w:rPr>
              <w:t>9</w:t>
            </w:r>
            <w:r>
              <w:rPr>
                <w:rFonts w:ascii="Times New Roman" w:eastAsia="宋体" w:cs="Times New Roman" w:hAnsi="Times New Roman" w:hint="eastAsia"/>
                <w:color w:val="auto"/>
                <w:lang w:val="en-US" w:eastAsia="zh-CN"/>
                <w:highlight w:val="none"/>
              </w:rPr>
              <w:t>≈0.214t/a</w:t>
            </w:r>
          </w:p>
          <w:p>
            <w:pPr>
              <w:contextualSpacing/>
              <w:rPr>
                <w:rFonts w:ascii="Times New Roman" w:eastAsia="宋体" w:cs="Times New Roman" w:hAnsi="Times New Roman" w:hint="eastAsia"/>
                <w:color w:val="auto"/>
                <w:lang w:val="en-US" w:eastAsia="zh-CN"/>
                <w:highlight w:val="none"/>
              </w:rPr>
            </w:pPr>
            <w:r>
              <w:rPr>
                <w:rFonts w:ascii="Times New Roman" w:eastAsia="宋体" w:cs="Times New Roman" w:hAnsi="Times New Roman" w:hint="eastAsia"/>
                <w:color w:val="auto"/>
                <w:lang w:val="en-US" w:eastAsia="zh-CN"/>
                <w:highlight w:val="none"/>
              </w:rPr>
              <w:t>挤压造粒生产线车间烘干排气筒P3</w:t>
            </w:r>
            <w:r>
              <w:rPr>
                <w:rFonts w:cs="Times New Roman" w:hint="eastAsia"/>
                <w:color w:val="auto"/>
                <w:lang w:val="en-US" w:eastAsia="zh-CN"/>
                <w:highlight w:val="none"/>
              </w:rPr>
              <w:t>：15000</w:t>
            </w:r>
            <w:r>
              <w:rPr>
                <w:rFonts w:ascii="Times New Roman" w:eastAsia="宋体" w:cs="Times New Roman" w:hAnsi="Times New Roman" w:hint="eastAsia"/>
                <w:color w:val="auto"/>
                <w:lang w:val="en-US" w:eastAsia="zh-CN"/>
                <w:highlight w:val="none"/>
              </w:rPr>
              <w:t>m</w:t>
            </w:r>
            <w:r>
              <w:rPr>
                <w:rFonts w:cs="Times New Roman" w:hint="eastAsia"/>
                <w:color w:val="auto"/>
                <w:vertAlign w:val="superscript"/>
                <w:lang w:val="en-US" w:eastAsia="zh-CN"/>
                <w:highlight w:val="none"/>
              </w:rPr>
              <w:t>3</w:t>
            </w:r>
            <w:r>
              <w:rPr>
                <w:rFonts w:ascii="Times New Roman" w:eastAsia="宋体" w:cs="Times New Roman" w:hAnsi="Times New Roman" w:hint="eastAsia"/>
                <w:color w:val="auto"/>
                <w:lang w:val="en-US" w:eastAsia="zh-CN"/>
                <w:highlight w:val="none"/>
              </w:rPr>
              <w:t>/h×</w:t>
            </w:r>
            <w:r>
              <w:rPr>
                <w:rFonts w:cs="Times New Roman" w:hint="eastAsia"/>
                <w:color w:val="auto"/>
                <w:lang w:val="en-US" w:eastAsia="zh-CN"/>
                <w:highlight w:val="none"/>
              </w:rPr>
              <w:t>0.020</w:t>
            </w:r>
            <w:r>
              <w:rPr>
                <w:rFonts w:ascii="Times New Roman" w:eastAsia="宋体" w:cs="Times New Roman" w:hAnsi="Times New Roman" w:hint="eastAsia"/>
                <w:color w:val="auto"/>
                <w:lang w:val="en-US" w:eastAsia="zh-CN"/>
                <w:highlight w:val="none"/>
              </w:rPr>
              <w:t>mg/m</w:t>
            </w:r>
            <w:r>
              <w:rPr>
                <w:rFonts w:cs="Times New Roman" w:hint="eastAsia"/>
                <w:color w:val="auto"/>
                <w:vertAlign w:val="superscript"/>
                <w:lang w:val="en-US" w:eastAsia="zh-CN"/>
                <w:highlight w:val="none"/>
              </w:rPr>
              <w:t>3</w:t>
            </w:r>
            <w:r>
              <w:rPr>
                <w:rFonts w:ascii="Times New Roman" w:eastAsia="宋体" w:cs="Times New Roman" w:hAnsi="Times New Roman" w:hint="eastAsia"/>
                <w:color w:val="auto"/>
                <w:lang w:val="en-US" w:eastAsia="zh-CN"/>
                <w:highlight w:val="none"/>
              </w:rPr>
              <w:t>×</w:t>
            </w:r>
            <w:r>
              <w:rPr>
                <w:rFonts w:cs="Times New Roman" w:hint="eastAsia"/>
                <w:color w:val="auto"/>
                <w:lang w:val="en-US" w:eastAsia="zh-CN"/>
                <w:highlight w:val="none"/>
              </w:rPr>
              <w:t>4800</w:t>
            </w:r>
            <w:r>
              <w:rPr>
                <w:rFonts w:ascii="Times New Roman" w:eastAsia="宋体" w:cs="Times New Roman" w:hAnsi="Times New Roman" w:hint="eastAsia"/>
                <w:color w:val="auto"/>
                <w:lang w:val="en-US" w:eastAsia="zh-CN"/>
                <w:highlight w:val="none"/>
              </w:rPr>
              <w:t>h÷10</w:t>
            </w:r>
            <w:r>
              <w:rPr>
                <w:rFonts w:ascii="Times New Roman" w:eastAsia="宋体" w:cs="Times New Roman" w:hAnsi="Times New Roman" w:hint="eastAsia"/>
                <w:color w:val="auto"/>
                <w:vertAlign w:val="superscript"/>
                <w:lang w:val="en-US" w:eastAsia="zh-CN"/>
                <w:highlight w:val="none"/>
              </w:rPr>
              <w:t>9</w:t>
            </w:r>
            <w:r>
              <w:rPr>
                <w:rFonts w:cs="Times New Roman" w:hint="eastAsia"/>
                <w:color w:val="auto"/>
                <w:lang w:val="en-US" w:eastAsia="zh-CN"/>
                <w:highlight w:val="none"/>
              </w:rPr>
              <w:t>≈0.001</w:t>
            </w:r>
            <w:r>
              <w:rPr>
                <w:rFonts w:ascii="Times New Roman" w:eastAsia="宋体" w:cs="Times New Roman" w:hAnsi="Times New Roman" w:hint="eastAsia"/>
                <w:color w:val="auto"/>
                <w:lang w:val="en-US" w:eastAsia="zh-CN"/>
                <w:highlight w:val="none"/>
              </w:rPr>
              <w:t>t/a</w:t>
            </w:r>
          </w:p>
          <w:p>
            <w:pPr>
              <w:contextualSpacing/>
              <w:rPr>
                <w:rFonts w:cs="Times New Roman"/>
                <w:color w:val="auto"/>
                <w:lang w:val="en-US" w:eastAsia="zh-CN"/>
                <w:highlight w:val="none"/>
              </w:rPr>
            </w:pPr>
            <w:r>
              <w:rPr>
                <w:rFonts w:ascii="Times New Roman" w:eastAsia="宋体" w:cs="Times New Roman" w:hAnsi="Times New Roman" w:hint="eastAsia"/>
                <w:color w:val="auto"/>
                <w:lang w:val="en-US" w:eastAsia="zh-CN"/>
                <w:highlight w:val="none"/>
              </w:rPr>
              <w:t>化验室废气排气筒</w:t>
            </w:r>
            <w:r>
              <w:rPr>
                <w:rFonts w:cs="Times New Roman" w:hint="eastAsia"/>
                <w:color w:val="auto"/>
                <w:lang w:val="en-US" w:eastAsia="zh-CN"/>
                <w:highlight w:val="none"/>
              </w:rPr>
              <w:t>P4：1000m³/h×1.125mg/m³×1000h÷10</w:t>
            </w:r>
            <w:r>
              <w:rPr>
                <w:rFonts w:cs="Times New Roman" w:hint="eastAsia"/>
                <w:color w:val="auto"/>
                <w:vertAlign w:val="superscript"/>
                <w:lang w:val="en-US" w:eastAsia="zh-CN"/>
                <w:highlight w:val="none"/>
              </w:rPr>
              <w:t>9</w:t>
            </w:r>
            <w:r>
              <w:rPr>
                <w:rFonts w:cs="Times New Roman" w:hint="eastAsia"/>
                <w:color w:val="auto"/>
                <w:lang w:val="en-US" w:eastAsia="zh-CN"/>
                <w:highlight w:val="none"/>
              </w:rPr>
              <w:t>≈0.001t/a</w:t>
            </w:r>
          </w:p>
          <w:p>
            <w:pPr>
              <w:contextualSpacing/>
              <w:jc w:val="center"/>
              <w:rPr>
                <w:color w:val="auto"/>
                <w:lang w:val="en-US" w:eastAsia="zh-CN"/>
              </w:rPr>
            </w:pPr>
            <w:r>
              <w:rPr>
                <w:b/>
                <w:bCs/>
                <w:color w:val="auto"/>
                <w:lang w:val="en-US" w:eastAsia="zh-CN"/>
              </w:rPr>
              <w:t>表3-1</w:t>
            </w:r>
            <w:r>
              <w:rPr>
                <w:rFonts w:hint="eastAsia"/>
                <w:b/>
                <w:bCs/>
                <w:color w:val="auto"/>
                <w:lang w:val="en-US" w:eastAsia="zh-CN"/>
              </w:rPr>
              <w:t>0</w:t>
            </w:r>
            <w:r>
              <w:rPr>
                <w:rFonts w:ascii="Times New Roman" w:eastAsia="宋体" w:hAnsi="Times New Roman" w:hint="eastAsia"/>
                <w:b/>
                <w:bCs/>
                <w:color w:val="auto"/>
                <w:lang w:val="en-US" w:eastAsia="zh-CN"/>
              </w:rPr>
              <w:t xml:space="preserve">  </w:t>
            </w:r>
            <w:r>
              <w:rPr>
                <w:rFonts w:hint="eastAsia"/>
                <w:b/>
                <w:bCs/>
                <w:color w:val="auto"/>
                <w:lang w:val="en-US" w:eastAsia="zh-CN"/>
              </w:rPr>
              <w:t>本项目</w:t>
            </w:r>
            <w:r>
              <w:rPr>
                <w:b/>
                <w:bCs/>
                <w:color w:val="auto"/>
                <w:lang w:val="en-US" w:eastAsia="zh-CN"/>
              </w:rPr>
              <w:t>总量</w:t>
            </w:r>
            <w:r>
              <w:rPr>
                <w:rFonts w:ascii="Times New Roman" w:eastAsia="宋体" w:hAnsi="Times New Roman" w:hint="eastAsia"/>
                <w:b/>
                <w:bCs/>
                <w:color w:val="auto"/>
                <w:lang w:val="en-US" w:eastAsia="zh-CN"/>
              </w:rPr>
              <w:t>控制指标一览表</w:t>
            </w:r>
          </w:p>
          <w:tbl>
            <w:tblPr>
              <w:jc w:val="center"/>
              <w:tblW w:w="499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Look w:val="0600" w:firstRow="0" w:lastRow="0" w:firstColumn="0" w:lastColumn="0" w:noHBand="1" w:noVBand="1"/>
            </w:tblPr>
            <w:tblGrid>
              <w:gridCol w:w="1691"/>
              <w:gridCol w:w="1592"/>
              <w:gridCol w:w="1627"/>
              <w:gridCol w:w="1464"/>
              <w:gridCol w:w="1069"/>
              <w:gridCol w:w="909"/>
            </w:tblGrid>
            <w:tr>
              <w:trPr>
                <w:trHeight w:val="454"/>
              </w:trPr>
              <w:tc>
                <w:tcPr>
                  <w:tcW w:w="1012"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项目</w:t>
                  </w:r>
                </w:p>
              </w:tc>
              <w:tc>
                <w:tcPr>
                  <w:tcW w:w="953"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排放标准（mg/L或mg/m</w:t>
                  </w:r>
                  <w:r>
                    <w:rPr>
                      <w:rFonts w:ascii="Times New Roman" w:cs="Times New Roman" w:hAnsi="Times New Roman"/>
                      <w:color w:val="auto"/>
                      <w:sz w:val="21"/>
                      <w:szCs w:val="21"/>
                      <w:vertAlign w:val="superscript"/>
                      <w:lang w:val="en-US" w:eastAsia="zh-CN"/>
                      <w:highlight w:val="none"/>
                    </w:rPr>
                    <w:t>3</w:t>
                  </w:r>
                  <w:r>
                    <w:rPr>
                      <w:rFonts w:ascii="Times New Roman" w:cs="Times New Roman" w:hAnsi="Times New Roman"/>
                      <w:color w:val="auto"/>
                      <w:sz w:val="21"/>
                      <w:szCs w:val="21"/>
                      <w:lang w:val="en-US" w:eastAsia="zh-CN"/>
                      <w:highlight w:val="none"/>
                    </w:rPr>
                    <w:t>）</w:t>
                  </w:r>
                </w:p>
              </w:tc>
              <w:tc>
                <w:tcPr>
                  <w:tcW w:w="974"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zh-CN" w:eastAsia="zh-CN"/>
                      <w:highlight w:val="none"/>
                    </w:rPr>
                    <w:t>排放量</w:t>
                  </w:r>
                  <w:r>
                    <w:rPr>
                      <w:rFonts w:ascii="Times New Roman" w:cs="Times New Roman" w:hAnsi="Times New Roman"/>
                      <w:color w:val="auto"/>
                      <w:sz w:val="21"/>
                      <w:szCs w:val="21"/>
                      <w:lang w:val="en-US" w:eastAsia="zh-CN"/>
                      <w:highlight w:val="none"/>
                    </w:rPr>
                    <w:t>（m</w:t>
                  </w:r>
                  <w:r>
                    <w:rPr>
                      <w:rFonts w:ascii="Times New Roman" w:cs="Times New Roman" w:hAnsi="Times New Roman"/>
                      <w:color w:val="auto"/>
                      <w:sz w:val="21"/>
                      <w:szCs w:val="21"/>
                      <w:vertAlign w:val="superscript"/>
                      <w:lang w:val="en-US" w:eastAsia="zh-CN"/>
                      <w:highlight w:val="none"/>
                    </w:rPr>
                    <w:t>3</w:t>
                  </w:r>
                  <w:r>
                    <w:rPr>
                      <w:rFonts w:ascii="Times New Roman" w:cs="Times New Roman" w:hAnsi="Times New Roman"/>
                      <w:color w:val="auto"/>
                      <w:sz w:val="21"/>
                      <w:szCs w:val="21"/>
                      <w:lang w:val="en-US" w:eastAsia="zh-CN"/>
                      <w:highlight w:val="none"/>
                    </w:rPr>
                    <w:t>/d或m</w:t>
                  </w:r>
                  <w:r>
                    <w:rPr>
                      <w:rFonts w:ascii="Times New Roman" w:cs="Times New Roman" w:hAnsi="Times New Roman"/>
                      <w:color w:val="auto"/>
                      <w:sz w:val="21"/>
                      <w:szCs w:val="21"/>
                      <w:vertAlign w:val="superscript"/>
                      <w:lang w:val="en-US" w:eastAsia="zh-CN"/>
                      <w:highlight w:val="none"/>
                    </w:rPr>
                    <w:t>3</w:t>
                  </w:r>
                  <w:r>
                    <w:rPr>
                      <w:rFonts w:ascii="Times New Roman" w:cs="Times New Roman" w:hAnsi="Times New Roman"/>
                      <w:color w:val="auto"/>
                      <w:sz w:val="21"/>
                      <w:szCs w:val="21"/>
                      <w:lang w:val="en-US" w:eastAsia="zh-CN"/>
                      <w:highlight w:val="none"/>
                    </w:rPr>
                    <w:t>/h）</w:t>
                  </w:r>
                </w:p>
              </w:tc>
              <w:tc>
                <w:tcPr>
                  <w:tcW w:w="876"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运行时间</w:t>
                  </w:r>
                </w:p>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（d/a或h/a）</w:t>
                  </w:r>
                </w:p>
              </w:tc>
              <w:tc>
                <w:tcPr>
                  <w:tcW w:w="1183" w:type="pct"/>
                  <w:gridSpan w:val="2"/>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污染物年排放量</w:t>
                  </w:r>
                </w:p>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（t/a）</w:t>
                  </w:r>
                </w:p>
              </w:tc>
            </w:tr>
            <w:tr>
              <w:trPr>
                <w:trHeight w:val="291"/>
              </w:trPr>
              <w:tc>
                <w:tcPr>
                  <w:tcW w:w="1012"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COD</w:t>
                  </w:r>
                </w:p>
              </w:tc>
              <w:tc>
                <w:tcPr>
                  <w:tcW w:w="953"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974"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876"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1183" w:type="pct"/>
                  <w:gridSpan w:val="2"/>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r>
            <w:tr>
              <w:trPr>
                <w:trHeight w:val="276"/>
              </w:trPr>
              <w:tc>
                <w:tcPr>
                  <w:tcW w:w="1012"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NH</w:t>
                  </w:r>
                  <w:r>
                    <w:rPr>
                      <w:rFonts w:ascii="Times New Roman" w:cs="Times New Roman" w:hAnsi="Times New Roman"/>
                      <w:color w:val="auto"/>
                      <w:sz w:val="21"/>
                      <w:szCs w:val="21"/>
                      <w:vertAlign w:val="subscript"/>
                      <w:lang w:val="en-US" w:eastAsia="zh-CN"/>
                      <w:highlight w:val="none"/>
                    </w:rPr>
                    <w:t>3</w:t>
                  </w:r>
                  <w:r>
                    <w:rPr>
                      <w:rFonts w:ascii="Times New Roman" w:cs="Times New Roman" w:hAnsi="Times New Roman"/>
                      <w:color w:val="auto"/>
                      <w:sz w:val="21"/>
                      <w:szCs w:val="21"/>
                      <w:lang w:val="en-US" w:eastAsia="zh-CN"/>
                      <w:highlight w:val="none"/>
                    </w:rPr>
                    <w:t>-N</w:t>
                  </w:r>
                </w:p>
              </w:tc>
              <w:tc>
                <w:tcPr>
                  <w:tcW w:w="953"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974"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876"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1183" w:type="pct"/>
                  <w:gridSpan w:val="2"/>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r>
            <w:tr>
              <w:trPr>
                <w:trHeight w:val="276"/>
              </w:trPr>
              <w:tc>
                <w:tcPr>
                  <w:tcW w:w="1012"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SO</w:t>
                  </w:r>
                  <w:r>
                    <w:rPr>
                      <w:rFonts w:ascii="Times New Roman" w:cs="Times New Roman" w:hAnsi="Times New Roman"/>
                      <w:color w:val="auto"/>
                      <w:sz w:val="21"/>
                      <w:szCs w:val="21"/>
                      <w:vertAlign w:val="subscript"/>
                      <w:lang w:val="en-US" w:eastAsia="zh-CN"/>
                      <w:highlight w:val="none"/>
                    </w:rPr>
                    <w:t>2</w:t>
                  </w:r>
                </w:p>
              </w:tc>
              <w:tc>
                <w:tcPr>
                  <w:tcW w:w="953"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974"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876"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1183" w:type="pct"/>
                  <w:gridSpan w:val="2"/>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r>
            <w:tr>
              <w:trPr>
                <w:trHeight w:val="276"/>
              </w:trPr>
              <w:tc>
                <w:tcPr>
                  <w:tcW w:w="1012"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NOx</w:t>
                  </w:r>
                </w:p>
              </w:tc>
              <w:tc>
                <w:tcPr>
                  <w:tcW w:w="953"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240</w:t>
                  </w:r>
                </w:p>
              </w:tc>
              <w:tc>
                <w:tcPr>
                  <w:tcW w:w="974"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1000</w:t>
                  </w:r>
                </w:p>
              </w:tc>
              <w:tc>
                <w:tcPr>
                  <w:tcW w:w="876"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1000</w:t>
                  </w:r>
                </w:p>
              </w:tc>
              <w:tc>
                <w:tcPr>
                  <w:tcW w:w="1183" w:type="pct"/>
                  <w:gridSpan w:val="2"/>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0.240</w:t>
                  </w:r>
                </w:p>
              </w:tc>
            </w:tr>
            <w:tr>
              <w:trPr>
                <w:trHeight w:val="322"/>
              </w:trPr>
              <w:tc>
                <w:tcPr>
                  <w:tcW w:w="1012" w:type="pct"/>
                  <w:vMerge w:val="restar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颗粒物</w:t>
                  </w:r>
                </w:p>
              </w:tc>
              <w:tc>
                <w:tcPr>
                  <w:tcW w:w="953"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120</w:t>
                  </w:r>
                </w:p>
              </w:tc>
              <w:tc>
                <w:tcPr>
                  <w:tcW w:w="97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6000</w:t>
                  </w:r>
                </w:p>
              </w:tc>
              <w:tc>
                <w:tcPr>
                  <w:tcW w:w="876" w:type="pct"/>
                  <w:tcBorders>
                    <w:bottom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4800</w:t>
                  </w:r>
                </w:p>
              </w:tc>
              <w:tc>
                <w:tcPr>
                  <w:tcW w:w="640" w:type="pct"/>
                  <w:tcBorders>
                    <w:righ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3.456</w:t>
                  </w:r>
                </w:p>
              </w:tc>
              <w:tc>
                <w:tcPr>
                  <w:tcW w:w="543" w:type="pct"/>
                  <w:vMerge w:val="restart"/>
                  <w:tcBorders>
                    <w:lef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yellow"/>
                    </w:rPr>
                  </w:pPr>
                  <w:r>
                    <w:rPr>
                      <w:rFonts w:cs="Times New Roman" w:hint="eastAsia"/>
                      <w:color w:val="auto"/>
                      <w:sz w:val="21"/>
                      <w:szCs w:val="21"/>
                      <w:lang w:val="en-US" w:eastAsia="zh-CN"/>
                      <w:highlight w:val="none"/>
                    </w:rPr>
                    <w:t>28.346</w:t>
                  </w:r>
                </w:p>
              </w:tc>
            </w:tr>
            <w:tr>
              <w:trPr>
                <w:trHeight w:val="322"/>
              </w:trPr>
              <w:tc>
                <w:tcPr>
                  <w:tcW w:w="1012" w:type="pct"/>
                  <w:vMerge/>
                  <w:tcBorders>
                    <w:tl2br w:val="nil"/>
                    <w:tr2bl w:val="nil"/>
                  </w:tcBorders>
                  <w:vAlign w:val="center"/>
                </w:tcPr>
                <w:p/>
              </w:tc>
              <w:tc>
                <w:tcPr>
                  <w:tcW w:w="953"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120</w:t>
                  </w:r>
                </w:p>
              </w:tc>
              <w:tc>
                <w:tcPr>
                  <w:tcW w:w="97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28000</w:t>
                  </w:r>
                </w:p>
              </w:tc>
              <w:tc>
                <w:tcPr>
                  <w:tcW w:w="876" w:type="pct"/>
                  <w:tcBorders>
                    <w:bottom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4800</w:t>
                  </w:r>
                </w:p>
              </w:tc>
              <w:tc>
                <w:tcPr>
                  <w:tcW w:w="640" w:type="pct"/>
                  <w:tcBorders>
                    <w:right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color w:val="auto"/>
                      <w:sz w:val="21"/>
                      <w:szCs w:val="21"/>
                      <w:lang w:val="en-US" w:eastAsia="zh-CN"/>
                      <w:highlight w:val="none"/>
                    </w:rPr>
                    <w:t>16.128</w:t>
                  </w:r>
                </w:p>
              </w:tc>
              <w:tc>
                <w:tcPr>
                  <w:tcW w:w="543" w:type="pct"/>
                  <w:vMerge/>
                  <w:tcBorders>
                    <w:left w:val="single" w:sz="4" w:space="0" w:color="auto"/>
                    <w:tl2br w:val="nil"/>
                    <w:tr2bl w:val="nil"/>
                  </w:tcBorders>
                  <w:shd w:val="clear" w:color="auto" w:fill="auto"/>
                  <w:vAlign w:val="center"/>
                </w:tcPr>
                <w:p/>
              </w:tc>
            </w:tr>
            <w:tr>
              <w:trPr>
                <w:trHeight w:val="300"/>
              </w:trPr>
              <w:tc>
                <w:tcPr>
                  <w:tcW w:w="1012" w:type="pct"/>
                  <w:vMerge/>
                  <w:tcBorders>
                    <w:tl2br w:val="nil"/>
                    <w:tr2bl w:val="nil"/>
                  </w:tcBorders>
                  <w:vAlign w:val="center"/>
                </w:tcPr>
                <w:p/>
              </w:tc>
              <w:tc>
                <w:tcPr>
                  <w:tcW w:w="953"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120</w:t>
                  </w:r>
                </w:p>
              </w:tc>
              <w:tc>
                <w:tcPr>
                  <w:tcW w:w="97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15000</w:t>
                  </w:r>
                </w:p>
              </w:tc>
              <w:tc>
                <w:tcPr>
                  <w:tcW w:w="876" w:type="pct"/>
                  <w:tcBorders>
                    <w:bottom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4800</w:t>
                  </w:r>
                </w:p>
              </w:tc>
              <w:tc>
                <w:tcPr>
                  <w:tcW w:w="640" w:type="pct"/>
                  <w:tcBorders>
                    <w:righ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8.640</w:t>
                  </w:r>
                </w:p>
              </w:tc>
              <w:tc>
                <w:tcPr>
                  <w:tcW w:w="543" w:type="pct"/>
                  <w:vMerge/>
                  <w:tcBorders>
                    <w:left w:val="single" w:sz="4" w:space="0" w:color="auto"/>
                    <w:tl2br w:val="nil"/>
                    <w:tr2bl w:val="nil"/>
                  </w:tcBorders>
                  <w:vAlign w:val="center"/>
                </w:tcPr>
                <w:p/>
              </w:tc>
            </w:tr>
            <w:tr>
              <w:trPr>
                <w:trHeight w:val="322"/>
              </w:trPr>
              <w:tc>
                <w:tcPr>
                  <w:tcW w:w="1012" w:type="pct"/>
                  <w:vMerge/>
                  <w:tcBorders>
                    <w:tl2br w:val="nil"/>
                    <w:tr2bl w:val="nil"/>
                  </w:tcBorders>
                  <w:vAlign w:val="center"/>
                </w:tcPr>
                <w:p/>
              </w:tc>
              <w:tc>
                <w:tcPr>
                  <w:tcW w:w="953"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850</w:t>
                  </w:r>
                </w:p>
              </w:tc>
              <w:tc>
                <w:tcPr>
                  <w:tcW w:w="97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30</w:t>
                  </w:r>
                </w:p>
              </w:tc>
              <w:tc>
                <w:tcPr>
                  <w:tcW w:w="876" w:type="pct"/>
                  <w:tcBorders>
                    <w:bottom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4800</w:t>
                  </w:r>
                </w:p>
              </w:tc>
              <w:tc>
                <w:tcPr>
                  <w:tcW w:w="640" w:type="pct"/>
                  <w:tcBorders>
                    <w:righ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0.122</w:t>
                  </w:r>
                </w:p>
              </w:tc>
              <w:tc>
                <w:tcPr>
                  <w:tcW w:w="543" w:type="pct"/>
                  <w:vMerge/>
                  <w:tcBorders>
                    <w:left w:val="single" w:sz="4" w:space="0" w:color="auto"/>
                    <w:tl2br w:val="nil"/>
                    <w:tr2bl w:val="nil"/>
                  </w:tcBorders>
                  <w:vAlign w:val="center"/>
                </w:tcPr>
                <w:p/>
              </w:tc>
            </w:tr>
            <w:tr>
              <w:trPr>
                <w:trHeight w:val="322"/>
              </w:trPr>
              <w:tc>
                <w:tcPr>
                  <w:tcW w:w="1012" w:type="pct"/>
                  <w:vMerge w:val="restar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非甲烷总烃</w:t>
                  </w:r>
                </w:p>
              </w:tc>
              <w:tc>
                <w:tcPr>
                  <w:tcW w:w="953"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1.59</w:t>
                  </w:r>
                </w:p>
              </w:tc>
              <w:tc>
                <w:tcPr>
                  <w:tcW w:w="97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28000</w:t>
                  </w:r>
                </w:p>
              </w:tc>
              <w:tc>
                <w:tcPr>
                  <w:tcW w:w="876" w:type="pct"/>
                  <w:tcBorders>
                    <w:bottom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4800</w:t>
                  </w:r>
                </w:p>
              </w:tc>
              <w:tc>
                <w:tcPr>
                  <w:tcW w:w="640" w:type="pct"/>
                  <w:tcBorders>
                    <w:righ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0.214</w:t>
                  </w:r>
                </w:p>
              </w:tc>
              <w:tc>
                <w:tcPr>
                  <w:tcW w:w="543" w:type="pct"/>
                  <w:vMerge w:val="restart"/>
                  <w:tcBorders>
                    <w:lef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yellow"/>
                    </w:rPr>
                  </w:pPr>
                  <w:r>
                    <w:rPr>
                      <w:rFonts w:cs="Times New Roman" w:hint="eastAsia"/>
                      <w:color w:val="auto"/>
                      <w:sz w:val="21"/>
                      <w:szCs w:val="21"/>
                      <w:lang w:val="en-US" w:eastAsia="zh-CN"/>
                      <w:highlight w:val="none"/>
                    </w:rPr>
                    <w:t>0.216</w:t>
                  </w:r>
                </w:p>
              </w:tc>
            </w:tr>
            <w:tr>
              <w:trPr>
                <w:trHeight w:val="90"/>
              </w:trPr>
              <w:tc>
                <w:tcPr>
                  <w:tcW w:w="1012" w:type="pct"/>
                  <w:vMerge/>
                  <w:tcBorders>
                    <w:tl2br w:val="nil"/>
                    <w:tr2bl w:val="nil"/>
                  </w:tcBorders>
                  <w:vAlign w:val="center"/>
                </w:tcPr>
                <w:p/>
              </w:tc>
              <w:tc>
                <w:tcPr>
                  <w:tcW w:w="953"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0.020</w:t>
                  </w:r>
                </w:p>
              </w:tc>
              <w:tc>
                <w:tcPr>
                  <w:tcW w:w="97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15000</w:t>
                  </w:r>
                </w:p>
              </w:tc>
              <w:tc>
                <w:tcPr>
                  <w:tcW w:w="876" w:type="pct"/>
                  <w:tcBorders>
                    <w:bottom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4800</w:t>
                  </w:r>
                </w:p>
              </w:tc>
              <w:tc>
                <w:tcPr>
                  <w:tcW w:w="640" w:type="pct"/>
                  <w:tcBorders>
                    <w:righ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0.001</w:t>
                  </w:r>
                </w:p>
              </w:tc>
              <w:tc>
                <w:tcPr>
                  <w:tcW w:w="543" w:type="pct"/>
                  <w:vMerge/>
                  <w:tcBorders>
                    <w:left w:val="single" w:sz="4" w:space="0" w:color="auto"/>
                    <w:tl2br w:val="nil"/>
                    <w:tr2bl w:val="nil"/>
                  </w:tcBorders>
                  <w:vAlign w:val="center"/>
                </w:tcPr>
                <w:p/>
              </w:tc>
            </w:tr>
            <w:tr>
              <w:trPr>
                <w:trHeight w:val="322"/>
              </w:trPr>
              <w:tc>
                <w:tcPr>
                  <w:tcW w:w="1012" w:type="pct"/>
                  <w:vMerge/>
                  <w:tcBorders>
                    <w:tl2br w:val="nil"/>
                    <w:tr2bl w:val="nil"/>
                  </w:tcBorders>
                  <w:vAlign w:val="center"/>
                </w:tcPr>
                <w:p/>
              </w:tc>
              <w:tc>
                <w:tcPr>
                  <w:tcW w:w="953"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1.125</w:t>
                  </w:r>
                </w:p>
              </w:tc>
              <w:tc>
                <w:tcPr>
                  <w:tcW w:w="974" w:type="pct"/>
                  <w:tcBorders>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1000</w:t>
                  </w:r>
                </w:p>
              </w:tc>
              <w:tc>
                <w:tcPr>
                  <w:tcW w:w="876" w:type="pct"/>
                  <w:tcBorders>
                    <w:bottom w:val="single" w:sz="4" w:space="0" w:color="auto"/>
                    <w:tl2br w:val="nil"/>
                    <w:tr2bl w:val="nil"/>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auto"/>
                      <w:kern w:val="0"/>
                      <w:sz w:val="21"/>
                      <w:szCs w:val="21"/>
                      <w:lang w:val="en-US" w:eastAsia="zh-CN" w:bidi="ar-SA"/>
                      <w:highlight w:val="none"/>
                    </w:rPr>
                  </w:pPr>
                  <w:r>
                    <w:rPr>
                      <w:rFonts w:cs="Times New Roman" w:hint="eastAsia"/>
                      <w:snapToGrid w:val="0"/>
                      <w:color w:val="auto"/>
                      <w:kern w:val="0"/>
                      <w:sz w:val="21"/>
                      <w:szCs w:val="21"/>
                      <w:lang w:val="en-US" w:eastAsia="zh-CN" w:bidi="ar-SA"/>
                      <w:highlight w:val="none"/>
                    </w:rPr>
                    <w:t>1000</w:t>
                  </w:r>
                </w:p>
              </w:tc>
              <w:tc>
                <w:tcPr>
                  <w:tcW w:w="640" w:type="pct"/>
                  <w:tcBorders>
                    <w:right w:val="single" w:sz="4" w:space="0" w:color="auto"/>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0.001</w:t>
                  </w:r>
                </w:p>
              </w:tc>
              <w:tc>
                <w:tcPr>
                  <w:tcW w:w="543" w:type="pct"/>
                  <w:vMerge/>
                  <w:tcBorders>
                    <w:left w:val="single" w:sz="4" w:space="0" w:color="auto"/>
                    <w:tl2br w:val="nil"/>
                    <w:tr2bl w:val="nil"/>
                  </w:tcBorders>
                  <w:vAlign w:val="center"/>
                </w:tcPr>
                <w:p/>
              </w:tc>
            </w:tr>
            <w:tr>
              <w:trPr>
                <w:trHeight w:val="272"/>
              </w:trPr>
              <w:tc>
                <w:tcPr>
                  <w:tcW w:w="1012"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核算公式</w:t>
                  </w:r>
                </w:p>
              </w:tc>
              <w:tc>
                <w:tcPr>
                  <w:tcW w:w="3987" w:type="pct"/>
                  <w:gridSpan w:val="5"/>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污染物排放量（t/a）=排放标准限值（mg/m3）×排气量（m</w:t>
                  </w:r>
                  <w:r>
                    <w:rPr>
                      <w:rFonts w:ascii="Times New Roman" w:cs="Times New Roman" w:hAnsi="Times New Roman"/>
                      <w:color w:val="auto"/>
                      <w:sz w:val="21"/>
                      <w:szCs w:val="21"/>
                      <w:vertAlign w:val="superscript"/>
                      <w:lang w:val="en-US" w:eastAsia="zh-CN"/>
                      <w:highlight w:val="none"/>
                    </w:rPr>
                    <w:t>3</w:t>
                  </w:r>
                  <w:r>
                    <w:rPr>
                      <w:rFonts w:ascii="Times New Roman" w:cs="Times New Roman" w:hAnsi="Times New Roman"/>
                      <w:color w:val="auto"/>
                      <w:sz w:val="21"/>
                      <w:szCs w:val="21"/>
                      <w:lang w:val="en-US" w:eastAsia="zh-CN"/>
                      <w:highlight w:val="none"/>
                    </w:rPr>
                    <w:t>/h）×生产时间（h/a）/10</w:t>
                  </w:r>
                  <w:r>
                    <w:rPr>
                      <w:rFonts w:ascii="Times New Roman" w:cs="Times New Roman" w:hAnsi="Times New Roman"/>
                      <w:color w:val="auto"/>
                      <w:sz w:val="21"/>
                      <w:szCs w:val="21"/>
                      <w:vertAlign w:val="superscript"/>
                      <w:lang w:val="en-US" w:eastAsia="zh-CN"/>
                      <w:highlight w:val="none"/>
                    </w:rPr>
                    <w:t>9</w:t>
                  </w:r>
                </w:p>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污染物排放量（t/a）=排放标准限值（mg/L）×废水量（m</w:t>
                  </w:r>
                  <w:r>
                    <w:rPr>
                      <w:rFonts w:ascii="Times New Roman" w:cs="Times New Roman" w:hAnsi="Times New Roman"/>
                      <w:color w:val="auto"/>
                      <w:sz w:val="21"/>
                      <w:szCs w:val="21"/>
                      <w:vertAlign w:val="superscript"/>
                      <w:lang w:val="en-US" w:eastAsia="zh-CN"/>
                      <w:highlight w:val="none"/>
                    </w:rPr>
                    <w:t>3</w:t>
                  </w:r>
                  <w:r>
                    <w:rPr>
                      <w:rFonts w:ascii="Times New Roman" w:cs="Times New Roman" w:hAnsi="Times New Roman"/>
                      <w:color w:val="auto"/>
                      <w:sz w:val="21"/>
                      <w:szCs w:val="21"/>
                      <w:lang w:val="en-US" w:eastAsia="zh-CN"/>
                      <w:highlight w:val="none"/>
                    </w:rPr>
                    <w:t>/d）×生产时间（d/a）/10</w:t>
                  </w:r>
                  <w:r>
                    <w:rPr>
                      <w:rFonts w:ascii="Times New Roman" w:cs="Times New Roman" w:hAnsi="Times New Roman"/>
                      <w:color w:val="auto"/>
                      <w:sz w:val="21"/>
                      <w:szCs w:val="21"/>
                      <w:vertAlign w:val="superscript"/>
                      <w:lang w:val="en-US" w:eastAsia="zh-CN"/>
                      <w:highlight w:val="none"/>
                    </w:rPr>
                    <w:t>6</w:t>
                  </w:r>
                </w:p>
              </w:tc>
            </w:tr>
            <w:tr>
              <w:trPr>
                <w:trHeight w:val="302"/>
              </w:trPr>
              <w:tc>
                <w:tcPr>
                  <w:tcW w:w="1012" w:type="pct"/>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核算结果</w:t>
                  </w:r>
                </w:p>
              </w:tc>
              <w:tc>
                <w:tcPr>
                  <w:tcW w:w="3987" w:type="pct"/>
                  <w:gridSpan w:val="5"/>
                  <w:tcBorders>
                    <w:tl2br w:val="nil"/>
                    <w:tr2bl w:val="nil"/>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由公式核算可知，</w:t>
                  </w:r>
                  <w:r>
                    <w:rPr>
                      <w:rFonts w:cs="Times New Roman" w:hint="eastAsia"/>
                      <w:color w:val="auto"/>
                      <w:sz w:val="21"/>
                      <w:szCs w:val="21"/>
                      <w:lang w:val="en-US" w:eastAsia="zh-CN"/>
                      <w:highlight w:val="none"/>
                    </w:rPr>
                    <w:t>本项目</w:t>
                  </w:r>
                  <w:r>
                    <w:rPr>
                      <w:rFonts w:ascii="Times New Roman" w:cs="Times New Roman" w:hAnsi="Times New Roman"/>
                      <w:color w:val="auto"/>
                      <w:sz w:val="21"/>
                      <w:szCs w:val="21"/>
                      <w:lang w:val="en-US" w:eastAsia="zh-CN"/>
                      <w:highlight w:val="none"/>
                    </w:rPr>
                    <w:t>污染物年排放量分别为：</w:t>
                  </w:r>
                  <w:r>
                    <w:rPr>
                      <w:rFonts w:ascii="Times New Roman" w:cs="Times New Roman" w:hAnsi="Times New Roman"/>
                      <w:color w:val="auto"/>
                      <w:sz w:val="21"/>
                      <w:szCs w:val="21"/>
                      <w:lang w:val="de-DE" w:eastAsia="zh-CN"/>
                      <w:highlight w:val="none"/>
                    </w:rPr>
                    <w:t>COD：</w:t>
                  </w:r>
                  <w:r>
                    <w:rPr>
                      <w:rFonts w:cs="Times New Roman" w:hint="eastAsia"/>
                      <w:color w:val="auto"/>
                      <w:sz w:val="21"/>
                      <w:szCs w:val="21"/>
                      <w:lang w:val="en-US" w:eastAsia="zh-CN"/>
                      <w:highlight w:val="none"/>
                    </w:rPr>
                    <w:t>0</w:t>
                  </w:r>
                  <w:r>
                    <w:rPr>
                      <w:rFonts w:ascii="Times New Roman" w:cs="Times New Roman" w:hAnsi="Times New Roman"/>
                      <w:color w:val="auto"/>
                      <w:sz w:val="21"/>
                      <w:szCs w:val="21"/>
                      <w:lang w:val="en-US" w:eastAsia="zh-CN"/>
                      <w:highlight w:val="none"/>
                    </w:rPr>
                    <w:t>t</w:t>
                  </w:r>
                  <w:r>
                    <w:rPr>
                      <w:rFonts w:ascii="Times New Roman" w:cs="Times New Roman" w:hAnsi="Times New Roman"/>
                      <w:color w:val="auto"/>
                      <w:sz w:val="21"/>
                      <w:szCs w:val="21"/>
                      <w:lang w:val="de-DE" w:eastAsia="zh-CN"/>
                      <w:highlight w:val="none"/>
                    </w:rPr>
                    <w:t>/a；NH</w:t>
                  </w:r>
                  <w:r>
                    <w:rPr>
                      <w:rFonts w:ascii="Times New Roman" w:cs="Times New Roman" w:hAnsi="Times New Roman"/>
                      <w:color w:val="auto"/>
                      <w:sz w:val="21"/>
                      <w:szCs w:val="21"/>
                      <w:vertAlign w:val="subscript"/>
                      <w:lang w:val="de-DE" w:eastAsia="zh-CN"/>
                      <w:highlight w:val="none"/>
                    </w:rPr>
                    <w:t>3</w:t>
                  </w:r>
                  <w:r>
                    <w:rPr>
                      <w:rFonts w:ascii="Times New Roman" w:cs="Times New Roman" w:hAnsi="Times New Roman"/>
                      <w:color w:val="auto"/>
                      <w:sz w:val="21"/>
                      <w:szCs w:val="21"/>
                      <w:lang w:val="de-DE" w:eastAsia="zh-CN"/>
                      <w:highlight w:val="none"/>
                    </w:rPr>
                    <w:t>-N</w:t>
                  </w:r>
                  <w:r>
                    <w:rPr>
                      <w:rFonts w:ascii="Times New Roman" w:cs="Times New Roman" w:hAnsi="Times New Roman"/>
                      <w:color w:val="auto"/>
                      <w:sz w:val="21"/>
                      <w:szCs w:val="21"/>
                      <w:lang w:val="en-US" w:eastAsia="zh-CN"/>
                      <w:highlight w:val="none"/>
                    </w:rPr>
                    <w:t>：</w:t>
                  </w:r>
                  <w:r>
                    <w:rPr>
                      <w:rFonts w:cs="Times New Roman" w:hint="eastAsia"/>
                      <w:color w:val="auto"/>
                      <w:sz w:val="21"/>
                      <w:szCs w:val="21"/>
                      <w:lang w:val="en-US" w:eastAsia="zh-CN"/>
                      <w:highlight w:val="none"/>
                    </w:rPr>
                    <w:t>0</w:t>
                  </w:r>
                  <w:r>
                    <w:rPr>
                      <w:rFonts w:ascii="Times New Roman" w:cs="Times New Roman" w:hAnsi="Times New Roman"/>
                      <w:color w:val="auto"/>
                      <w:sz w:val="21"/>
                      <w:szCs w:val="21"/>
                      <w:lang w:val="de-DE" w:eastAsia="zh-CN"/>
                      <w:highlight w:val="none"/>
                    </w:rPr>
                    <w:t>t/a；SO</w:t>
                  </w:r>
                  <w:r>
                    <w:rPr>
                      <w:rFonts w:ascii="Times New Roman" w:cs="Times New Roman" w:hAnsi="Times New Roman"/>
                      <w:color w:val="auto"/>
                      <w:sz w:val="21"/>
                      <w:szCs w:val="21"/>
                      <w:vertAlign w:val="subscript"/>
                      <w:lang w:val="de-DE" w:eastAsia="zh-CN"/>
                      <w:highlight w:val="none"/>
                    </w:rPr>
                    <w:t>2</w:t>
                  </w:r>
                  <w:r>
                    <w:rPr>
                      <w:rFonts w:ascii="Times New Roman" w:cs="Times New Roman" w:hAnsi="Times New Roman"/>
                      <w:color w:val="auto"/>
                      <w:sz w:val="21"/>
                      <w:szCs w:val="21"/>
                      <w:lang w:val="de-DE" w:eastAsia="zh-CN"/>
                      <w:highlight w:val="none"/>
                    </w:rPr>
                    <w:t>：</w:t>
                  </w:r>
                  <w:r>
                    <w:rPr>
                      <w:rFonts w:cs="Times New Roman" w:hint="eastAsia"/>
                      <w:color w:val="auto"/>
                      <w:sz w:val="21"/>
                      <w:szCs w:val="21"/>
                      <w:lang w:val="en-US" w:eastAsia="zh-CN"/>
                      <w:highlight w:val="none"/>
                    </w:rPr>
                    <w:t>0</w:t>
                  </w:r>
                  <w:r>
                    <w:rPr>
                      <w:rFonts w:ascii="Times New Roman" w:cs="Times New Roman" w:hAnsi="Times New Roman"/>
                      <w:color w:val="auto"/>
                      <w:sz w:val="21"/>
                      <w:szCs w:val="21"/>
                      <w:lang w:val="de-DE" w:eastAsia="zh-CN"/>
                      <w:highlight w:val="none"/>
                    </w:rPr>
                    <w:t>t/a；</w:t>
                  </w:r>
                  <w:r>
                    <w:rPr>
                      <w:rFonts w:ascii="Times New Roman" w:cs="Times New Roman" w:hAnsi="Times New Roman"/>
                      <w:color w:val="auto"/>
                      <w:sz w:val="21"/>
                      <w:szCs w:val="21"/>
                      <w:lang w:val="en-US" w:eastAsia="zh-CN"/>
                      <w:highlight w:val="none"/>
                    </w:rPr>
                    <w:t>NO</w:t>
                  </w:r>
                  <w:r>
                    <w:rPr>
                      <w:rFonts w:ascii="Times New Roman" w:cs="Times New Roman" w:hAnsi="Times New Roman"/>
                      <w:color w:val="auto"/>
                      <w:sz w:val="21"/>
                      <w:szCs w:val="21"/>
                      <w:vertAlign w:val="subscript"/>
                      <w:lang w:val="en-US" w:eastAsia="zh-CN"/>
                      <w:highlight w:val="none"/>
                    </w:rPr>
                    <w:t>X</w:t>
                  </w:r>
                  <w:r>
                    <w:rPr>
                      <w:rFonts w:ascii="Times New Roman" w:cs="Times New Roman" w:hAnsi="Times New Roman"/>
                      <w:color w:val="auto"/>
                      <w:sz w:val="21"/>
                      <w:szCs w:val="21"/>
                      <w:lang w:val="de-DE" w:eastAsia="zh-CN"/>
                      <w:highlight w:val="none"/>
                    </w:rPr>
                    <w:t>：</w:t>
                  </w:r>
                  <w:r>
                    <w:rPr>
                      <w:rFonts w:cs="Times New Roman" w:hint="eastAsia"/>
                      <w:color w:val="auto"/>
                      <w:sz w:val="21"/>
                      <w:szCs w:val="21"/>
                      <w:lang w:val="en-US" w:eastAsia="zh-CN"/>
                      <w:highlight w:val="none"/>
                    </w:rPr>
                    <w:t>0.24</w:t>
                  </w:r>
                  <w:r>
                    <w:rPr>
                      <w:rFonts w:ascii="Times New Roman" w:cs="Times New Roman" w:hAnsi="Times New Roman"/>
                      <w:color w:val="auto"/>
                      <w:sz w:val="21"/>
                      <w:szCs w:val="21"/>
                      <w:lang w:val="de-DE" w:eastAsia="zh-CN"/>
                      <w:highlight w:val="none"/>
                    </w:rPr>
                    <w:t>t/a；</w:t>
                  </w:r>
                  <w:r>
                    <w:rPr>
                      <w:rFonts w:ascii="Times New Roman" w:cs="Times New Roman" w:hAnsi="Times New Roman"/>
                      <w:color w:val="auto"/>
                      <w:sz w:val="21"/>
                      <w:szCs w:val="21"/>
                      <w:lang w:val="en-US" w:eastAsia="zh-CN"/>
                      <w:highlight w:val="none"/>
                    </w:rPr>
                    <w:t>颗粒物</w:t>
                  </w:r>
                  <w:r>
                    <w:rPr>
                      <w:rFonts w:cs="Times New Roman" w:hint="eastAsia"/>
                      <w:color w:val="auto"/>
                      <w:sz w:val="21"/>
                      <w:szCs w:val="21"/>
                      <w:lang w:val="en-US" w:eastAsia="zh-CN"/>
                      <w:highlight w:val="none"/>
                    </w:rPr>
                    <w:t>（全厂）</w:t>
                  </w:r>
                  <w:r>
                    <w:rPr>
                      <w:rFonts w:ascii="Times New Roman" w:cs="Times New Roman" w:hAnsi="Times New Roman"/>
                      <w:color w:val="auto"/>
                      <w:sz w:val="21"/>
                      <w:szCs w:val="21"/>
                      <w:lang w:val="en-US" w:eastAsia="zh-CN"/>
                      <w:highlight w:val="none"/>
                    </w:rPr>
                    <w:t>：</w:t>
                  </w:r>
                  <w:r>
                    <w:rPr>
                      <w:rFonts w:cs="Times New Roman" w:hint="eastAsia"/>
                      <w:color w:val="auto"/>
                      <w:sz w:val="21"/>
                      <w:szCs w:val="21"/>
                      <w:lang w:val="en-US" w:eastAsia="zh-CN"/>
                      <w:highlight w:val="none"/>
                    </w:rPr>
                    <w:t>28.346</w:t>
                  </w:r>
                  <w:r>
                    <w:rPr>
                      <w:rFonts w:ascii="Times New Roman" w:cs="Times New Roman" w:hAnsi="Times New Roman"/>
                      <w:color w:val="auto"/>
                      <w:sz w:val="21"/>
                      <w:szCs w:val="21"/>
                      <w:lang w:val="de-DE" w:eastAsia="zh-CN"/>
                      <w:highlight w:val="none"/>
                    </w:rPr>
                    <w:t>t/</w:t>
                  </w:r>
                  <w:r>
                    <w:rPr>
                      <w:rFonts w:cs="Times New Roman" w:hint="eastAsia"/>
                      <w:color w:val="auto"/>
                      <w:sz w:val="21"/>
                      <w:szCs w:val="21"/>
                      <w:lang w:val="en-US" w:eastAsia="zh-CN"/>
                      <w:highlight w:val="none"/>
                    </w:rPr>
                    <w:t>a；非甲烷总烃：0.216t/a</w:t>
                  </w:r>
                </w:p>
              </w:tc>
            </w:tr>
          </w:tbl>
          <w:p>
            <w:pPr>
              <w:contextualSpacing/>
              <w:rPr>
                <w:color w:val="auto"/>
                <w:lang w:val="en-US" w:eastAsia="zh-CN"/>
              </w:rPr>
            </w:pPr>
            <w:r>
              <w:rPr>
                <w:color w:val="auto"/>
                <w:lang w:val="en-US" w:eastAsia="zh-CN"/>
              </w:rPr>
              <w:t>本项目建设前后项目</w:t>
            </w:r>
            <w:r>
              <w:rPr>
                <w:rFonts w:hint="eastAsia"/>
                <w:color w:val="auto"/>
                <w:lang w:val="en-US" w:eastAsia="zh-CN"/>
              </w:rPr>
              <w:t>排放量和</w:t>
            </w:r>
            <w:r>
              <w:rPr>
                <w:color w:val="auto"/>
                <w:lang w:val="en-US" w:eastAsia="zh-CN"/>
              </w:rPr>
              <w:t>总量变化</w:t>
            </w:r>
            <w:r>
              <w:rPr>
                <w:rFonts w:hint="eastAsia"/>
                <w:color w:val="auto"/>
                <w:lang w:val="en-US" w:eastAsia="zh-CN"/>
              </w:rPr>
              <w:t>情况见下表</w:t>
            </w:r>
            <w:r>
              <w:rPr>
                <w:color w:val="auto"/>
                <w:lang w:val="en-US" w:eastAsia="zh-CN"/>
              </w:rPr>
              <w:t>。</w:t>
            </w:r>
          </w:p>
          <w:p>
            <w:pPr>
              <w:contextualSpacing/>
              <w:jc w:val="center"/>
              <w:rPr>
                <w:rFonts w:hint="eastAsia"/>
                <w:b/>
                <w:bCs/>
                <w:color w:val="auto"/>
                <w:lang w:val="en-US" w:eastAsia="zh-CN"/>
              </w:rPr>
            </w:pPr>
            <w:r>
              <w:rPr>
                <w:b/>
                <w:bCs/>
                <w:color w:val="auto"/>
                <w:lang w:val="en-US" w:eastAsia="zh-CN"/>
              </w:rPr>
              <w:t>表3-1</w:t>
            </w:r>
            <w:r>
              <w:rPr>
                <w:rFonts w:hint="eastAsia"/>
                <w:b/>
                <w:bCs/>
                <w:color w:val="auto"/>
                <w:lang w:val="en-US" w:eastAsia="zh-CN"/>
              </w:rPr>
              <w:t>1   本项目建设</w:t>
            </w:r>
            <w:r>
              <w:rPr>
                <w:b/>
                <w:bCs/>
                <w:color w:val="auto"/>
                <w:lang w:val="en-US" w:eastAsia="zh-CN"/>
              </w:rPr>
              <w:t>前后</w:t>
            </w:r>
            <w:r>
              <w:rPr>
                <w:rFonts w:hint="eastAsia"/>
                <w:b/>
                <w:bCs/>
                <w:color w:val="auto"/>
                <w:lang w:val="en-US" w:eastAsia="zh-CN"/>
              </w:rPr>
              <w:t>总量变化“三本账”</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582"/>
              <w:gridCol w:w="1285"/>
              <w:gridCol w:w="1619"/>
              <w:gridCol w:w="1010"/>
              <w:gridCol w:w="1418"/>
              <w:gridCol w:w="1449"/>
            </w:tblGrid>
            <w:tr>
              <w:trPr>
                <w:trHeight w:val="1585"/>
              </w:trPr>
              <w:tc>
                <w:tcPr>
                  <w:tcW w:w="903" w:type="pct"/>
                  <w:vAlign w:val="center"/>
                </w:tcPr>
                <w:p>
                  <w:pPr>
                    <w:pStyle w:val="39"/>
                    <w:bidi w:val="0"/>
                    <w:rPr>
                      <w:rFonts w:hint="eastAsia"/>
                      <w:color w:val="000000"/>
                      <w14:textFill>
                        <w14:solidFill>
                          <w14:srgbClr w14:val="000000"/>
                        </w14:solidFill>
                      </w14:textFill>
                      <w:lang w:val="en-US" w:eastAsia="zh-CN"/>
                      <w:highlight w:val="none"/>
                    </w:rPr>
                  </w:pPr>
                  <w:r>
                    <w:rPr>
                      <w:rFonts w:eastAsia="宋体" w:hint="eastAsia"/>
                      <w:color w:val="000000"/>
                      <w14:textFill>
                        <w14:solidFill>
                          <w14:srgbClr w14:val="000000"/>
                        </w14:solidFill>
                      </w14:textFill>
                      <w:lang w:val="en-US" w:eastAsia="zh-CN"/>
                      <w:highlight w:val="none"/>
                    </w:rPr>
                    <w:t>污染物</w:t>
                  </w:r>
                </w:p>
              </w:tc>
              <w:tc>
                <w:tcPr>
                  <w:tcW w:w="731" w:type="pct"/>
                  <w:vAlign w:val="center"/>
                </w:tcPr>
                <w:p>
                  <w:pPr>
                    <w:pStyle w:val="39"/>
                    <w:bidi w:val="0"/>
                    <w:rPr>
                      <w:color w:val="000000"/>
                      <w14:textFill>
                        <w14:solidFill>
                          <w14:srgbClr w14:val="000000"/>
                        </w14:solidFill>
                      </w14:textFill>
                      <w:lang w:val="en-US" w:eastAsia="zh-CN"/>
                      <w:highlight w:val="none"/>
                    </w:rPr>
                  </w:pPr>
                  <w:r>
                    <w:rPr>
                      <w:rFonts w:eastAsia="宋体" w:hint="eastAsia"/>
                      <w:color w:val="000000"/>
                      <w14:textFill>
                        <w14:solidFill>
                          <w14:srgbClr w14:val="000000"/>
                        </w14:solidFill>
                      </w14:textFill>
                      <w:lang w:val="en-US" w:eastAsia="zh-CN"/>
                      <w:highlight w:val="none"/>
                    </w:rPr>
                    <w:t>现有工程</w:t>
                  </w:r>
                  <w:r>
                    <w:rPr>
                      <w:rFonts w:hint="eastAsia"/>
                      <w:color w:val="000000"/>
                      <w14:textFill>
                        <w14:solidFill>
                          <w14:srgbClr w14:val="000000"/>
                        </w14:solidFill>
                      </w14:textFill>
                      <w:lang w:val="en-US" w:eastAsia="zh-CN"/>
                      <w:highlight w:val="none"/>
                    </w:rPr>
                    <w:t>实际排放量t/a</w:t>
                  </w:r>
                </w:p>
              </w:tc>
              <w:tc>
                <w:tcPr>
                  <w:tcW w:w="883" w:type="pct"/>
                  <w:vAlign w:val="center"/>
                </w:tcPr>
                <w:p>
                  <w:pPr>
                    <w:pStyle w:val="39"/>
                    <w:bidi w:val="0"/>
                    <w:rPr>
                      <w:color w:val="000000"/>
                      <w14:textFill>
                        <w14:solidFill>
                          <w14:srgbClr w14:val="000000"/>
                        </w14:solidFill>
                      </w14:textFill>
                      <w:lang w:val="en-US" w:eastAsia="zh-CN"/>
                      <w:highlight w:val="none"/>
                    </w:rPr>
                  </w:pPr>
                  <w:r>
                    <w:rPr>
                      <w:rFonts w:eastAsia="宋体" w:hint="eastAsia"/>
                      <w:color w:val="000000"/>
                      <w14:textFill>
                        <w14:solidFill>
                          <w14:srgbClr w14:val="000000"/>
                        </w14:solidFill>
                      </w14:textFill>
                      <w:lang w:val="en-US" w:eastAsia="zh-CN"/>
                      <w:highlight w:val="none"/>
                    </w:rPr>
                    <w:t>本项目</w:t>
                  </w:r>
                  <w:r>
                    <w:rPr>
                      <w:rFonts w:hint="eastAsia"/>
                      <w:color w:val="000000"/>
                      <w14:textFill>
                        <w14:solidFill>
                          <w14:srgbClr w14:val="000000"/>
                        </w14:solidFill>
                      </w14:textFill>
                      <w:lang w:val="en-US" w:eastAsia="zh-CN"/>
                      <w:highlight w:val="none"/>
                    </w:rPr>
                    <w:t>预测排放量</w:t>
                  </w:r>
                  <w:r>
                    <w:rPr>
                      <w:rFonts w:eastAsia="宋体" w:hint="eastAsia"/>
                      <w:color w:val="000000"/>
                      <w14:textFill>
                        <w14:solidFill>
                          <w14:srgbClr w14:val="000000"/>
                        </w14:solidFill>
                      </w14:textFill>
                      <w:lang w:val="en-US" w:eastAsia="zh-CN"/>
                      <w:highlight w:val="none"/>
                    </w:rPr>
                    <w:t>t/a</w:t>
                  </w:r>
                </w:p>
              </w:tc>
              <w:tc>
                <w:tcPr>
                  <w:tcW w:w="652" w:type="pct"/>
                  <w:shd w:val="clear" w:color="auto" w:fill="auto"/>
                  <w:vAlign w:val="center"/>
                </w:tcPr>
                <w:p>
                  <w:pPr>
                    <w:pStyle w:val="39"/>
                    <w:bidi w:val="0"/>
                    <w:rPr>
                      <w:rFonts w:ascii="Times New Roman" w:eastAsia="宋体" w:cs="Times New Roman" w:hAnsi="Times New Roman" w:hint="eastAsia"/>
                      <w:color w:val="000000"/>
                      <w:kern w:val="0"/>
                      <w:sz w:val="21"/>
                      <w:szCs w:val="24"/>
                      <w14:textFill>
                        <w14:solidFill>
                          <w14:srgbClr w14:val="000000"/>
                        </w14:solidFill>
                      </w14:textFill>
                      <w:lang w:val="en-US" w:eastAsia="zh-CN" w:bidi="ar-SA"/>
                      <w:highlight w:val="none"/>
                    </w:rPr>
                  </w:pPr>
                  <w:r>
                    <w:rPr>
                      <w:rFonts w:eastAsia="宋体" w:hint="eastAsia"/>
                      <w:color w:val="000000"/>
                      <w14:textFill>
                        <w14:solidFill>
                          <w14:srgbClr w14:val="000000"/>
                        </w14:solidFill>
                      </w14:textFill>
                      <w:lang w:val="en-US" w:eastAsia="zh-CN"/>
                      <w:highlight w:val="none"/>
                    </w:rPr>
                    <w:t>以新带老削减量t/a</w:t>
                  </w:r>
                </w:p>
              </w:tc>
              <w:tc>
                <w:tcPr>
                  <w:tcW w:w="895" w:type="pct"/>
                  <w:shd w:val="clear" w:color="auto" w:fill="auto"/>
                  <w:vAlign w:val="center"/>
                </w:tcPr>
                <w:p>
                  <w:pPr>
                    <w:pStyle w:val="39"/>
                    <w:bidi w:val="0"/>
                    <w:rPr>
                      <w:rFonts w:ascii="Times New Roman" w:eastAsia="宋体" w:cs="Times New Roman" w:hAnsi="Times New Roman" w:hint="eastAsia"/>
                      <w:color w:val="000000"/>
                      <w:kern w:val="0"/>
                      <w:sz w:val="21"/>
                      <w:szCs w:val="24"/>
                      <w14:textFill>
                        <w14:solidFill>
                          <w14:srgbClr w14:val="000000"/>
                        </w14:solidFill>
                      </w14:textFill>
                      <w:lang w:val="en-US" w:eastAsia="zh-CN" w:bidi="ar-SA"/>
                      <w:highlight w:val="none"/>
                    </w:rPr>
                  </w:pPr>
                  <w:r>
                    <w:rPr>
                      <w:rFonts w:eastAsia="宋体" w:hint="eastAsia"/>
                      <w:color w:val="000000"/>
                      <w14:textFill>
                        <w14:solidFill>
                          <w14:srgbClr w14:val="000000"/>
                        </w14:solidFill>
                      </w14:textFill>
                      <w:lang w:val="en-US" w:eastAsia="zh-CN"/>
                      <w:highlight w:val="none"/>
                    </w:rPr>
                    <w:t>本项目完成后</w:t>
                  </w:r>
                  <w:r>
                    <w:rPr>
                      <w:rFonts w:hint="eastAsia"/>
                      <w:color w:val="000000"/>
                      <w14:textFill>
                        <w14:solidFill>
                          <w14:srgbClr w14:val="000000"/>
                        </w14:solidFill>
                      </w14:textFill>
                      <w:lang w:val="en-US" w:eastAsia="zh-CN"/>
                      <w:highlight w:val="none"/>
                    </w:rPr>
                    <w:t>全厂预测排放量t/a</w:t>
                  </w:r>
                </w:p>
              </w:tc>
              <w:tc>
                <w:tcPr>
                  <w:tcW w:w="933" w:type="pct"/>
                  <w:shd w:val="clear" w:color="auto" w:fill="auto"/>
                  <w:vAlign w:val="center"/>
                </w:tcPr>
                <w:p>
                  <w:pPr>
                    <w:pStyle w:val="39"/>
                    <w:bidi w:val="0"/>
                    <w:rPr>
                      <w:rFonts w:ascii="Times New Roman" w:eastAsia="宋体" w:cs="Times New Roman" w:hAnsi="Times New Roman" w:hint="eastAsia"/>
                      <w:color w:val="000000"/>
                      <w:kern w:val="0"/>
                      <w:sz w:val="21"/>
                      <w:szCs w:val="24"/>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全厂污染物排放变化量t/a</w:t>
                  </w:r>
                </w:p>
              </w:tc>
            </w:tr>
            <w:tr>
              <w:trPr>
                <w:trHeight w:val="247"/>
              </w:trPr>
              <w:tc>
                <w:tcPr>
                  <w:tcW w:w="903" w:type="pct"/>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000000"/>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COD(t/a)</w:t>
                  </w:r>
                </w:p>
              </w:tc>
              <w:tc>
                <w:tcPr>
                  <w:tcW w:w="731"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0.125</w:t>
                  </w:r>
                </w:p>
              </w:tc>
              <w:tc>
                <w:tcPr>
                  <w:tcW w:w="883" w:type="pct"/>
                  <w:tcBorders>
                    <w:left w:val="single" w:sz="4" w:space="0" w:color="auto"/>
                  </w:tcBorders>
                  <w:vAlign w:val="center"/>
                </w:tcPr>
                <w:p>
                  <w:pPr>
                    <w:pStyle w:val="39"/>
                    <w:bidi w:val="0"/>
                    <w:ind w:firstLine="0"/>
                    <w:rPr>
                      <w:color w:val="000000"/>
                      <w14:textFill>
                        <w14:solidFill>
                          <w14:srgbClr w14:val="000000"/>
                        </w14:solidFill>
                      </w14:textFill>
                      <w:lang w:val="en-US" w:eastAsia="zh-CN"/>
                      <w:highlight w:val="none"/>
                    </w:rPr>
                  </w:pPr>
                  <w:r>
                    <w:rPr>
                      <w:rFonts w:ascii="Times New Roman" w:eastAsia="宋体" w:cs="Times New Roman" w:hAnsi="Times New Roman" w:hint="eastAsia"/>
                      <w:bCs/>
                      <w:color w:val="000000"/>
                      <w:kern w:val="2"/>
                      <w:sz w:val="21"/>
                      <w:szCs w:val="21"/>
                      <w14:textFill>
                        <w14:solidFill>
                          <w14:srgbClr w14:val="000000"/>
                        </w14:solidFill>
                      </w14:textFill>
                      <w:lang w:val="en-US" w:eastAsia="zh-CN"/>
                      <w:highlight w:val="none"/>
                    </w:rPr>
                    <w:t>0</w:t>
                  </w:r>
                </w:p>
              </w:tc>
              <w:tc>
                <w:tcPr>
                  <w:tcW w:w="652" w:type="pct"/>
                  <w:tcBorders>
                    <w:left w:val="single" w:sz="4" w:space="0" w:color="auto"/>
                  </w:tcBorders>
                  <w:shd w:val="clear" w:color="auto" w:fill="auto"/>
                  <w:vAlign w:val="center"/>
                </w:tcPr>
                <w:p>
                  <w:pPr>
                    <w:pStyle w:val="39"/>
                    <w:bidi w:val="0"/>
                    <w:ind w:firstLine="0"/>
                    <w:rPr>
                      <w:rFonts w:ascii="Times New Roman" w:eastAsia="宋体" w:cs="Times New Roman" w:hAnsi="Times New Roman"/>
                      <w:bCs/>
                      <w:color w:val="00000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bCs/>
                      <w:color w:val="000000"/>
                      <w:kern w:val="2"/>
                      <w:sz w:val="21"/>
                      <w:szCs w:val="21"/>
                      <w14:textFill>
                        <w14:solidFill>
                          <w14:srgbClr w14:val="000000"/>
                        </w14:solidFill>
                      </w14:textFill>
                      <w:lang w:val="en-US" w:eastAsia="zh-CN"/>
                      <w:highlight w:val="none"/>
                    </w:rPr>
                    <w:t>0</w:t>
                  </w:r>
                </w:p>
              </w:tc>
              <w:tc>
                <w:tcPr>
                  <w:tcW w:w="3855"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0.125</w:t>
                  </w:r>
                </w:p>
              </w:tc>
              <w:tc>
                <w:tcPr>
                  <w:tcW w:w="933" w:type="pct"/>
                  <w:tcBorders>
                    <w:left w:val="single" w:sz="4" w:space="0" w:color="auto"/>
                  </w:tcBorders>
                  <w:shd w:val="clear" w:color="auto" w:fill="auto"/>
                  <w:vAlign w:val="center"/>
                </w:tcPr>
                <w:p>
                  <w:pPr>
                    <w:pStyle w:val="39"/>
                    <w:bidi w:val="0"/>
                    <w:ind w:firstLine="0"/>
                    <w:rPr>
                      <w:rFonts w:ascii="Times New Roman" w:eastAsia="宋体" w:cs="Times New Roman" w:hAnsi="Times New Roman"/>
                      <w:color w:val="000000"/>
                      <w:kern w:val="0"/>
                      <w:sz w:val="21"/>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4"/>
                      <w14:textFill>
                        <w14:solidFill>
                          <w14:srgbClr w14:val="000000"/>
                        </w14:solidFill>
                      </w14:textFill>
                      <w:lang w:val="en-US" w:eastAsia="zh-CN" w:bidi="ar-SA"/>
                      <w:highlight w:val="none"/>
                    </w:rPr>
                    <w:t>0</w:t>
                  </w:r>
                </w:p>
              </w:tc>
            </w:tr>
            <w:tr>
              <w:trPr>
                <w:trHeight w:val="484"/>
              </w:trPr>
              <w:tc>
                <w:tcPr>
                  <w:tcW w:w="903" w:type="pct"/>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000000"/>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NH</w:t>
                  </w:r>
                  <w:r>
                    <w:rPr>
                      <w:rFonts w:ascii="Times New Roman" w:cs="Times New Roman" w:hAnsi="Times New Roman"/>
                      <w:color w:val="000000"/>
                      <w:sz w:val="21"/>
                      <w:szCs w:val="21"/>
                      <w:vertAlign w:val="subscript"/>
                      <w14:textFill>
                        <w14:solidFill>
                          <w14:srgbClr w14:val="000000"/>
                        </w14:solidFill>
                      </w14:textFill>
                      <w:lang w:val="en-US" w:eastAsia="zh-CN"/>
                      <w:highlight w:val="none"/>
                    </w:rPr>
                    <w:t>3</w:t>
                  </w:r>
                  <w:r>
                    <w:rPr>
                      <w:rFonts w:ascii="Times New Roman" w:cs="Times New Roman" w:hAnsi="Times New Roman"/>
                      <w:color w:val="000000"/>
                      <w:sz w:val="21"/>
                      <w:szCs w:val="21"/>
                      <w14:textFill>
                        <w14:solidFill>
                          <w14:srgbClr w14:val="000000"/>
                        </w14:solidFill>
                      </w14:textFill>
                      <w:lang w:val="en-US" w:eastAsia="zh-CN"/>
                      <w:highlight w:val="none"/>
                    </w:rPr>
                    <w:t>-N (t/a)</w:t>
                  </w:r>
                </w:p>
              </w:tc>
              <w:tc>
                <w:tcPr>
                  <w:tcW w:w="731"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snapToGrid w:val="0"/>
                      <w:color w:val="000000"/>
                      <w:kern w:val="0"/>
                      <w:sz w:val="21"/>
                      <w:szCs w:val="21"/>
                      <w14:textFill>
                        <w14:solidFill>
                          <w14:srgbClr w14:val="000000"/>
                        </w14:solidFill>
                      </w14:textFill>
                      <w:lang w:val="en-US" w:eastAsia="zh-CN" w:bidi="ar-SA"/>
                      <w:highlight w:val="none"/>
                    </w:rPr>
                    <w:t>0.0</w:t>
                  </w:r>
                  <w:r>
                    <w:rPr>
                      <w:rFonts w:cs="Times New Roman" w:hint="eastAsia"/>
                      <w:snapToGrid w:val="0"/>
                      <w:color w:val="000000"/>
                      <w:kern w:val="0"/>
                      <w:sz w:val="21"/>
                      <w:szCs w:val="21"/>
                      <w14:textFill>
                        <w14:solidFill>
                          <w14:srgbClr w14:val="000000"/>
                        </w14:solidFill>
                      </w14:textFill>
                      <w:lang w:val="en-US" w:eastAsia="zh-CN" w:bidi="ar-SA"/>
                      <w:highlight w:val="none"/>
                    </w:rPr>
                    <w:t>19</w:t>
                  </w:r>
                </w:p>
              </w:tc>
              <w:tc>
                <w:tcPr>
                  <w:tcW w:w="883" w:type="pct"/>
                  <w:tcBorders>
                    <w:left w:val="single" w:sz="4" w:space="0" w:color="auto"/>
                  </w:tcBorders>
                  <w:vAlign w:val="center"/>
                </w:tcPr>
                <w:p>
                  <w:pPr>
                    <w:pStyle w:val="39"/>
                    <w:bidi w:val="0"/>
                    <w:ind w:firstLine="0"/>
                    <w:rPr>
                      <w:color w:val="000000"/>
                      <w14:textFill>
                        <w14:solidFill>
                          <w14:srgbClr w14:val="000000"/>
                        </w14:solidFill>
                      </w14:textFill>
                      <w:lang w:val="en-US" w:eastAsia="zh-CN"/>
                      <w:highlight w:val="none"/>
                    </w:rPr>
                  </w:pPr>
                  <w:r>
                    <w:rPr>
                      <w:rFonts w:ascii="Times New Roman" w:eastAsia="宋体" w:cs="Times New Roman" w:hAnsi="Times New Roman" w:hint="eastAsia"/>
                      <w:bCs/>
                      <w:color w:val="000000"/>
                      <w:kern w:val="2"/>
                      <w:sz w:val="21"/>
                      <w:szCs w:val="21"/>
                      <w14:textFill>
                        <w14:solidFill>
                          <w14:srgbClr w14:val="000000"/>
                        </w14:solidFill>
                      </w14:textFill>
                      <w:lang w:val="en-US" w:eastAsia="zh-CN"/>
                      <w:highlight w:val="none"/>
                    </w:rPr>
                    <w:t>0</w:t>
                  </w:r>
                </w:p>
              </w:tc>
              <w:tc>
                <w:tcPr>
                  <w:tcW w:w="652" w:type="pct"/>
                  <w:tcBorders>
                    <w:left w:val="single" w:sz="4" w:space="0" w:color="auto"/>
                  </w:tcBorders>
                  <w:shd w:val="clear" w:color="auto" w:fill="auto"/>
                  <w:vAlign w:val="center"/>
                </w:tcPr>
                <w:p>
                  <w:pPr>
                    <w:pStyle w:val="39"/>
                    <w:bidi w:val="0"/>
                    <w:ind w:firstLine="0"/>
                    <w:rPr>
                      <w:rFonts w:ascii="Times New Roman" w:eastAsia="宋体" w:cs="Times New Roman" w:hAnsi="Times New Roman"/>
                      <w:bCs/>
                      <w:color w:val="00000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bCs/>
                      <w:color w:val="000000"/>
                      <w:kern w:val="2"/>
                      <w:sz w:val="21"/>
                      <w:szCs w:val="21"/>
                      <w14:textFill>
                        <w14:solidFill>
                          <w14:srgbClr w14:val="000000"/>
                        </w14:solidFill>
                      </w14:textFill>
                      <w:lang w:val="en-US" w:eastAsia="zh-CN"/>
                      <w:highlight w:val="none"/>
                    </w:rPr>
                    <w:t>0</w:t>
                  </w:r>
                </w:p>
              </w:tc>
              <w:tc>
                <w:tcPr>
                  <w:tcW w:w="3855"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snapToGrid w:val="0"/>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snapToGrid w:val="0"/>
                      <w:color w:val="000000"/>
                      <w:kern w:val="0"/>
                      <w:sz w:val="21"/>
                      <w:szCs w:val="21"/>
                      <w14:textFill>
                        <w14:solidFill>
                          <w14:srgbClr w14:val="000000"/>
                        </w14:solidFill>
                      </w14:textFill>
                      <w:lang w:val="en-US" w:eastAsia="zh-CN" w:bidi="ar-SA"/>
                      <w:highlight w:val="none"/>
                    </w:rPr>
                    <w:t>0.0</w:t>
                  </w:r>
                  <w:r>
                    <w:rPr>
                      <w:rFonts w:cs="Times New Roman" w:hint="eastAsia"/>
                      <w:snapToGrid w:val="0"/>
                      <w:color w:val="000000"/>
                      <w:kern w:val="0"/>
                      <w:sz w:val="21"/>
                      <w:szCs w:val="21"/>
                      <w14:textFill>
                        <w14:solidFill>
                          <w14:srgbClr w14:val="000000"/>
                        </w14:solidFill>
                      </w14:textFill>
                      <w:lang w:val="en-US" w:eastAsia="zh-CN" w:bidi="ar-SA"/>
                      <w:highlight w:val="none"/>
                    </w:rPr>
                    <w:t>19</w:t>
                  </w:r>
                </w:p>
              </w:tc>
              <w:tc>
                <w:tcPr>
                  <w:tcW w:w="933" w:type="pct"/>
                  <w:tcBorders>
                    <w:left w:val="single" w:sz="4" w:space="0" w:color="auto"/>
                  </w:tcBorders>
                  <w:shd w:val="clear" w:color="auto" w:fill="auto"/>
                  <w:vAlign w:val="center"/>
                </w:tcPr>
                <w:p>
                  <w:pPr>
                    <w:pStyle w:val="39"/>
                    <w:bidi w:val="0"/>
                    <w:ind w:firstLine="0"/>
                    <w:rPr>
                      <w:rFonts w:ascii="Times New Roman" w:eastAsia="宋体" w:cs="Times New Roman" w:hAnsi="Times New Roman"/>
                      <w:color w:val="000000"/>
                      <w:kern w:val="0"/>
                      <w:sz w:val="21"/>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4"/>
                      <w14:textFill>
                        <w14:solidFill>
                          <w14:srgbClr w14:val="000000"/>
                        </w14:solidFill>
                      </w14:textFill>
                      <w:lang w:val="en-US" w:eastAsia="zh-CN" w:bidi="ar-SA"/>
                      <w:highlight w:val="none"/>
                    </w:rPr>
                    <w:t>0</w:t>
                  </w:r>
                </w:p>
              </w:tc>
            </w:tr>
            <w:tr>
              <w:trPr>
                <w:trHeight w:val="247"/>
              </w:trPr>
              <w:tc>
                <w:tcPr>
                  <w:tcW w:w="903" w:type="pct"/>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000000"/>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SO</w:t>
                  </w:r>
                  <w:r>
                    <w:rPr>
                      <w:rFonts w:ascii="Times New Roman" w:cs="Times New Roman" w:hAnsi="Times New Roman"/>
                      <w:color w:val="000000"/>
                      <w:sz w:val="21"/>
                      <w:szCs w:val="21"/>
                      <w:vertAlign w:val="subscript"/>
                      <w14:textFill>
                        <w14:solidFill>
                          <w14:srgbClr w14:val="000000"/>
                        </w14:solidFill>
                      </w14:textFill>
                      <w:lang w:val="en-US" w:eastAsia="zh-CN"/>
                      <w:highlight w:val="none"/>
                    </w:rPr>
                    <w:t>2</w:t>
                  </w:r>
                  <w:r>
                    <w:rPr>
                      <w:rFonts w:ascii="Times New Roman" w:cs="Times New Roman" w:hAnsi="Times New Roman"/>
                      <w:color w:val="000000"/>
                      <w:sz w:val="21"/>
                      <w:szCs w:val="21"/>
                      <w14:textFill>
                        <w14:solidFill>
                          <w14:srgbClr w14:val="000000"/>
                        </w14:solidFill>
                      </w14:textFill>
                      <w:lang w:val="en-US" w:eastAsia="zh-CN"/>
                      <w:highlight w:val="none"/>
                    </w:rPr>
                    <w:t>(t/a)</w:t>
                  </w:r>
                </w:p>
              </w:tc>
              <w:tc>
                <w:tcPr>
                  <w:tcW w:w="731"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0.021</w:t>
                  </w:r>
                </w:p>
              </w:tc>
              <w:tc>
                <w:tcPr>
                  <w:tcW w:w="88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color w:val="000000"/>
                      <w:sz w:val="21"/>
                      <w:szCs w:val="21"/>
                      <w14:textFill>
                        <w14:solidFill>
                          <w14:srgbClr w14:val="000000"/>
                        </w14:solidFill>
                      </w14:textFill>
                      <w:lang w:val="en-US" w:eastAsia="zh-CN"/>
                      <w:highlight w:val="none"/>
                    </w:rPr>
                    <w:t>0</w:t>
                  </w:r>
                </w:p>
              </w:tc>
              <w:tc>
                <w:tcPr>
                  <w:tcW w:w="652"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w:t>
                  </w:r>
                </w:p>
              </w:tc>
              <w:tc>
                <w:tcPr>
                  <w:tcW w:w="3855"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0.021</w:t>
                  </w:r>
                </w:p>
              </w:tc>
              <w:tc>
                <w:tcPr>
                  <w:tcW w:w="93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w:t>
                  </w:r>
                </w:p>
              </w:tc>
            </w:tr>
            <w:tr>
              <w:trPr>
                <w:trHeight w:val="247"/>
              </w:trPr>
              <w:tc>
                <w:tcPr>
                  <w:tcW w:w="903" w:type="pct"/>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000000"/>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NO</w:t>
                  </w:r>
                  <w:r>
                    <w:rPr>
                      <w:rFonts w:ascii="Times New Roman" w:cs="Times New Roman" w:hAnsi="Times New Roman"/>
                      <w:color w:val="000000"/>
                      <w:sz w:val="21"/>
                      <w:szCs w:val="21"/>
                      <w:vertAlign w:val="subscript"/>
                      <w14:textFill>
                        <w14:solidFill>
                          <w14:srgbClr w14:val="000000"/>
                        </w14:solidFill>
                      </w14:textFill>
                      <w:lang w:val="en-US" w:eastAsia="zh-CN"/>
                      <w:highlight w:val="none"/>
                    </w:rPr>
                    <w:t>X</w:t>
                  </w:r>
                  <w:r>
                    <w:rPr>
                      <w:rFonts w:ascii="Times New Roman" w:cs="Times New Roman" w:hAnsi="Times New Roman"/>
                      <w:color w:val="000000"/>
                      <w:sz w:val="21"/>
                      <w:szCs w:val="21"/>
                      <w14:textFill>
                        <w14:solidFill>
                          <w14:srgbClr w14:val="000000"/>
                        </w14:solidFill>
                      </w14:textFill>
                      <w:lang w:val="en-US" w:eastAsia="zh-CN"/>
                      <w:highlight w:val="none"/>
                    </w:rPr>
                    <w:t>(t/a)</w:t>
                  </w:r>
                </w:p>
              </w:tc>
              <w:tc>
                <w:tcPr>
                  <w:tcW w:w="731"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0.719</w:t>
                  </w:r>
                </w:p>
              </w:tc>
              <w:tc>
                <w:tcPr>
                  <w:tcW w:w="88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0.00007≈0</w:t>
                  </w:r>
                </w:p>
              </w:tc>
              <w:tc>
                <w:tcPr>
                  <w:tcW w:w="652"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w:t>
                  </w:r>
                </w:p>
              </w:tc>
              <w:tc>
                <w:tcPr>
                  <w:tcW w:w="3855"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0.719</w:t>
                  </w:r>
                </w:p>
              </w:tc>
              <w:tc>
                <w:tcPr>
                  <w:tcW w:w="93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w:t>
                  </w:r>
                </w:p>
              </w:tc>
            </w:tr>
            <w:tr>
              <w:trPr>
                <w:trHeight w:val="545"/>
              </w:trPr>
              <w:tc>
                <w:tcPr>
                  <w:tcW w:w="903" w:type="pct"/>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000000"/>
                      <w14:textFill>
                        <w14:solidFill>
                          <w14:srgbClr w14:val="000000"/>
                        </w14:solidFill>
                      </w14:textFill>
                      <w:lang w:val="en-US"/>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颗粒物（t/a）</w:t>
                  </w:r>
                  <w:r>
                    <w:rPr>
                      <w:rFonts w:cs="Times New Roman" w:hint="eastAsia"/>
                      <w:color w:val="000000"/>
                      <w:sz w:val="21"/>
                      <w:szCs w:val="21"/>
                      <w14:textFill>
                        <w14:solidFill>
                          <w14:srgbClr w14:val="000000"/>
                        </w14:solidFill>
                      </w14:textFill>
                      <w:lang w:val="en-US" w:eastAsia="zh-CN"/>
                      <w:highlight w:val="none"/>
                    </w:rPr>
                    <w:t>以全厂计</w:t>
                  </w:r>
                </w:p>
              </w:tc>
              <w:tc>
                <w:tcPr>
                  <w:tcW w:w="731"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0.453</w:t>
                  </w:r>
                </w:p>
              </w:tc>
              <w:tc>
                <w:tcPr>
                  <w:tcW w:w="88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color w:val="000000"/>
                      <w:sz w:val="21"/>
                      <w:szCs w:val="21"/>
                      <w14:textFill>
                        <w14:solidFill>
                          <w14:srgbClr w14:val="000000"/>
                        </w14:solidFill>
                      </w14:textFill>
                      <w:lang w:val="en-US" w:eastAsia="zh-CN"/>
                      <w:highlight w:val="none"/>
                    </w:rPr>
                    <w:t>0.891</w:t>
                  </w:r>
                </w:p>
              </w:tc>
              <w:tc>
                <w:tcPr>
                  <w:tcW w:w="652"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w:t>
                  </w:r>
                </w:p>
              </w:tc>
              <w:tc>
                <w:tcPr>
                  <w:tcW w:w="895"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1.344</w:t>
                  </w:r>
                </w:p>
              </w:tc>
              <w:tc>
                <w:tcPr>
                  <w:tcW w:w="93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color w:val="000000"/>
                      <w:sz w:val="21"/>
                      <w:szCs w:val="21"/>
                      <w14:textFill>
                        <w14:solidFill>
                          <w14:srgbClr w14:val="000000"/>
                        </w14:solidFill>
                      </w14:textFill>
                      <w:lang w:val="en-US" w:eastAsia="zh-CN"/>
                      <w:highlight w:val="none"/>
                    </w:rPr>
                    <w:t>+0.891</w:t>
                  </w:r>
                </w:p>
              </w:tc>
            </w:tr>
            <w:tr>
              <w:trPr>
                <w:trHeight w:val="545"/>
              </w:trPr>
              <w:tc>
                <w:tcPr>
                  <w:tcW w:w="903" w:type="pct"/>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非甲烷总烃</w:t>
                  </w:r>
                </w:p>
              </w:tc>
              <w:tc>
                <w:tcPr>
                  <w:tcW w:w="731"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w:t>
                  </w:r>
                </w:p>
              </w:tc>
              <w:tc>
                <w:tcPr>
                  <w:tcW w:w="88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0.216</w:t>
                  </w:r>
                </w:p>
              </w:tc>
              <w:tc>
                <w:tcPr>
                  <w:tcW w:w="652"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w:t>
                  </w:r>
                </w:p>
              </w:tc>
              <w:tc>
                <w:tcPr>
                  <w:tcW w:w="895"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000000"/>
                      <w:kern w:val="0"/>
                      <w:sz w:val="21"/>
                      <w:szCs w:val="21"/>
                      <w14:textFill>
                        <w14:solidFill>
                          <w14:srgbClr w14:val="000000"/>
                        </w14:solidFill>
                      </w14:textFill>
                      <w:lang w:val="en-US" w:eastAsia="zh-CN" w:bidi="ar-SA"/>
                      <w:highlight w:val="none"/>
                    </w:rPr>
                  </w:pPr>
                  <w:r>
                    <w:rPr>
                      <w:rFonts w:cs="Times New Roman" w:hint="eastAsia"/>
                      <w:snapToGrid w:val="0"/>
                      <w:color w:val="000000"/>
                      <w:kern w:val="0"/>
                      <w:sz w:val="21"/>
                      <w:szCs w:val="21"/>
                      <w14:textFill>
                        <w14:solidFill>
                          <w14:srgbClr w14:val="000000"/>
                        </w14:solidFill>
                      </w14:textFill>
                      <w:lang w:val="en-US" w:eastAsia="zh-CN" w:bidi="ar-SA"/>
                      <w:highlight w:val="none"/>
                    </w:rPr>
                    <w:t>0.216</w:t>
                  </w:r>
                </w:p>
              </w:tc>
              <w:tc>
                <w:tcPr>
                  <w:tcW w:w="933"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+0.216</w:t>
                  </w:r>
                </w:p>
              </w:tc>
            </w:tr>
          </w:tbl>
          <w:p>
            <w:pPr>
              <w:contextualSpacing/>
              <w:rPr>
                <w:rFonts w:eastAsia="宋体" w:hint="eastAsia"/>
                <w:color w:val="auto"/>
                <w:lang w:val="en-US" w:eastAsia="zh-CN"/>
              </w:rPr>
            </w:pPr>
            <w:r>
              <w:rPr>
                <w:rFonts w:hint="eastAsia"/>
                <w:color w:val="auto"/>
                <w:lang w:val="en-US" w:eastAsia="zh-CN"/>
              </w:rPr>
              <w:t>三、</w:t>
            </w:r>
            <w:r>
              <w:rPr>
                <w:color w:val="auto"/>
              </w:rPr>
              <w:t>总量指标建议值</w:t>
            </w:r>
          </w:p>
          <w:p>
            <w:pPr>
              <w:rPr>
                <w:color w:val="auto"/>
              </w:rPr>
            </w:pPr>
            <w:r>
              <w:rPr>
                <w:color w:val="auto"/>
              </w:rPr>
              <w:t>综合考虑预测排放量及排放标准核算排放量，</w:t>
            </w:r>
            <w:r>
              <w:rPr>
                <w:rFonts w:hint="eastAsia"/>
                <w:color w:val="auto"/>
                <w:lang w:val="en-US" w:eastAsia="zh-CN"/>
              </w:rPr>
              <w:t>本项目污染物</w:t>
            </w:r>
            <w:r>
              <w:rPr>
                <w:color w:val="auto"/>
                <w:lang w:val="en-US" w:eastAsia="zh-CN"/>
              </w:rPr>
              <w:t>总量建议控制指标为：</w:t>
            </w:r>
            <w:r>
              <w:rPr>
                <w:color w:val="auto"/>
                <w:lang w:val="en-US" w:eastAsia="zh-CN"/>
                <w:highlight w:val="none"/>
              </w:rPr>
              <w:t>COD：0t/a、NH</w:t>
            </w:r>
            <w:r>
              <w:rPr>
                <w:color w:val="auto"/>
                <w:vertAlign w:val="subscript"/>
                <w:lang w:val="en-US" w:eastAsia="zh-CN"/>
                <w:highlight w:val="none"/>
              </w:rPr>
              <w:t>3</w:t>
            </w:r>
            <w:r>
              <w:rPr>
                <w:color w:val="auto"/>
                <w:lang w:val="en-US" w:eastAsia="zh-CN"/>
                <w:highlight w:val="none"/>
              </w:rPr>
              <w:t>-N：0t/a；SO</w:t>
            </w:r>
            <w:r>
              <w:rPr>
                <w:color w:val="auto"/>
                <w:vertAlign w:val="subscript"/>
                <w:lang w:val="en-US" w:eastAsia="zh-CN"/>
                <w:highlight w:val="none"/>
              </w:rPr>
              <w:t>2</w:t>
            </w:r>
            <w:r>
              <w:rPr>
                <w:color w:val="auto"/>
                <w:lang w:val="en-US" w:eastAsia="zh-CN"/>
                <w:highlight w:val="none"/>
              </w:rPr>
              <w:t>：</w:t>
            </w:r>
            <w:r>
              <w:rPr>
                <w:rFonts w:hint="eastAsia"/>
                <w:color w:val="auto"/>
                <w:lang w:val="en-US" w:eastAsia="zh-CN"/>
                <w:highlight w:val="none"/>
              </w:rPr>
              <w:t>0</w:t>
            </w:r>
            <w:r>
              <w:rPr>
                <w:color w:val="auto"/>
                <w:lang w:val="en-US" w:eastAsia="zh-CN"/>
                <w:highlight w:val="none"/>
              </w:rPr>
              <w:t>t/a、NO</w:t>
            </w:r>
            <w:r>
              <w:rPr>
                <w:rFonts w:hint="eastAsia"/>
                <w:color w:val="auto"/>
                <w:lang w:val="en-US" w:eastAsia="zh-CN"/>
                <w:highlight w:val="none"/>
              </w:rPr>
              <w:t>x</w:t>
            </w:r>
            <w:r>
              <w:rPr>
                <w:color w:val="auto"/>
                <w:lang w:val="en-US" w:eastAsia="zh-CN"/>
                <w:highlight w:val="none"/>
              </w:rPr>
              <w:t>：</w:t>
            </w:r>
            <w:r>
              <w:rPr>
                <w:rFonts w:hint="eastAsia"/>
                <w:color w:val="auto"/>
                <w:lang w:val="en-US" w:eastAsia="zh-CN"/>
                <w:highlight w:val="none"/>
              </w:rPr>
              <w:t>0.240t</w:t>
            </w:r>
            <w:r>
              <w:rPr>
                <w:color w:val="auto"/>
                <w:lang w:val="en-US" w:eastAsia="zh-CN"/>
                <w:highlight w:val="none"/>
              </w:rPr>
              <w:t>/a、</w:t>
            </w:r>
            <w:r>
              <w:rPr>
                <w:rFonts w:hint="eastAsia"/>
                <w:color w:val="auto"/>
                <w:lang w:val="en-US" w:eastAsia="zh-CN"/>
                <w:highlight w:val="none"/>
              </w:rPr>
              <w:t>颗粒物：28.346t/a、非甲烷总烃:0.216t/a。本项目完成后COD、氨氮、SO</w:t>
            </w:r>
            <w:r>
              <w:rPr>
                <w:rFonts w:hint="eastAsia"/>
                <w:color w:val="auto"/>
                <w:vertAlign w:val="subscript"/>
                <w:lang w:val="en-US" w:eastAsia="zh-CN"/>
                <w:highlight w:val="none"/>
              </w:rPr>
              <w:t>2</w:t>
            </w:r>
            <w:r>
              <w:rPr>
                <w:rFonts w:hint="eastAsia"/>
                <w:color w:val="auto"/>
                <w:lang w:val="en-US" w:eastAsia="zh-CN"/>
                <w:highlight w:val="none"/>
              </w:rPr>
              <w:t>排放量不变，总量控制指标不变。</w:t>
            </w:r>
            <w:r>
              <w:rPr>
                <w:rFonts w:hint="eastAsia"/>
                <w:color w:val="auto"/>
                <w:highlight w:val="none"/>
              </w:rPr>
              <w:t>本项目</w:t>
            </w:r>
            <w:r>
              <w:rPr>
                <w:rFonts w:hint="eastAsia"/>
                <w:color w:val="auto"/>
                <w:lang w:val="en-US" w:eastAsia="zh-CN"/>
                <w:highlight w:val="none"/>
              </w:rPr>
              <w:t>完成后全厂</w:t>
            </w:r>
            <w:r>
              <w:rPr>
                <w:color w:val="auto"/>
                <w:highlight w:val="none"/>
              </w:rPr>
              <w:t>污染物排放总量控制指标为：COD：</w:t>
            </w:r>
            <w:r>
              <w:rPr>
                <w:rFonts w:hint="eastAsia"/>
                <w:color w:val="auto"/>
                <w:lang w:val="en-US" w:eastAsia="zh-CN"/>
                <w:highlight w:val="none"/>
              </w:rPr>
              <w:t>0.251</w:t>
            </w:r>
            <w:r>
              <w:rPr>
                <w:color w:val="auto"/>
                <w:highlight w:val="none"/>
              </w:rPr>
              <w:t>t/a、NH</w:t>
            </w:r>
            <w:r>
              <w:rPr>
                <w:color w:val="auto"/>
                <w:vertAlign w:val="subscript"/>
                <w:highlight w:val="none"/>
              </w:rPr>
              <w:t>3</w:t>
            </w:r>
            <w:r>
              <w:rPr>
                <w:color w:val="auto"/>
                <w:highlight w:val="none"/>
              </w:rPr>
              <w:t>-N：</w:t>
            </w:r>
            <w:r>
              <w:rPr>
                <w:rFonts w:hint="eastAsia"/>
                <w:color w:val="auto"/>
                <w:lang w:val="en-US" w:eastAsia="zh-CN"/>
                <w:highlight w:val="none"/>
              </w:rPr>
              <w:t>0.026</w:t>
            </w:r>
            <w:r>
              <w:rPr>
                <w:color w:val="auto"/>
                <w:highlight w:val="none"/>
              </w:rPr>
              <w:t>t/a、SO</w:t>
            </w:r>
            <w:r>
              <w:rPr>
                <w:color w:val="auto"/>
                <w:vertAlign w:val="subscript"/>
                <w:highlight w:val="none"/>
              </w:rPr>
              <w:t>2</w:t>
            </w:r>
            <w:r>
              <w:rPr>
                <w:color w:val="auto"/>
                <w:highlight w:val="none"/>
              </w:rPr>
              <w:t>：</w:t>
            </w:r>
            <w:r>
              <w:rPr>
                <w:rFonts w:hint="eastAsia"/>
                <w:color w:val="auto"/>
                <w:lang w:val="en-US" w:eastAsia="zh-CN"/>
                <w:highlight w:val="none"/>
              </w:rPr>
              <w:t>9.600</w:t>
            </w:r>
            <w:r>
              <w:rPr>
                <w:color w:val="auto"/>
                <w:highlight w:val="none"/>
              </w:rPr>
              <w:t>t/a、NOx：</w:t>
            </w:r>
            <w:r>
              <w:rPr>
                <w:rFonts w:hint="eastAsia"/>
                <w:color w:val="auto"/>
                <w:lang w:val="en-US" w:eastAsia="zh-CN"/>
                <w:highlight w:val="none"/>
              </w:rPr>
              <w:t>14.640</w:t>
            </w:r>
            <w:r>
              <w:rPr>
                <w:color w:val="auto"/>
                <w:highlight w:val="none"/>
              </w:rPr>
              <w:t>t/a、</w:t>
            </w:r>
            <w:r>
              <w:rPr>
                <w:rFonts w:hint="eastAsia"/>
                <w:color w:val="auto"/>
                <w:lang w:val="en-US" w:eastAsia="zh-CN"/>
                <w:highlight w:val="none"/>
              </w:rPr>
              <w:t>颗粒物：28.346t/a、非甲烷总烃:0.216t/a。</w:t>
            </w:r>
          </w:p>
        </w:tc>
      </w:tr>
    </w:tbl>
    <w:p>
      <w:pPr>
        <w:ind w:firstLineChars="0" w:firstLine="0"/>
        <w:jc w:val="center"/>
        <w:outlineLvl w:val="0"/>
        <w:rPr>
          <w:rFonts w:eastAsia="黑体"/>
          <w:snapToGrid w:val="0"/>
          <w:color w:val="auto"/>
          <w:sz w:val="30"/>
          <w:szCs w:val="30"/>
        </w:rPr>
      </w:pPr>
      <w:r>
        <w:rPr>
          <w:rFonts w:eastAsia="黑体"/>
          <w:snapToGrid w:val="0"/>
          <w:color w:val="auto"/>
          <w:sz w:val="36"/>
          <w:szCs w:val="36"/>
        </w:rPr>
        <w:br w:type="page"/>
      </w:r>
      <w:r>
        <w:rPr>
          <w:rFonts w:ascii="宋体" w:cs="宋体" w:hAnsi="宋体" w:hint="eastAsia"/>
          <w:b/>
          <w:bCs/>
          <w:snapToGrid w:val="0"/>
          <w:color w:val="auto"/>
          <w:sz w:val="30"/>
          <w:szCs w:val="30"/>
        </w:rPr>
        <w:t>四、主要环境影响和保护措施</w:t>
      </w:r>
    </w:p>
    <w:tbl>
      <w:tblPr>
        <w:jc w:val="center"/>
        <w:tblW w:w="898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80"/>
        <w:gridCol w:w="8001"/>
      </w:tblGrid>
      <w:tr>
        <w:trPr>
          <w:trHeight w:val="2580"/>
        </w:trPr>
        <w:tc>
          <w:tcPr>
            <w:tcW w:w="621" w:type="dxa"/>
            <w:tcBorders>
              <w:tl2br w:val="nil"/>
              <w:tr2bl w:val="nil"/>
            </w:tcBorders>
            <w:tcMar>
              <w:left w:w="28" w:type="dxa"/>
              <w:right w:w="28" w:type="dxa"/>
            </w:tcMar>
            <w:vAlign w:val="center"/>
          </w:tcPr>
          <w:p>
            <w:pPr>
              <w:keepNext w:val="0"/>
              <w:keepLines w:val="0"/>
              <w:widowControl/>
              <w:suppressLineNumbers w:val="0"/>
              <w:jc w:val="left"/>
              <w:rPr>
                <w:color w:val="auto"/>
              </w:rPr>
            </w:pPr>
            <w:r>
              <w:rPr>
                <w:rFonts w:ascii="宋体" w:eastAsia="宋体" w:cs="宋体" w:hAnsi="宋体"/>
                <w:color w:val="auto"/>
                <w:kern w:val="0"/>
                <w:sz w:val="24"/>
                <w:szCs w:val="24"/>
                <w:lang w:val="en-US" w:eastAsia="zh-CN"/>
              </w:rPr>
              <w:drawing>
                <wp:inline distT="0" distB="0" distL="114300" distR="114300">
                  <wp:extent cx="447675" cy="447675"/>
                  <wp:effectExtent l="0" t="0" r="0" b="0"/>
                  <wp:docPr id="1049" name="图片 10" descr="IMG_256"/>
                  <wp:cNvGraphicFramePr>
                    <a:graphicFrameLocks noChangeAspect="1"/>
                  </wp:cNvGraphicFramePr>
                  <a:graphic>
                    <a:graphicData uri="http://schemas.microsoft.com/office/word/2010/wordprocessingShape">
                      <wps:wsp>
                        <wps:cNvSpPr>
                          <a:spLocks noChangeAspect="1" noChangeArrowheads="1"/>
                        </wps:cNvSpPr>
                        <wps:spPr bwMode="auto">
                          <a:xfrm>
                            <a:off x="0" y="0"/>
                            <a:ext cx="447675" cy="447675"/>
                          </a:xfrm>
                          <a:prstGeom prst="rect">
                            <a:avLst/>
                          </a:prstGeom>
                          <a:noFill/>
                          <a:ln>
                            <a:noFill/>
                          </a:ln>
                        </wps:spPr>
                        <wps:bodyPr/>
                      </wps:wsp>
                    </a:graphicData>
                  </a:graphic>
                </wp:inline>
              </w:drawing>
            </w:r>
          </w:p>
          <w:p>
            <w:pPr>
              <w:adjustRightInd w:val="0"/>
              <w:snapToGrid w:val="0"/>
              <w:spacing w:line="240" w:lineRule="auto"/>
              <w:ind w:firstLineChars="0" w:firstLine="0"/>
              <w:jc w:val="center"/>
              <w:rPr>
                <w:bCs/>
                <w:color w:val="auto"/>
                <w:sz w:val="21"/>
                <w:szCs w:val="21"/>
              </w:rPr>
            </w:pPr>
            <w:r>
              <w:rPr>
                <w:color w:val="auto"/>
              </w:rPr>
              <w:t>施工期环境保护措施</w:t>
            </w:r>
          </w:p>
        </w:tc>
        <w:tc>
          <w:tcPr>
            <w:tcW w:w="83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宋体" w:hint="eastAsia"/>
                <w:color w:val="auto"/>
                <w:szCs w:val="32"/>
                <w:lang w:eastAsia="zh-CN"/>
              </w:rPr>
            </w:pPr>
            <w:r>
              <w:rPr>
                <w:color w:val="auto"/>
              </w:rPr>
              <w:t>本项目</w:t>
            </w:r>
            <w:bookmarkStart w:id="4" w:name="_Hlk176794050"/>
            <w:r>
              <w:rPr>
                <w:rFonts w:hint="eastAsia"/>
                <w:color w:val="auto"/>
                <w:lang w:val="en-US" w:eastAsia="zh-CN"/>
              </w:rPr>
              <w:t>利用</w:t>
            </w:r>
            <w:r>
              <w:rPr>
                <w:rFonts w:hint="eastAsia"/>
                <w:color w:val="auto"/>
              </w:rPr>
              <w:t>现有车间进行建设，施工期主要进行生产设备</w:t>
            </w:r>
            <w:r>
              <w:rPr>
                <w:rFonts w:hint="eastAsia"/>
                <w:color w:val="auto"/>
                <w:lang w:val="en-US" w:eastAsia="zh-CN"/>
              </w:rPr>
              <w:t>和环保设施</w:t>
            </w:r>
            <w:r>
              <w:rPr>
                <w:rFonts w:hint="eastAsia"/>
                <w:color w:val="auto"/>
              </w:rPr>
              <w:t>的安装调试</w:t>
            </w:r>
            <w:bookmarkEnd w:id="4"/>
            <w:r>
              <w:rPr>
                <w:rFonts w:hint="eastAsia"/>
                <w:color w:val="auto"/>
                <w:lang w:eastAsia="zh-CN"/>
              </w:rPr>
              <w:t>，</w:t>
            </w:r>
            <w:r>
              <w:rPr>
                <w:rFonts w:hint="eastAsia"/>
                <w:color w:val="auto"/>
                <w:lang w:val="en-US" w:eastAsia="zh-CN"/>
              </w:rPr>
              <w:t>生产</w:t>
            </w:r>
            <w:r>
              <w:rPr>
                <w:rFonts w:hint="eastAsia"/>
                <w:color w:val="auto"/>
              </w:rPr>
              <w:t>车间</w:t>
            </w:r>
            <w:r>
              <w:rPr>
                <w:rFonts w:hint="eastAsia"/>
                <w:color w:val="auto"/>
                <w:lang w:val="en-US" w:eastAsia="zh-CN"/>
              </w:rPr>
              <w:t>排气筒的建设</w:t>
            </w:r>
            <w:r>
              <w:rPr>
                <w:rFonts w:hint="eastAsia"/>
                <w:color w:val="auto"/>
              </w:rPr>
              <w:t>改造</w:t>
            </w:r>
            <w:r>
              <w:rPr>
                <w:rFonts w:hint="eastAsia"/>
                <w:color w:val="auto"/>
                <w:lang w:val="en-US" w:eastAsia="zh-CN"/>
              </w:rPr>
              <w:t>和危废间的建设</w:t>
            </w:r>
            <w:r>
              <w:rPr>
                <w:rFonts w:hint="eastAsia"/>
                <w:color w:val="auto"/>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1、大气环境影响分析</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rPr>
              <w:t>本项目</w:t>
            </w:r>
            <w:r>
              <w:rPr>
                <w:color w:val="auto"/>
              </w:rPr>
              <w:t>施工期车间装修、设备安装、运输以及堆存</w:t>
            </w:r>
            <w:r>
              <w:rPr>
                <w:rFonts w:hint="eastAsia"/>
                <w:color w:val="auto"/>
              </w:rPr>
              <w:t>会</w:t>
            </w:r>
            <w:r>
              <w:rPr>
                <w:color w:val="auto"/>
              </w:rPr>
              <w:t>产生扬尘，建筑材料、设备的运输及建筑垃圾清运</w:t>
            </w:r>
            <w:r>
              <w:rPr>
                <w:rFonts w:hint="eastAsia"/>
                <w:color w:val="auto"/>
              </w:rPr>
              <w:t>会</w:t>
            </w:r>
            <w:r>
              <w:rPr>
                <w:color w:val="auto"/>
              </w:rPr>
              <w:t>引起道路扬尘，主要污染物为颗粒物，对周边区域大气环境有一定影响。</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为减少扬尘（颗粒物）的产生，采取以下控制措施：</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①</w:t>
            </w:r>
            <w:r>
              <w:rPr>
                <w:rFonts w:hint="eastAsia"/>
                <w:color w:val="auto"/>
              </w:rPr>
              <w:t>设备的运输及建筑垃圾清运过程中，运输车辆减速慢行，运输垃圾采用蓬布遮盖，以避免沿途洒落，对运输道路及时进行清扫，并进行泼洒抑尘，减少扬尘，装修期间加强对施工场地的管理，适当向作业面、地面洒水，每天不少于</w:t>
            </w:r>
            <w:r>
              <w:rPr>
                <w:color w:val="auto"/>
              </w:rPr>
              <w:t>2</w:t>
            </w:r>
            <w:r>
              <w:rPr>
                <w:rFonts w:hint="eastAsia"/>
                <w:color w:val="auto"/>
              </w:rPr>
              <w:t>次；</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②施</w:t>
            </w:r>
            <w:r>
              <w:rPr>
                <w:rFonts w:hint="eastAsia"/>
                <w:color w:val="auto"/>
              </w:rPr>
              <w:t>工现场</w:t>
            </w:r>
            <w:r>
              <w:rPr>
                <w:color w:val="auto"/>
              </w:rPr>
              <w:t>禁止搅拌混凝土、砂浆；</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③在发布重污染天气预警期间内，厂区内不得开展施工作业</w:t>
            </w:r>
            <w:r>
              <w:rPr>
                <w:rFonts w:hint="eastAsia"/>
                <w:color w:val="auto"/>
              </w:rPr>
              <w:t>，</w:t>
            </w:r>
            <w:r>
              <w:rPr>
                <w:color w:val="auto"/>
              </w:rPr>
              <w:t>预警解除后，方可开工；</w:t>
            </w:r>
          </w:p>
          <w:p>
            <w:pPr>
              <w:rPr>
                <w:color w:val="auto"/>
              </w:rPr>
            </w:pPr>
            <w:r>
              <w:rPr>
                <w:color w:val="auto"/>
              </w:rPr>
              <w:t>④</w:t>
            </w:r>
            <w:r>
              <w:rPr>
                <w:rFonts w:hint="eastAsia"/>
                <w:color w:val="auto"/>
              </w:rPr>
              <w:t>建设单位必须委托具有垃圾运输资格的运输单位进行渣土及垃圾运输。采取密闭运输，车身应保持整洁，防止建筑材料、垃圾和工程渣土飞扬、洒落、流溢，严禁抛扔或随意倾倒，保证运输途中不污染城市道路和环境，对不符合要求的运输车辆和驾驶人员，严禁进场进行装运作业；</w:t>
            </w:r>
          </w:p>
          <w:p>
            <w:pPr>
              <w:rPr>
                <w:color w:val="auto"/>
              </w:rPr>
            </w:pPr>
            <w:r>
              <w:rPr>
                <w:color w:val="auto"/>
              </w:rPr>
              <w:t>采取以上措施施工期厂界扬尘可达到《施工场地扬尘排放标准》（DB13/2934-2019）表1扬尘排放浓度限值要求，即监测点浓度限值PM</w:t>
            </w:r>
            <w:r>
              <w:rPr>
                <w:color w:val="auto"/>
                <w:vertAlign w:val="subscript"/>
              </w:rPr>
              <w:t>10</w:t>
            </w:r>
            <w:r>
              <w:rPr>
                <w:color w:val="auto"/>
              </w:rPr>
              <w:t>≤80μg/</w:t>
            </w:r>
            <w:r>
              <w:rPr>
                <w:rFonts w:hint="eastAsia"/>
                <w:color w:val="auto"/>
              </w:rPr>
              <w:t>m³</w:t>
            </w:r>
            <w:r>
              <w:rPr>
                <w:color w:val="auto"/>
              </w:rPr>
              <w:t>，为达标排放，对区域大气环境影响较小。</w:t>
            </w:r>
          </w:p>
          <w:p>
            <w:pPr>
              <w:rPr>
                <w:b/>
                <w:bCs/>
                <w:color w:val="auto"/>
              </w:rPr>
            </w:pPr>
            <w:r>
              <w:rPr>
                <w:color w:val="auto"/>
              </w:rPr>
              <w:t>2、水环境影响分析</w:t>
            </w:r>
          </w:p>
          <w:p>
            <w:pPr>
              <w:rPr>
                <w:color w:val="auto"/>
              </w:rPr>
            </w:pPr>
            <w:r>
              <w:rPr>
                <w:color w:val="auto"/>
              </w:rPr>
              <w:t>项目施工过程中产生的污水主要</w:t>
            </w:r>
            <w:r>
              <w:rPr>
                <w:rFonts w:hint="eastAsia"/>
                <w:color w:val="auto"/>
              </w:rPr>
              <w:t>来自</w:t>
            </w:r>
            <w:r>
              <w:rPr>
                <w:color w:val="auto"/>
              </w:rPr>
              <w:t>施工人员的</w:t>
            </w:r>
            <w:r>
              <w:rPr>
                <w:rFonts w:hint="eastAsia"/>
                <w:color w:val="auto"/>
              </w:rPr>
              <w:t>生活污水，</w:t>
            </w:r>
            <w:r>
              <w:rPr>
                <w:color w:val="auto"/>
              </w:rPr>
              <w:t>施工期工人主要来自当地</w:t>
            </w:r>
            <w:bookmarkStart w:id="5" w:name="_Hlk176794090"/>
            <w:r>
              <w:rPr>
                <w:color w:val="auto"/>
              </w:rPr>
              <w:t>，</w:t>
            </w:r>
            <w:bookmarkEnd w:id="5"/>
            <w:r>
              <w:rPr>
                <w:rFonts w:hint="eastAsia"/>
                <w:color w:val="auto"/>
              </w:rPr>
              <w:t>生活污水</w:t>
            </w:r>
            <w:r>
              <w:rPr>
                <w:color w:val="auto"/>
              </w:rPr>
              <w:t>产生量较少，这部分</w:t>
            </w:r>
            <w:r>
              <w:rPr>
                <w:rFonts w:hint="eastAsia"/>
                <w:color w:val="auto"/>
              </w:rPr>
              <w:t>生活污水</w:t>
            </w:r>
            <w:r>
              <w:rPr>
                <w:rFonts w:hint="eastAsia"/>
                <w:color w:val="auto"/>
                <w:lang w:val="en-US" w:eastAsia="zh-CN"/>
              </w:rPr>
              <w:t>用于泼洒抑尘</w:t>
            </w:r>
            <w:r>
              <w:rPr>
                <w:color w:val="auto"/>
              </w:rPr>
              <w:t>，不外排。因此，项目施工期间对区域水环境影响较小。</w:t>
            </w:r>
          </w:p>
          <w:p>
            <w:pPr>
              <w:rPr>
                <w:color w:val="auto"/>
              </w:rPr>
            </w:pPr>
            <w:r>
              <w:rPr>
                <w:color w:val="auto"/>
              </w:rPr>
              <w:t>3、声环境影响分析</w:t>
            </w:r>
          </w:p>
          <w:p>
            <w:pPr>
              <w:contextualSpacing/>
              <w:rPr>
                <w:color w:val="auto"/>
              </w:rPr>
            </w:pPr>
            <w:r>
              <w:rPr>
                <w:color w:val="auto"/>
              </w:rPr>
              <w:t>施工期的噪声主要来自现场各类机械设备及运输车辆的运行，其特点是间歇性或阵发性，并具备流动性、声压级较高等特征。为减轻施工噪声对附近村庄的影响，本项目将采取如下措施：</w:t>
            </w:r>
          </w:p>
          <w:p>
            <w:pPr>
              <w:contextualSpacing/>
              <w:rPr>
                <w:color w:val="auto"/>
              </w:rPr>
            </w:pPr>
            <w:r>
              <w:rPr>
                <w:color w:val="auto"/>
              </w:rPr>
              <w:t>①人为控制。增强施工人员的环保意识，施工现场禁止大声喧哗吵闹、高声歌唱等；作业中搬运物件必须轻拿轻放，钢铁件堆放不发出大的响声，严禁抛掷物件造成噪声。</w:t>
            </w:r>
          </w:p>
          <w:p>
            <w:pPr>
              <w:contextualSpacing/>
              <w:rPr>
                <w:color w:val="auto"/>
              </w:rPr>
            </w:pPr>
            <w:r>
              <w:rPr>
                <w:color w:val="auto"/>
              </w:rPr>
              <w:t>②作业时间上控制。禁止在夜间22:00～次日6:00及午间12:00～14:00施工；特殊情况确需连续作业或夜间作业的，需采取有效降噪措施，事先做好周边群众工作，并报当地环保局备案后施工。</w:t>
            </w:r>
          </w:p>
          <w:p>
            <w:pPr>
              <w:contextualSpacing/>
              <w:rPr>
                <w:color w:val="auto"/>
              </w:rPr>
            </w:pPr>
            <w:r>
              <w:rPr>
                <w:color w:val="auto"/>
              </w:rPr>
              <w:t>通过采取以上措施，可将施工期噪声降至最低，施工噪声对附近居民产生的影响会大大减轻，满足《建筑施工场界环境噪声排放标准》（GB 12523-20</w:t>
            </w:r>
            <w:r>
              <w:rPr>
                <w:rFonts w:hint="eastAsia"/>
                <w:color w:val="auto"/>
                <w:lang w:val="en-US" w:eastAsia="zh-CN"/>
              </w:rPr>
              <w:t>25</w:t>
            </w:r>
            <w:r>
              <w:rPr>
                <w:color w:val="auto"/>
              </w:rPr>
              <w:t>）表1标准限值要求。</w:t>
            </w:r>
          </w:p>
          <w:p>
            <w:pPr>
              <w:rPr>
                <w:color w:val="auto"/>
              </w:rPr>
            </w:pPr>
            <w:r>
              <w:rPr>
                <w:color w:val="auto"/>
              </w:rPr>
              <w:t>4、固体废弃物环境影响分析</w:t>
            </w:r>
          </w:p>
          <w:p>
            <w:pPr>
              <w:rPr>
                <w:color w:val="auto"/>
              </w:rPr>
            </w:pPr>
            <w:r>
              <w:rPr>
                <w:color w:val="auto"/>
              </w:rPr>
              <w:t>施工期产生的固体废物主要为建筑垃圾和生活垃圾，均为一般固废。</w:t>
            </w:r>
          </w:p>
          <w:p>
            <w:pPr>
              <w:rPr>
                <w:color w:val="auto"/>
              </w:rPr>
            </w:pPr>
            <w:r>
              <w:rPr>
                <w:color w:val="auto"/>
              </w:rPr>
              <w:t>对于在施工过程中产生的建筑垃圾，可回收废料如钢筋头、废木板等将尽量由施工单位回收利用，其他不可回收的建筑垃圾运至垃圾填埋场作填埋处理。</w:t>
            </w:r>
          </w:p>
          <w:p>
            <w:pPr>
              <w:rPr>
                <w:color w:val="auto"/>
              </w:rPr>
            </w:pPr>
            <w:r>
              <w:rPr>
                <w:color w:val="auto"/>
              </w:rPr>
              <w:t>另外，施工人员还将产生一定量的生活垃圾，生活垃圾有专人清扫收集，用专用封闭车辆送至</w:t>
            </w:r>
            <w:r>
              <w:rPr>
                <w:rFonts w:hint="eastAsia"/>
                <w:color w:val="auto"/>
              </w:rPr>
              <w:t>环卫部门处置</w:t>
            </w:r>
            <w:r>
              <w:rPr>
                <w:color w:val="auto"/>
              </w:rPr>
              <w:t>。</w:t>
            </w:r>
          </w:p>
          <w:p>
            <w:pPr>
              <w:rPr>
                <w:color w:val="auto"/>
              </w:rPr>
            </w:pPr>
            <w:r>
              <w:rPr>
                <w:color w:val="auto"/>
              </w:rPr>
              <w:t>经采取上述防治措施后，施工期对周围环境的影响较小。施工期对周围环境的影响是局部的、暂时的、随着工程的建成完工而消失。固体废物的处理满足《一般工业固体废物贮存和填埋污染控制标准》（GB18599-2020）中相关要求规定。</w:t>
            </w:r>
          </w:p>
        </w:tc>
      </w:tr>
      <w:tr>
        <w:trPr>
          <w:trHeight w:val="525"/>
        </w:trPr>
        <w:tc>
          <w:tcPr>
            <w:tcW w:w="621" w:type="dxa"/>
            <w:tcBorders>
              <w:tl2br w:val="nil"/>
              <w:tr2bl w:val="nil"/>
            </w:tcBorders>
            <w:tcMar>
              <w:left w:w="28" w:type="dxa"/>
              <w:right w:w="28" w:type="dxa"/>
            </w:tcMar>
            <w:vAlign w:val="center"/>
          </w:tcPr>
          <w:p>
            <w:pPr>
              <w:adjustRightInd w:val="0"/>
              <w:snapToGrid w:val="0"/>
              <w:spacing w:line="240" w:lineRule="auto"/>
              <w:ind w:firstLineChars="0" w:firstLine="0"/>
              <w:jc w:val="center"/>
              <w:rPr>
                <w:color w:val="auto"/>
              </w:rPr>
            </w:pPr>
            <w:r>
              <w:rPr>
                <w:color w:val="auto"/>
              </w:rPr>
              <w:t>运营期环境影响和保护措施</w:t>
            </w:r>
          </w:p>
        </w:tc>
        <w:tc>
          <w:tcPr>
            <w:tcW w:w="8360" w:type="dxa"/>
            <w:tcBorders>
              <w:tl2br w:val="nil"/>
              <w:tr2bl w:val="nil"/>
            </w:tcBorders>
            <w:vAlign w:val="center"/>
          </w:tcPr>
          <w:p>
            <w:pPr>
              <w:adjustRightInd w:val="0"/>
              <w:snapToGrid w:val="0"/>
              <w:rPr>
                <w:b/>
                <w:bCs/>
                <w:snapToGrid w:val="0"/>
                <w:color w:val="auto"/>
                <w:kern w:val="0"/>
              </w:rPr>
            </w:pPr>
            <w:r>
              <w:rPr>
                <w:rFonts w:hint="eastAsia"/>
                <w:b/>
                <w:bCs/>
                <w:snapToGrid w:val="0"/>
                <w:color w:val="auto"/>
                <w:kern w:val="0"/>
              </w:rPr>
              <w:t>一、废气</w:t>
            </w:r>
          </w:p>
          <w:p>
            <w:pPr>
              <w:adjustRightInd w:val="0"/>
              <w:snapToGrid w:val="0"/>
              <w:rPr>
                <w:snapToGrid w:val="0"/>
                <w:color w:val="auto"/>
                <w:kern w:val="0"/>
              </w:rPr>
            </w:pPr>
            <w:r>
              <w:rPr>
                <w:snapToGrid w:val="0"/>
                <w:color w:val="auto"/>
                <w:kern w:val="0"/>
              </w:rPr>
              <w:t>1、污染源源强分析</w:t>
            </w:r>
          </w:p>
          <w:p>
            <w:pPr>
              <w:adjustRightInd w:val="0"/>
              <w:snapToGrid w:val="0"/>
              <w:rPr>
                <w:snapToGrid w:val="0"/>
                <w:color w:val="auto"/>
                <w:kern w:val="0"/>
                <w:lang w:val="en-US" w:eastAsia="zh-CN"/>
              </w:rPr>
            </w:pPr>
            <w:r>
              <w:rPr>
                <w:snapToGrid w:val="0"/>
                <w:color w:val="auto"/>
                <w:kern w:val="0"/>
                <w:lang w:val="en-US" w:eastAsia="zh-CN"/>
              </w:rPr>
              <w:t>本项目</w:t>
            </w:r>
            <w:r>
              <w:rPr>
                <w:rFonts w:hint="eastAsia"/>
                <w:snapToGrid w:val="0"/>
                <w:color w:val="auto"/>
                <w:kern w:val="0"/>
                <w:lang w:val="en-US" w:eastAsia="zh-CN"/>
              </w:rPr>
              <w:t>完成后全厂运营期废气主要为中微量元素混合车间投料废气、破碎废气、搅拌废气；挤压造粒生产线车间投料废气、第一次破碎废气、第二次破碎废气、挤压造粒废气、第一次筛分废气、整形废气、喷脲废气、烘干废气、燃烧烟气、冷却废气、第二次筛分废气、裹油废气、铺粉废气、抛光废气、装袋废气；复混肥生产线车间投料废气、包装废气；化验室废气。</w:t>
            </w:r>
          </w:p>
          <w:p>
            <w:pPr>
              <w:keepNext w:val="0"/>
              <w:keepLines w:val="0"/>
              <w:pageBreakBefore w:val="0"/>
              <w:widowControl w:val="0"/>
              <w:kinsoku/>
              <w:wordWrap/>
              <w:overflowPunct/>
              <w:topLinePunct w:val="0"/>
              <w:autoSpaceDE/>
              <w:autoSpaceDN/>
              <w:bidi w:val="0"/>
              <w:spacing w:line="360" w:lineRule="auto"/>
              <w:ind w:left="0" w:firstLineChars="200" w:firstLine="480"/>
              <w:textAlignment w:val="auto"/>
              <w:rPr>
                <w:color w:val="auto"/>
              </w:rPr>
            </w:pPr>
            <w:r>
              <w:rPr>
                <w:rFonts w:hint="eastAsia"/>
                <w:color w:val="auto"/>
              </w:rPr>
              <w:t>（一）有组织</w:t>
            </w:r>
            <w:r>
              <w:rPr>
                <w:color w:val="auto"/>
              </w:rPr>
              <w:t>废气</w:t>
            </w:r>
          </w:p>
          <w:p>
            <w:pPr>
              <w:keepNext w:val="0"/>
              <w:keepLines w:val="0"/>
              <w:pageBreakBefore w:val="0"/>
              <w:widowControl w:val="0"/>
              <w:kinsoku/>
              <w:wordWrap/>
              <w:overflowPunct/>
              <w:topLinePunct w:val="0"/>
              <w:autoSpaceDE/>
              <w:autoSpaceDN/>
              <w:bidi w:val="0"/>
              <w:spacing w:line="360" w:lineRule="auto"/>
              <w:textAlignment w:val="auto"/>
              <w:rPr>
                <w:rFonts w:hint="eastAsia"/>
                <w:color w:val="auto"/>
                <w:lang w:val="en-US" w:eastAsia="zh-CN"/>
              </w:rPr>
            </w:pPr>
            <w:r>
              <w:rPr>
                <w:rFonts w:hint="eastAsia"/>
                <w:color w:val="auto"/>
                <w:lang w:val="en-US" w:eastAsia="zh-CN"/>
              </w:rPr>
              <w:t>一）中微量元素混合车间投料废气、破碎废气、搅拌废气（排气筒P1）</w:t>
            </w:r>
          </w:p>
          <w:p>
            <w:pPr>
              <w:keepNext w:val="0"/>
              <w:keepLines w:val="0"/>
              <w:pageBreakBefore w:val="0"/>
              <w:widowControl w:val="0"/>
              <w:kinsoku/>
              <w:wordWrap/>
              <w:overflowPunct/>
              <w:topLinePunct w:val="0"/>
              <w:autoSpaceDE/>
              <w:autoSpaceDN/>
              <w:bidi w:val="0"/>
              <w:spacing w:line="360" w:lineRule="auto"/>
              <w:textAlignment w:val="auto"/>
              <w:rPr>
                <w:color w:val="auto"/>
                <w:lang w:val="en-US" w:eastAsia="zh-CN"/>
              </w:rPr>
            </w:pPr>
            <w:r>
              <w:rPr>
                <w:rFonts w:hint="eastAsia"/>
                <w:color w:val="auto"/>
                <w:lang w:val="en-US" w:eastAsia="zh-CN"/>
              </w:rPr>
              <w:t>中微量元素混合车间投料废气、破碎废气、搅拌废气主要污染物为颗粒物。</w:t>
            </w:r>
          </w:p>
          <w:p>
            <w:pPr>
              <w:keepNext w:val="0"/>
              <w:keepLines w:val="0"/>
              <w:pageBreakBefore w:val="0"/>
              <w:widowControl w:val="0"/>
              <w:kinsoku/>
              <w:wordWrap/>
              <w:overflowPunct/>
              <w:topLinePunct w:val="0"/>
              <w:autoSpaceDE/>
              <w:autoSpaceDN/>
              <w:bidi w:val="0"/>
              <w:spacing w:line="360" w:lineRule="auto"/>
              <w:textAlignment w:val="auto"/>
              <w:rPr>
                <w:color w:val="auto"/>
                <w:lang w:val="en-US" w:eastAsia="zh-CN"/>
              </w:rPr>
            </w:pPr>
            <w:r>
              <w:rPr>
                <w:rFonts w:hint="eastAsia"/>
                <w:color w:val="auto"/>
                <w:lang w:val="en-US" w:eastAsia="zh-CN"/>
              </w:rPr>
              <w:t>颗粒物：</w:t>
            </w:r>
          </w:p>
          <w:p>
            <w:pPr>
              <w:keepNext w:val="0"/>
              <w:keepLines w:val="0"/>
              <w:pageBreakBefore w:val="0"/>
              <w:widowControl w:val="0"/>
              <w:kinsoku/>
              <w:wordWrap/>
              <w:overflowPunct/>
              <w:topLinePunct w:val="0"/>
              <w:autoSpaceDE/>
              <w:autoSpaceDN/>
              <w:bidi w:val="0"/>
              <w:spacing w:line="360" w:lineRule="auto"/>
              <w:ind w:left="0" w:firstLineChars="200" w:firstLine="480"/>
              <w:jc w:val="both"/>
              <w:textAlignment w:val="auto"/>
              <w:rPr>
                <w:rFonts w:hint="eastAsia"/>
                <w:color w:val="auto"/>
                <w:lang w:val="en-US" w:eastAsia="zh-CN"/>
                <w:highlight w:val="yellow"/>
              </w:rPr>
            </w:pPr>
            <w:r>
              <w:rPr>
                <w:rFonts w:hint="eastAsia"/>
                <w:color w:val="auto"/>
                <w:lang w:val="en-US" w:eastAsia="zh-CN"/>
              </w:rPr>
              <w:t>中微量元素混合车间投料工序、破碎工序、搅拌工序颗粒物产生量参考《排污许可证申请与核发技术规范磷肥、钾肥、复合肥料、有机肥料及微生物肥料工业》（HJ 864.2-2018）中附录C（C.2复混肥制造业废气产排污系数表）可知：≤30万吨/年，工业粉尘产污系数为5.60千克/吨-产品，中微量元素混合车间产品为5000t/a，颗粒物年产生量为28t/a。投料废气经集气罩+软帘收集，破碎废气、搅拌废气经管道收集（废气综合收集效率以95%计）通过袋式除尘器TA001（去除效率为99%）处理后由15m排气筒（</w:t>
            </w:r>
            <w:r>
              <w:rPr>
                <w:rFonts w:hint="eastAsia"/>
                <w:color w:val="auto"/>
                <w:lang w:val="en-US" w:eastAsia="zh-CN"/>
                <w:highlight w:val="none"/>
              </w:rPr>
              <w:t>P1）排放（现有排气筒风机风量为6000m</w:t>
            </w:r>
            <w:r>
              <w:rPr>
                <w:rFonts w:hint="eastAsia"/>
                <w:color w:val="auto"/>
                <w:vertAlign w:val="superscript"/>
                <w:lang w:val="en-US" w:eastAsia="zh-CN"/>
                <w:highlight w:val="none"/>
              </w:rPr>
              <w:t>3</w:t>
            </w:r>
            <w:r>
              <w:rPr>
                <w:rFonts w:hint="eastAsia"/>
                <w:color w:val="auto"/>
                <w:lang w:val="en-US" w:eastAsia="zh-CN"/>
                <w:highlight w:val="none"/>
              </w:rPr>
              <w:t>/h），运行时间4800h/a。</w:t>
            </w:r>
          </w:p>
          <w:p>
            <w:pPr>
              <w:keepNext w:val="0"/>
              <w:keepLines w:val="0"/>
              <w:pageBreakBefore w:val="0"/>
              <w:widowControl w:val="0"/>
              <w:kinsoku/>
              <w:wordWrap/>
              <w:overflowPunct/>
              <w:topLinePunct w:val="0"/>
              <w:autoSpaceDE/>
              <w:autoSpaceDN/>
              <w:bidi w:val="0"/>
              <w:spacing w:line="360" w:lineRule="auto"/>
              <w:ind w:left="0" w:firstLineChars="200" w:firstLine="480"/>
              <w:jc w:val="both"/>
              <w:textAlignment w:val="auto"/>
              <w:rPr>
                <w:rFonts w:hint="eastAsia"/>
                <w:color w:val="auto"/>
                <w:lang w:val="en-US" w:eastAsia="zh-CN"/>
                <w:highlight w:val="none"/>
              </w:rPr>
            </w:pPr>
            <w:r>
              <w:rPr>
                <w:rFonts w:hint="eastAsia"/>
                <w:color w:val="auto"/>
                <w:lang w:val="en-US" w:eastAsia="zh-CN"/>
                <w:highlight w:val="none"/>
              </w:rPr>
              <w:t>项目颗粒对辊破碎机2台，产尘点处共设2个集气罩+软帘，集气罩面积为0.5m</w:t>
            </w:r>
            <w:r>
              <w:rPr>
                <w:rFonts w:hint="eastAsia"/>
                <w:color w:val="auto"/>
                <w:vertAlign w:val="superscript"/>
                <w:lang w:val="en-US" w:eastAsia="zh-CN"/>
                <w:highlight w:val="none"/>
              </w:rPr>
              <w:t>2</w:t>
            </w:r>
            <w:r>
              <w:rPr>
                <w:rFonts w:hint="eastAsia"/>
                <w:color w:val="auto"/>
                <w:lang w:val="en-US" w:eastAsia="zh-CN"/>
                <w:highlight w:val="none"/>
              </w:rPr>
              <w:t>（共2个，面积合计1m</w:t>
            </w:r>
            <w:r>
              <w:rPr>
                <w:rFonts w:hint="eastAsia"/>
                <w:color w:val="auto"/>
                <w:vertAlign w:val="superscript"/>
                <w:lang w:val="en-US" w:eastAsia="zh-CN"/>
                <w:highlight w:val="none"/>
              </w:rPr>
              <w:t>2</w:t>
            </w:r>
            <w:r>
              <w:rPr>
                <w:rFonts w:hint="eastAsia"/>
                <w:color w:val="auto"/>
                <w:lang w:val="en-US" w:eastAsia="zh-CN"/>
                <w:highlight w:val="none"/>
              </w:rPr>
              <w:t>），集气罩紧挨产尘点，罩口风速可视为污染源处控制风速，根据《局部排风设施控制风速检测与评估技术规范》（AQ/T4274-2016），含尘废气侧吸式控制风速为1m/s，集气罩面积为1m</w:t>
            </w:r>
            <w:r>
              <w:rPr>
                <w:rFonts w:hint="eastAsia"/>
                <w:color w:val="auto"/>
                <w:vertAlign w:val="superscript"/>
                <w:lang w:val="en-US" w:eastAsia="zh-CN"/>
                <w:highlight w:val="none"/>
              </w:rPr>
              <w:t>2</w:t>
            </w:r>
            <w:r>
              <w:rPr>
                <w:rFonts w:hint="eastAsia"/>
                <w:color w:val="auto"/>
                <w:lang w:val="en-US" w:eastAsia="zh-CN"/>
                <w:highlight w:val="none"/>
              </w:rPr>
              <w:t>，根据《排风罩的分类及技术条件》（GB/T16758-2008），排风罩风量计算公式如下：</w:t>
            </w:r>
          </w:p>
          <w:p>
            <w:pPr>
              <w:keepNext w:val="0"/>
              <w:keepLines w:val="0"/>
              <w:pageBreakBefore w:val="0"/>
              <w:widowControl w:val="0"/>
              <w:kinsoku/>
              <w:wordWrap/>
              <w:overflowPunct/>
              <w:topLinePunct w:val="0"/>
              <w:autoSpaceDE/>
              <w:autoSpaceDN/>
              <w:bidi w:val="0"/>
              <w:spacing w:line="360" w:lineRule="auto"/>
              <w:ind w:left="0" w:firstLineChars="200" w:firstLine="480"/>
              <w:jc w:val="both"/>
              <w:textAlignment w:val="auto"/>
              <w:rPr>
                <w:rFonts w:ascii="Times New Roman" w:eastAsia="宋体" w:cs="Times New Roman" w:hAnsi="Times New Roman"/>
                <w:b w:val="0"/>
                <w:bCs/>
                <w:color w:val="auto"/>
                <w:sz w:val="24"/>
                <w:szCs w:val="24"/>
                <w:vertAlign w:val="baseline"/>
                <w:lang w:val="en-US" w:eastAsia="zh-CN"/>
                <w:highlight w:val="none"/>
              </w:rPr>
            </w:pPr>
            <w:r>
              <w:rPr>
                <w:rFonts w:ascii="Times New Roman" w:eastAsia="宋体" w:cs="Times New Roman" w:hAnsi="Times New Roman"/>
                <w:b w:val="0"/>
                <w:bCs/>
                <w:color w:val="auto"/>
                <w:sz w:val="24"/>
                <w:szCs w:val="24"/>
                <w:vertAlign w:val="baseline"/>
                <w:lang w:val="en-US" w:eastAsia="zh-CN"/>
                <w:highlight w:val="none"/>
              </w:rPr>
              <w:t>Q=F·v</w:t>
            </w:r>
          </w:p>
          <w:p>
            <w:pPr>
              <w:keepNext w:val="0"/>
              <w:keepLines w:val="0"/>
              <w:pageBreakBefore w:val="0"/>
              <w:widowControl w:val="0"/>
              <w:kinsoku/>
              <w:wordWrap/>
              <w:overflowPunct/>
              <w:topLinePunct w:val="0"/>
              <w:autoSpaceDE/>
              <w:autoSpaceDN/>
              <w:bidi w:val="0"/>
              <w:spacing w:line="360" w:lineRule="auto"/>
              <w:ind w:left="0" w:firstLineChars="200" w:firstLine="480"/>
              <w:jc w:val="both"/>
              <w:textAlignment w:val="auto"/>
              <w:rPr>
                <w:rFonts w:ascii="Times New Roman" w:eastAsia="宋体" w:cs="Times New Roman" w:hAnsi="Times New Roman"/>
                <w:b w:val="0"/>
                <w:bCs/>
                <w:color w:val="auto"/>
                <w:sz w:val="24"/>
                <w:szCs w:val="24"/>
                <w:vertAlign w:val="baseline"/>
                <w:lang w:val="en-US" w:eastAsia="zh-CN"/>
                <w:highlight w:val="none"/>
              </w:rPr>
            </w:pPr>
            <w:r>
              <w:rPr>
                <w:rFonts w:ascii="Times New Roman" w:eastAsia="宋体" w:cs="Times New Roman" w:hAnsi="Times New Roman"/>
                <w:b w:val="0"/>
                <w:bCs/>
                <w:color w:val="auto"/>
                <w:sz w:val="24"/>
                <w:szCs w:val="24"/>
                <w:vertAlign w:val="baseline"/>
                <w:lang w:val="en-US" w:eastAsia="zh-CN"/>
                <w:highlight w:val="none"/>
              </w:rPr>
              <w:t>式中：Q-排气罩的排放量，m</w:t>
            </w:r>
            <w:r>
              <w:rPr>
                <w:rFonts w:ascii="Times New Roman" w:eastAsia="宋体" w:cs="Times New Roman" w:hAnsi="Times New Roman"/>
                <w:b w:val="0"/>
                <w:bCs/>
                <w:color w:val="auto"/>
                <w:sz w:val="24"/>
                <w:szCs w:val="24"/>
                <w:vertAlign w:val="superscript"/>
                <w:lang w:val="en-US" w:eastAsia="zh-CN"/>
                <w:highlight w:val="none"/>
              </w:rPr>
              <w:t>3</w:t>
            </w:r>
            <w:r>
              <w:rPr>
                <w:rFonts w:ascii="Times New Roman" w:eastAsia="宋体" w:cs="Times New Roman" w:hAnsi="Times New Roman"/>
                <w:b w:val="0"/>
                <w:bCs/>
                <w:color w:val="auto"/>
                <w:sz w:val="24"/>
                <w:szCs w:val="24"/>
                <w:vertAlign w:val="baseline"/>
                <w:lang w:val="en-US" w:eastAsia="zh-CN"/>
                <w:highlight w:val="none"/>
              </w:rPr>
              <w:t>/s；</w:t>
            </w:r>
          </w:p>
          <w:p>
            <w:pPr>
              <w:keepNext w:val="0"/>
              <w:keepLines w:val="0"/>
              <w:pageBreakBefore w:val="0"/>
              <w:widowControl w:val="0"/>
              <w:kinsoku/>
              <w:wordWrap/>
              <w:overflowPunct/>
              <w:topLinePunct w:val="0"/>
              <w:autoSpaceDE/>
              <w:autoSpaceDN/>
              <w:bidi w:val="0"/>
              <w:spacing w:line="360" w:lineRule="auto"/>
              <w:ind w:left="0" w:firstLineChars="500" w:firstLine="1200"/>
              <w:jc w:val="both"/>
              <w:textAlignment w:val="auto"/>
              <w:rPr>
                <w:rFonts w:ascii="Times New Roman" w:eastAsia="宋体" w:cs="Times New Roman" w:hAnsi="Times New Roman"/>
                <w:b w:val="0"/>
                <w:bCs/>
                <w:color w:val="auto"/>
                <w:sz w:val="24"/>
                <w:szCs w:val="24"/>
                <w:vertAlign w:val="baseline"/>
                <w:lang w:val="en-US" w:eastAsia="zh-CN"/>
                <w:highlight w:val="none"/>
              </w:rPr>
            </w:pPr>
            <w:r>
              <w:rPr>
                <w:rFonts w:ascii="Times New Roman" w:eastAsia="宋体" w:cs="Times New Roman" w:hAnsi="Times New Roman"/>
                <w:b w:val="0"/>
                <w:bCs/>
                <w:color w:val="auto"/>
                <w:sz w:val="24"/>
                <w:szCs w:val="24"/>
                <w:vertAlign w:val="baseline"/>
                <w:lang w:val="en-US" w:eastAsia="zh-CN"/>
                <w:highlight w:val="none"/>
              </w:rPr>
              <w:t>F-排风罩罩口面积，m</w:t>
            </w:r>
            <w:r>
              <w:rPr>
                <w:rFonts w:ascii="Times New Roman" w:eastAsia="宋体" w:cs="Times New Roman" w:hAnsi="Times New Roman"/>
                <w:b w:val="0"/>
                <w:bCs/>
                <w:color w:val="auto"/>
                <w:sz w:val="24"/>
                <w:szCs w:val="24"/>
                <w:vertAlign w:val="superscript"/>
                <w:lang w:val="en-US" w:eastAsia="zh-CN"/>
                <w:highlight w:val="none"/>
              </w:rPr>
              <w:t>2</w:t>
            </w:r>
            <w:r>
              <w:rPr>
                <w:rFonts w:ascii="Times New Roman" w:eastAsia="宋体" w:cs="Times New Roman" w:hAnsi="Times New Roman"/>
                <w:b w:val="0"/>
                <w:bCs/>
                <w:color w:val="auto"/>
                <w:sz w:val="24"/>
                <w:szCs w:val="24"/>
                <w:vertAlign w:val="baseline"/>
                <w:lang w:val="en-US" w:eastAsia="zh-CN"/>
                <w:highlight w:val="none"/>
              </w:rPr>
              <w:t>；</w:t>
            </w:r>
          </w:p>
          <w:p>
            <w:pPr>
              <w:keepNext w:val="0"/>
              <w:keepLines w:val="0"/>
              <w:pageBreakBefore w:val="0"/>
              <w:widowControl w:val="0"/>
              <w:kinsoku/>
              <w:wordWrap/>
              <w:overflowPunct/>
              <w:topLinePunct w:val="0"/>
              <w:autoSpaceDE/>
              <w:autoSpaceDN/>
              <w:bidi w:val="0"/>
              <w:spacing w:line="360" w:lineRule="auto"/>
              <w:ind w:left="0" w:firstLineChars="500" w:firstLine="1200"/>
              <w:jc w:val="both"/>
              <w:textAlignment w:val="auto"/>
              <w:rPr>
                <w:rFonts w:ascii="Times New Roman" w:eastAsia="宋体" w:cs="Times New Roman" w:hAnsi="Times New Roman"/>
                <w:b w:val="0"/>
                <w:bCs/>
                <w:color w:val="auto"/>
                <w:sz w:val="24"/>
                <w:szCs w:val="24"/>
                <w:vertAlign w:val="baseline"/>
                <w:lang w:val="en-US" w:eastAsia="zh-CN"/>
                <w:highlight w:val="none"/>
              </w:rPr>
            </w:pPr>
            <w:r>
              <w:rPr>
                <w:rFonts w:ascii="Times New Roman" w:eastAsia="宋体" w:cs="Times New Roman" w:hAnsi="Times New Roman"/>
                <w:b w:val="0"/>
                <w:bCs/>
                <w:color w:val="auto"/>
                <w:sz w:val="24"/>
                <w:szCs w:val="24"/>
                <w:vertAlign w:val="baseline"/>
                <w:lang w:val="en-US" w:eastAsia="zh-CN"/>
                <w:highlight w:val="none"/>
              </w:rPr>
              <w:t>v-排风罩罩口平均风速，m/s。</w:t>
            </w:r>
          </w:p>
          <w:p>
            <w:pPr>
              <w:keepNext w:val="0"/>
              <w:keepLines w:val="0"/>
              <w:pageBreakBefore w:val="0"/>
              <w:widowControl w:val="0"/>
              <w:kinsoku/>
              <w:wordWrap/>
              <w:overflowPunct/>
              <w:topLinePunct w:val="0"/>
              <w:autoSpaceDE/>
              <w:autoSpaceDN/>
              <w:bidi w:val="0"/>
              <w:spacing w:line="360" w:lineRule="auto"/>
              <w:ind w:left="0" w:firstLineChars="200" w:firstLine="480"/>
              <w:jc w:val="both"/>
              <w:textAlignment w:val="auto"/>
              <w:rPr>
                <w:rFonts w:ascii="Times New Roman" w:eastAsia="宋体" w:cs="Times New Roman" w:hAnsi="Times New Roman"/>
                <w:b w:val="0"/>
                <w:bCs/>
                <w:color w:val="000000"/>
                <w:sz w:val="24"/>
                <w:szCs w:val="24"/>
                <w:vertAlign w:val="baseline"/>
                <w14:textFill>
                  <w14:solidFill>
                    <w14:srgbClr w14:val="000000"/>
                  </w14:solidFill>
                </w14:textFill>
                <w:lang w:val="en-US" w:eastAsia="zh-CN"/>
                <w:highlight w:val="none"/>
              </w:rPr>
            </w:pPr>
            <w:r>
              <w:rPr>
                <w:rFonts w:ascii="Times New Roman" w:eastAsia="宋体" w:cs="Times New Roman" w:hAnsi="Times New Roman"/>
                <w:b w:val="0"/>
                <w:bCs/>
                <w:color w:val="000000"/>
                <w:sz w:val="24"/>
                <w:szCs w:val="24"/>
                <w:vertAlign w:val="baseline"/>
                <w14:textFill>
                  <w14:solidFill>
                    <w14:srgbClr w14:val="000000"/>
                  </w14:solidFill>
                </w14:textFill>
                <w:lang w:val="en-US" w:eastAsia="zh-CN"/>
                <w:highlight w:val="none"/>
              </w:rPr>
              <w:t>经计算，</w:t>
            </w:r>
            <w:r>
              <w:rPr>
                <w:rFonts w:eastAsia="宋体" w:cs="Times New Roman" w:hint="eastAsia"/>
                <w:b w:val="0"/>
                <w:bCs/>
                <w:color w:val="000000"/>
                <w:sz w:val="24"/>
                <w:szCs w:val="24"/>
                <w:vertAlign w:val="baseline"/>
                <w14:textFill>
                  <w14:solidFill>
                    <w14:srgbClr w14:val="000000"/>
                  </w14:solidFill>
                </w14:textFill>
                <w:lang w:val="en-US" w:eastAsia="zh-CN"/>
                <w:highlight w:val="none"/>
              </w:rPr>
              <w:t>投料工序、破碎</w:t>
            </w:r>
            <w:r>
              <w:rPr>
                <w:rFonts w:ascii="Times New Roman" w:eastAsia="宋体" w:cs="Times New Roman" w:hAnsi="Times New Roman"/>
                <w:b w:val="0"/>
                <w:bCs/>
                <w:color w:val="000000"/>
                <w:sz w:val="24"/>
                <w:szCs w:val="24"/>
                <w:vertAlign w:val="baseline"/>
                <w14:textFill>
                  <w14:solidFill>
                    <w14:srgbClr w14:val="000000"/>
                  </w14:solidFill>
                </w14:textFill>
                <w:lang w:val="en-US" w:eastAsia="zh-CN"/>
                <w:highlight w:val="none"/>
              </w:rPr>
              <w:t>工序所需要的风量为</w:t>
            </w:r>
            <w:r>
              <w:rPr>
                <w:rFonts w:cs="Times New Roman" w:hint="eastAsia"/>
                <w:b w:val="0"/>
                <w:bCs/>
                <w:color w:val="000000"/>
                <w:sz w:val="24"/>
                <w:szCs w:val="24"/>
                <w:vertAlign w:val="baseline"/>
                <w14:textFill>
                  <w14:solidFill>
                    <w14:srgbClr w14:val="000000"/>
                  </w14:solidFill>
                </w14:textFill>
                <w:lang w:val="en-US" w:eastAsia="zh-CN"/>
                <w:highlight w:val="none"/>
              </w:rPr>
              <w:t>36</w:t>
            </w:r>
            <w:r>
              <w:rPr>
                <w:rFonts w:eastAsia="宋体" w:cs="Times New Roman" w:hint="eastAsia"/>
                <w:b w:val="0"/>
                <w:bCs/>
                <w:color w:val="000000"/>
                <w:sz w:val="24"/>
                <w:szCs w:val="24"/>
                <w:vertAlign w:val="baseline"/>
                <w14:textFill>
                  <w14:solidFill>
                    <w14:srgbClr w14:val="000000"/>
                  </w14:solidFill>
                </w14:textFill>
                <w:lang w:val="en-US" w:eastAsia="zh-CN"/>
                <w:highlight w:val="none"/>
              </w:rPr>
              <w:t>00</w:t>
            </w:r>
            <w:r>
              <w:rPr>
                <w:rFonts w:ascii="Times New Roman" w:eastAsia="宋体" w:cs="Times New Roman" w:hAnsi="Times New Roman"/>
                <w:b w:val="0"/>
                <w:bCs/>
                <w:color w:val="000000"/>
                <w:sz w:val="24"/>
                <w:szCs w:val="24"/>
                <w:vertAlign w:val="baseline"/>
                <w14:textFill>
                  <w14:solidFill>
                    <w14:srgbClr w14:val="000000"/>
                  </w14:solidFill>
                </w14:textFill>
                <w:lang w:val="en-US" w:eastAsia="zh-CN"/>
                <w:highlight w:val="none"/>
              </w:rPr>
              <w:t>m</w:t>
            </w:r>
            <w:r>
              <w:rPr>
                <w:rFonts w:ascii="Times New Roman" w:eastAsia="宋体" w:cs="Times New Roman" w:hAnsi="Times New Roman"/>
                <w:b w:val="0"/>
                <w:bCs/>
                <w:color w:val="000000"/>
                <w:sz w:val="24"/>
                <w:szCs w:val="24"/>
                <w:vertAlign w:val="superscript"/>
                <w14:textFill>
                  <w14:solidFill>
                    <w14:srgbClr w14:val="000000"/>
                  </w14:solidFill>
                </w14:textFill>
                <w:lang w:val="en-US" w:eastAsia="zh-CN"/>
                <w:highlight w:val="none"/>
              </w:rPr>
              <w:t>3</w:t>
            </w:r>
            <w:r>
              <w:rPr>
                <w:rFonts w:ascii="Times New Roman" w:eastAsia="宋体" w:cs="Times New Roman" w:hAnsi="Times New Roman"/>
                <w:b w:val="0"/>
                <w:bCs/>
                <w:color w:val="000000"/>
                <w:sz w:val="24"/>
                <w:szCs w:val="24"/>
                <w:vertAlign w:val="baseline"/>
                <w14:textFill>
                  <w14:solidFill>
                    <w14:srgbClr w14:val="000000"/>
                  </w14:solidFill>
                </w14:textFill>
                <w:lang w:val="en-US" w:eastAsia="zh-CN"/>
                <w:highlight w:val="none"/>
              </w:rPr>
              <w:t>/h。</w:t>
            </w:r>
          </w:p>
          <w:p>
            <w:pPr>
              <w:keepNext w:val="0"/>
              <w:keepLines w:val="0"/>
              <w:pageBreakBefore w:val="0"/>
              <w:widowControl w:val="0"/>
              <w:kinsoku/>
              <w:wordWrap/>
              <w:overflowPunct/>
              <w:topLinePunct w:val="0"/>
              <w:autoSpaceDE/>
              <w:autoSpaceDN/>
              <w:bidi w:val="0"/>
              <w:adjustRightInd w:val="0"/>
              <w:snapToGrid w:val="0"/>
              <w:spacing w:line="360" w:lineRule="auto"/>
              <w:ind w:firstLineChars="200" w:firstLine="480"/>
              <w:textAlignment w:val="auto"/>
              <w:rPr>
                <w:rFonts w:ascii="Times New Roman" w:eastAsia="宋体" w:cs="Times New Roman" w:hAnsi="Times New Roman"/>
                <w:color w:val="000000"/>
                <w:sz w:val="24"/>
                <w:szCs w:val="24"/>
                <w14:textFill>
                  <w14:solidFill>
                    <w14:srgbClr w14:val="000000"/>
                  </w14:solidFill>
                </w14:textFill>
                <w:lang w:eastAsia="zh-CN"/>
                <w:highlight w:val="none"/>
              </w:rPr>
            </w:pPr>
            <w:r>
              <w:rPr>
                <w:rFonts w:ascii="Times New Roman" w:eastAsia="宋体" w:cs="Times New Roman" w:hAnsi="Times New Roman"/>
                <w:color w:val="000000"/>
                <w:sz w:val="24"/>
                <w:szCs w:val="24"/>
                <w14:textFill>
                  <w14:solidFill>
                    <w14:srgbClr w14:val="000000"/>
                  </w14:solidFill>
                </w14:textFill>
                <w:lang w:val="en-US" w:eastAsia="zh-CN"/>
                <w:highlight w:val="none"/>
              </w:rPr>
              <w:t>项目</w:t>
            </w:r>
            <w:r>
              <w:rPr>
                <w:rFonts w:cs="Times New Roman" w:hint="eastAsia"/>
                <w:color w:val="000000"/>
                <w:sz w:val="24"/>
                <w:szCs w:val="24"/>
                <w14:textFill>
                  <w14:solidFill>
                    <w14:srgbClr w14:val="000000"/>
                  </w14:solidFill>
                </w14:textFill>
                <w:lang w:val="en-US" w:eastAsia="zh-CN"/>
                <w:highlight w:val="none"/>
              </w:rPr>
              <w:t>中微量元素混合车间</w:t>
            </w:r>
            <w:r>
              <w:rPr>
                <w:rFonts w:ascii="Times New Roman" w:eastAsia="宋体" w:cs="Times New Roman" w:hAnsi="Times New Roman"/>
                <w:color w:val="000000"/>
                <w:sz w:val="24"/>
                <w:szCs w:val="24"/>
                <w14:textFill>
                  <w14:solidFill>
                    <w14:srgbClr w14:val="000000"/>
                  </w14:solidFill>
                </w14:textFill>
                <w:lang w:val="en-US" w:eastAsia="zh-CN"/>
                <w:highlight w:val="none"/>
              </w:rPr>
              <w:t>颗粒混合搅拌机3台</w:t>
            </w:r>
            <w:r>
              <w:rPr>
                <w:rFonts w:cs="Times New Roman" w:hint="eastAsia"/>
                <w:color w:val="000000"/>
                <w:sz w:val="24"/>
                <w:szCs w:val="24"/>
                <w14:textFill>
                  <w14:solidFill>
                    <w14:srgbClr w14:val="000000"/>
                  </w14:solidFill>
                </w14:textFill>
                <w:lang w:val="en-US" w:eastAsia="zh-CN"/>
                <w:highlight w:val="none"/>
              </w:rPr>
              <w:t>（体积30m</w:t>
            </w:r>
            <w:r>
              <w:rPr>
                <w:rFonts w:cs="Times New Roman" w:hint="eastAsia"/>
                <w:color w:val="000000"/>
                <w:sz w:val="24"/>
                <w:szCs w:val="24"/>
                <w:vertAlign w:val="superscript"/>
                <w14:textFill>
                  <w14:solidFill>
                    <w14:srgbClr w14:val="000000"/>
                  </w14:solidFill>
                </w14:textFill>
                <w:lang w:val="en-US" w:eastAsia="zh-CN"/>
                <w:highlight w:val="none"/>
              </w:rPr>
              <w:t>3</w:t>
            </w:r>
            <w:r>
              <w:rPr>
                <w:rFonts w:cs="Times New Roman" w:hint="eastAsia"/>
                <w:color w:val="000000"/>
                <w:sz w:val="24"/>
                <w:szCs w:val="24"/>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，按换气次数1</w:t>
            </w:r>
            <w:r>
              <w:rPr>
                <w:rFonts w:cs="Times New Roman" w:hint="eastAsia"/>
                <w:color w:val="000000"/>
                <w:sz w:val="24"/>
                <w:szCs w:val="24"/>
                <w14:textFill>
                  <w14:solidFill>
                    <w14:srgbClr w14:val="000000"/>
                  </w14:solidFill>
                </w14:textFill>
                <w:lang w:val="en-US" w:eastAsia="zh-CN"/>
                <w:highlight w:val="none"/>
              </w:rPr>
              <w:t>0</w:t>
            </w:r>
            <w:r>
              <w:rPr>
                <w:rFonts w:ascii="Times New Roman" w:eastAsia="宋体" w:cs="Times New Roman" w:hAnsi="Times New Roman"/>
                <w:color w:val="000000"/>
                <w:sz w:val="24"/>
                <w:szCs w:val="24"/>
                <w14:textFill>
                  <w14:solidFill>
                    <w14:srgbClr w14:val="000000"/>
                  </w14:solidFill>
                </w14:textFill>
                <w:lang w:val="en-US" w:eastAsia="zh-CN"/>
                <w:highlight w:val="none"/>
              </w:rPr>
              <w:t>次/h设置抽风系统，则</w:t>
            </w:r>
            <w:r>
              <w:rPr>
                <w:rFonts w:cs="Times New Roman" w:hint="eastAsia"/>
                <w:color w:val="000000"/>
                <w:sz w:val="24"/>
                <w:szCs w:val="24"/>
                <w14:textFill>
                  <w14:solidFill>
                    <w14:srgbClr w14:val="000000"/>
                  </w14:solidFill>
                </w14:textFill>
                <w:lang w:val="en-US" w:eastAsia="zh-CN"/>
                <w:highlight w:val="none"/>
              </w:rPr>
              <w:t>搅拌</w:t>
            </w:r>
            <w:r>
              <w:rPr>
                <w:rFonts w:ascii="Times New Roman" w:eastAsia="宋体" w:cs="Times New Roman" w:hAnsi="Times New Roman"/>
                <w:color w:val="000000"/>
                <w:sz w:val="24"/>
                <w:szCs w:val="24"/>
                <w14:textFill>
                  <w14:solidFill>
                    <w14:srgbClr w14:val="000000"/>
                  </w14:solidFill>
                </w14:textFill>
                <w:lang w:val="en-US" w:eastAsia="zh-CN"/>
                <w:highlight w:val="none"/>
              </w:rPr>
              <w:t>工序所需风量为（30×</w:t>
            </w:r>
            <w:r>
              <w:rPr>
                <w:rFonts w:cs="Times New Roman" w:hint="eastAsia"/>
                <w:color w:val="000000"/>
                <w:sz w:val="24"/>
                <w:szCs w:val="24"/>
                <w14:textFill>
                  <w14:solidFill>
                    <w14:srgbClr w14:val="000000"/>
                  </w14:solidFill>
                </w14:textFill>
                <w:lang w:val="en-US" w:eastAsia="zh-CN"/>
                <w:highlight w:val="none"/>
              </w:rPr>
              <w:t>3</w:t>
            </w:r>
            <w:r>
              <w:rPr>
                <w:rFonts w:ascii="Times New Roman" w:eastAsia="宋体" w:cs="Times New Roman" w:hAnsi="Times New Roman"/>
                <w:color w:val="000000"/>
                <w:sz w:val="24"/>
                <w:szCs w:val="24"/>
                <w14:textFill>
                  <w14:solidFill>
                    <w14:srgbClr w14:val="000000"/>
                  </w14:solidFill>
                </w14:textFill>
                <w:lang w:val="en-US" w:eastAsia="zh-CN"/>
                <w:highlight w:val="none"/>
              </w:rPr>
              <w:t>）*1</w:t>
            </w:r>
            <w:r>
              <w:rPr>
                <w:rFonts w:cs="Times New Roman" w:hint="eastAsia"/>
                <w:color w:val="000000"/>
                <w:sz w:val="24"/>
                <w:szCs w:val="24"/>
                <w14:textFill>
                  <w14:solidFill>
                    <w14:srgbClr w14:val="000000"/>
                  </w14:solidFill>
                </w14:textFill>
                <w:lang w:val="en-US" w:eastAsia="zh-CN"/>
                <w:highlight w:val="none"/>
              </w:rPr>
              <w:t>0</w:t>
            </w:r>
            <w:r>
              <w:rPr>
                <w:rFonts w:ascii="Times New Roman" w:eastAsia="宋体" w:cs="Times New Roman" w:hAnsi="Times New Roman"/>
                <w:color w:val="000000"/>
                <w:sz w:val="24"/>
                <w:szCs w:val="24"/>
                <w14:textFill>
                  <w14:solidFill>
                    <w14:srgbClr w14:val="000000"/>
                  </w14:solidFill>
                </w14:textFill>
                <w:lang w:val="en-US" w:eastAsia="zh-CN"/>
                <w:highlight w:val="none"/>
              </w:rPr>
              <w:t>=</w:t>
            </w:r>
            <w:r>
              <w:rPr>
                <w:rFonts w:cs="Times New Roman" w:hint="eastAsia"/>
                <w:color w:val="000000"/>
                <w:sz w:val="24"/>
                <w:szCs w:val="24"/>
                <w14:textFill>
                  <w14:solidFill>
                    <w14:srgbClr w14:val="000000"/>
                  </w14:solidFill>
                </w14:textFill>
                <w:lang w:val="en-US" w:eastAsia="zh-CN"/>
                <w:highlight w:val="none"/>
              </w:rPr>
              <w:t>900</w:t>
            </w:r>
            <w:r>
              <w:rPr>
                <w:rFonts w:ascii="Times New Roman" w:eastAsia="宋体" w:cs="Times New Roman" w:hAnsi="Times New Roman"/>
                <w:color w:val="000000"/>
                <w:sz w:val="24"/>
                <w:szCs w:val="24"/>
                <w14:textFill>
                  <w14:solidFill>
                    <w14:srgbClr w14:val="000000"/>
                  </w14:solidFill>
                </w14:textFill>
                <w:lang w:val="en-US" w:eastAsia="zh-CN"/>
                <w:highlight w:val="none"/>
              </w:rPr>
              <w:t>m</w:t>
            </w:r>
            <w:r>
              <w:rPr>
                <w:rFonts w:ascii="Times New Roman" w:eastAsia="宋体" w:cs="Times New Roman" w:hAnsi="Times New Roman"/>
                <w:color w:val="000000"/>
                <w:sz w:val="24"/>
                <w:szCs w:val="24"/>
                <w:vertAlign w:val="superscript"/>
                <w14:textFill>
                  <w14:solidFill>
                    <w14:srgbClr w14:val="000000"/>
                  </w14:solidFill>
                </w14:textFill>
                <w:lang w:val="en-US" w:eastAsia="zh-CN"/>
                <w:highlight w:val="none"/>
              </w:rPr>
              <w:t>3</w:t>
            </w:r>
            <w:r>
              <w:rPr>
                <w:rFonts w:ascii="Times New Roman" w:eastAsia="宋体" w:cs="Times New Roman" w:hAnsi="Times New Roman"/>
                <w:color w:val="000000"/>
                <w:sz w:val="24"/>
                <w:szCs w:val="24"/>
                <w14:textFill>
                  <w14:solidFill>
                    <w14:srgbClr w14:val="000000"/>
                  </w14:solidFill>
                </w14:textFill>
                <w:lang w:val="en-US" w:eastAsia="zh-CN"/>
                <w:highlight w:val="none"/>
              </w:rPr>
              <w:t>/h</w:t>
            </w:r>
            <w:r>
              <w:rPr>
                <w:rFonts w:cs="Times New Roman" w:hint="eastAsia"/>
                <w:color w:val="000000"/>
                <w:sz w:val="24"/>
                <w:szCs w:val="24"/>
                <w14:textFill>
                  <w14:solidFill>
                    <w14:srgbClr w14:val="000000"/>
                  </w14:solidFill>
                </w14:textFill>
                <w:lang w:val="en-US" w:eastAsia="zh-CN"/>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eastAsia="宋体" w:cs="Times New Roman" w:hAnsi="Times New Roman"/>
                <w:color w:val="000000"/>
                <w:sz w:val="24"/>
                <w:szCs w:val="24"/>
                <w14:textFill>
                  <w14:solidFill>
                    <w14:srgbClr w14:val="000000"/>
                  </w14:solidFill>
                </w14:textFill>
                <w:lang w:eastAsia="zh-CN"/>
                <w:highlight w:val="yellow"/>
              </w:rPr>
            </w:pPr>
            <w:r>
              <w:rPr>
                <w:rFonts w:ascii="Times New Roman" w:eastAsia="宋体" w:cs="Times New Roman" w:hAnsi="Times New Roman"/>
                <w:color w:val="000000"/>
                <w:sz w:val="24"/>
                <w:szCs w:val="24"/>
                <w14:textFill>
                  <w14:solidFill>
                    <w14:srgbClr w14:val="000000"/>
                  </w14:solidFill>
                </w14:textFill>
                <w:lang w:eastAsia="zh-CN"/>
                <w:highlight w:val="none"/>
              </w:rPr>
              <w:t>项目</w:t>
            </w:r>
            <w:r>
              <w:rPr>
                <w:rFonts w:cs="Times New Roman" w:hint="eastAsia"/>
                <w:color w:val="000000"/>
                <w:sz w:val="24"/>
                <w:szCs w:val="24"/>
                <w14:textFill>
                  <w14:solidFill>
                    <w14:srgbClr w14:val="000000"/>
                  </w14:solidFill>
                </w14:textFill>
                <w:lang w:val="en-US" w:eastAsia="zh-CN"/>
                <w:highlight w:val="none"/>
              </w:rPr>
              <w:t>中微量元素混合车间</w:t>
            </w:r>
            <w:r>
              <w:rPr>
                <w:rFonts w:ascii="Times New Roman" w:eastAsia="宋体" w:cs="Times New Roman" w:hAnsi="Times New Roman"/>
                <w:color w:val="000000"/>
                <w:sz w:val="24"/>
                <w:szCs w:val="24"/>
                <w14:textFill>
                  <w14:solidFill>
                    <w14:srgbClr w14:val="000000"/>
                  </w14:solidFill>
                </w14:textFill>
                <w:lang w:val="en-US" w:eastAsia="zh-CN"/>
                <w:highlight w:val="none"/>
              </w:rPr>
              <w:t>投料工序、破碎工序、搅拌工序</w:t>
            </w:r>
            <w:r>
              <w:rPr>
                <w:rFonts w:eastAsia="宋体" w:cs="Times New Roman" w:hint="eastAsia"/>
                <w:color w:val="000000"/>
                <w:sz w:val="24"/>
                <w:szCs w:val="24"/>
                <w14:textFill>
                  <w14:solidFill>
                    <w14:srgbClr w14:val="000000"/>
                  </w14:solidFill>
                </w14:textFill>
                <w:lang w:val="en-US" w:eastAsia="zh-CN"/>
                <w:highlight w:val="none"/>
              </w:rPr>
              <w:t>所需风量为</w:t>
            </w:r>
            <w:r>
              <w:rPr>
                <w:rFonts w:cs="Times New Roman" w:hint="eastAsia"/>
                <w:color w:val="000000"/>
                <w:sz w:val="24"/>
                <w:szCs w:val="24"/>
                <w14:textFill>
                  <w14:solidFill>
                    <w14:srgbClr w14:val="000000"/>
                  </w14:solidFill>
                </w14:textFill>
                <w:lang w:val="en-US" w:eastAsia="zh-CN"/>
                <w:highlight w:val="none"/>
              </w:rPr>
              <w:t>4500</w:t>
            </w:r>
            <w:r>
              <w:rPr>
                <w:rFonts w:eastAsia="宋体" w:cs="Times New Roman" w:hint="eastAsia"/>
                <w:color w:val="000000"/>
                <w:sz w:val="24"/>
                <w:szCs w:val="24"/>
                <w14:textFill>
                  <w14:solidFill>
                    <w14:srgbClr w14:val="000000"/>
                  </w14:solidFill>
                </w14:textFill>
                <w:lang w:val="en-US" w:eastAsia="zh-CN"/>
                <w:highlight w:val="none"/>
              </w:rPr>
              <w:t>m</w:t>
            </w:r>
            <w:r>
              <w:rPr>
                <w:rFonts w:eastAsia="宋体" w:cs="Times New Roman" w:hint="eastAsia"/>
                <w:color w:val="000000"/>
                <w:sz w:val="24"/>
                <w:szCs w:val="24"/>
                <w:vertAlign w:val="superscript"/>
                <w14:textFill>
                  <w14:solidFill>
                    <w14:srgbClr w14:val="000000"/>
                  </w14:solidFill>
                </w14:textFill>
                <w:lang w:val="en-US" w:eastAsia="zh-CN"/>
                <w:highlight w:val="none"/>
              </w:rPr>
              <w:t>3</w:t>
            </w:r>
            <w:r>
              <w:rPr>
                <w:rFonts w:eastAsia="宋体" w:cs="Times New Roman" w:hint="eastAsia"/>
                <w:color w:val="000000"/>
                <w:sz w:val="24"/>
                <w:szCs w:val="24"/>
                <w14:textFill>
                  <w14:solidFill>
                    <w14:srgbClr w14:val="000000"/>
                  </w14:solidFill>
                </w14:textFill>
                <w:lang w:val="en-US" w:eastAsia="zh-CN"/>
                <w:highlight w:val="none"/>
              </w:rPr>
              <w:t>/h，现有P1排气筒风机风量</w:t>
            </w:r>
            <w:r>
              <w:rPr>
                <w:rFonts w:ascii="Times New Roman" w:eastAsia="宋体" w:cs="Times New Roman" w:hAnsi="Times New Roman"/>
                <w:color w:val="000000"/>
                <w:sz w:val="24"/>
                <w:szCs w:val="24"/>
                <w14:textFill>
                  <w14:solidFill>
                    <w14:srgbClr w14:val="000000"/>
                  </w14:solidFill>
                </w14:textFill>
                <w:lang w:eastAsia="zh-CN"/>
                <w:highlight w:val="none"/>
              </w:rPr>
              <w:t>为</w:t>
            </w:r>
            <w:r>
              <w:rPr>
                <w:rFonts w:ascii="Times New Roman" w:eastAsia="宋体" w:cs="Times New Roman" w:hAnsi="Times New Roman"/>
                <w:color w:val="000000"/>
                <w:sz w:val="24"/>
                <w:szCs w:val="24"/>
                <w14:textFill>
                  <w14:solidFill>
                    <w14:srgbClr w14:val="000000"/>
                  </w14:solidFill>
                </w14:textFill>
                <w:lang w:val="en-US" w:eastAsia="zh-CN"/>
                <w:highlight w:val="none"/>
              </w:rPr>
              <w:t>6</w:t>
            </w:r>
            <w:r>
              <w:rPr>
                <w:rFonts w:ascii="Times New Roman" w:eastAsia="宋体" w:cs="Times New Roman" w:hAnsi="Times New Roman"/>
                <w:color w:val="000000"/>
                <w:sz w:val="24"/>
                <w:szCs w:val="24"/>
                <w14:textFill>
                  <w14:solidFill>
                    <w14:srgbClr w14:val="000000"/>
                  </w14:solidFill>
                </w14:textFill>
                <w:lang w:eastAsia="zh-CN"/>
                <w:highlight w:val="none"/>
              </w:rPr>
              <w:t>000m</w:t>
            </w:r>
            <w:r>
              <w:rPr>
                <w:rFonts w:ascii="Times New Roman" w:eastAsia="宋体" w:cs="Times New Roman" w:hAnsi="Times New Roman"/>
                <w:color w:val="000000"/>
                <w:sz w:val="24"/>
                <w:szCs w:val="24"/>
                <w:vertAlign w:val="superscript"/>
                <w14:textFill>
                  <w14:solidFill>
                    <w14:srgbClr w14:val="000000"/>
                  </w14:solidFill>
                </w14:textFill>
                <w:lang w:eastAsia="zh-CN"/>
                <w:highlight w:val="none"/>
              </w:rPr>
              <w:t>3</w:t>
            </w:r>
            <w:r>
              <w:rPr>
                <w:rFonts w:ascii="Times New Roman" w:eastAsia="宋体" w:cs="Times New Roman" w:hAnsi="Times New Roman"/>
                <w:color w:val="000000"/>
                <w:sz w:val="24"/>
                <w:szCs w:val="24"/>
                <w14:textFill>
                  <w14:solidFill>
                    <w14:srgbClr w14:val="000000"/>
                  </w14:solidFill>
                </w14:textFill>
                <w:lang w:eastAsia="zh-CN"/>
                <w:highlight w:val="none"/>
              </w:rPr>
              <w:t>/h，满足生产要求。</w:t>
            </w:r>
          </w:p>
          <w:p>
            <w:pPr>
              <w:keepNext w:val="0"/>
              <w:keepLines w:val="0"/>
              <w:pageBreakBefore w:val="0"/>
              <w:widowControl w:val="0"/>
              <w:kinsoku/>
              <w:wordWrap/>
              <w:overflowPunct/>
              <w:topLinePunct w:val="0"/>
              <w:autoSpaceDE/>
              <w:autoSpaceDN/>
              <w:bidi w:val="0"/>
              <w:spacing w:line="360" w:lineRule="auto"/>
              <w:textAlignment w:val="auto"/>
              <w:rPr>
                <w:rFonts w:hint="eastAsia"/>
                <w:color w:val="auto"/>
                <w:lang w:val="en-US" w:eastAsia="zh-CN"/>
              </w:rPr>
            </w:pPr>
            <w:r>
              <w:rPr>
                <w:rFonts w:hint="eastAsia"/>
                <w:color w:val="auto"/>
                <w:lang w:val="en-US" w:eastAsia="zh-CN"/>
              </w:rPr>
              <w:t>中微量元素混合车间</w:t>
            </w:r>
            <w:r>
              <w:rPr>
                <w:color w:val="auto"/>
                <w:lang w:val="en-US" w:eastAsia="zh-CN"/>
              </w:rPr>
              <w:t>投料工序、破碎工序、搅拌工序颗粒物产生量</w:t>
            </w:r>
            <w:r>
              <w:rPr>
                <w:rFonts w:hint="eastAsia"/>
                <w:color w:val="auto"/>
                <w:lang w:val="en-US" w:eastAsia="zh-CN"/>
              </w:rPr>
              <w:t>为28t，产生浓度为923.6mg/m</w:t>
            </w:r>
            <w:r>
              <w:rPr>
                <w:rFonts w:hint="eastAsia"/>
                <w:color w:val="auto"/>
                <w:vertAlign w:val="superscript"/>
                <w:lang w:val="en-US" w:eastAsia="zh-CN"/>
              </w:rPr>
              <w:t>3</w:t>
            </w:r>
            <w:r>
              <w:rPr>
                <w:rFonts w:hint="eastAsia"/>
                <w:color w:val="auto"/>
                <w:lang w:val="en-US" w:eastAsia="zh-CN"/>
              </w:rPr>
              <w:t>，产生速率为5.542kg/h；颗粒物排放量为0.266t，排放浓度为9.2</w:t>
            </w:r>
            <w:r>
              <w:rPr>
                <w:rFonts w:ascii="Times New Roman" w:eastAsia="宋体" w:hAnsi="Times New Roman" w:hint="eastAsia"/>
                <w:color w:val="auto"/>
                <w:lang w:val="en-US" w:eastAsia="zh-CN"/>
              </w:rPr>
              <w:t>mg/m</w:t>
            </w:r>
            <w:r>
              <w:rPr>
                <w:rFonts w:ascii="Times New Roman" w:eastAsia="宋体" w:hAnsi="Times New Roman" w:hint="eastAsia"/>
                <w:color w:val="auto"/>
                <w:vertAlign w:val="superscript"/>
                <w:lang w:val="en-US" w:eastAsia="zh-CN"/>
              </w:rPr>
              <w:t>3</w:t>
            </w:r>
            <w:r>
              <w:rPr>
                <w:rFonts w:ascii="Times New Roman" w:eastAsia="宋体" w:hAnsi="Times New Roman" w:hint="eastAsia"/>
                <w:color w:val="auto"/>
                <w:lang w:val="en-US" w:eastAsia="zh-CN"/>
              </w:rPr>
              <w:t>，排放速率为0.055kg/h。</w:t>
            </w:r>
          </w:p>
          <w:p>
            <w:pPr>
              <w:rPr>
                <w:rFonts w:cs="Times New Roman" w:hint="eastAsia"/>
                <w:color w:val="auto"/>
                <w:lang w:val="en-US" w:eastAsia="zh-CN"/>
                <w:highlight w:val="yellow"/>
              </w:rPr>
            </w:pPr>
            <w:r>
              <w:rPr>
                <w:rFonts w:hint="eastAsia"/>
                <w:color w:val="auto"/>
                <w:lang w:val="en-US" w:eastAsia="zh-CN"/>
              </w:rPr>
              <w:t>排气筒P1颗粒物</w:t>
            </w:r>
            <w:r>
              <w:rPr>
                <w:color w:val="auto"/>
                <w:lang w:val="en-US" w:eastAsia="zh-CN"/>
              </w:rPr>
              <w:t>满足《大气污染物综合排放标准》(GB16297-1996)表2</w:t>
            </w:r>
            <w:r>
              <w:rPr>
                <w:rFonts w:hint="eastAsia"/>
                <w:color w:val="auto"/>
                <w:lang w:val="en-US" w:eastAsia="zh-CN"/>
              </w:rPr>
              <w:t>二级标准限值</w:t>
            </w:r>
            <w:r>
              <w:rPr>
                <w:color w:val="auto"/>
                <w:lang w:val="en-US" w:eastAsia="zh-CN"/>
              </w:rPr>
              <w:t>要求</w:t>
            </w:r>
            <w:r>
              <w:rPr>
                <w:rFonts w:hint="eastAsia"/>
                <w:color w:val="auto"/>
                <w:lang w:val="en-US" w:eastAsia="zh-CN"/>
              </w:rPr>
              <w:t>。</w:t>
            </w:r>
          </w:p>
          <w:p>
            <w:pPr>
              <w:rPr>
                <w:rFonts w:cs="Times New Roman" w:hint="eastAsia"/>
                <w:color w:val="auto"/>
                <w:lang w:val="en-US" w:eastAsia="zh-CN"/>
              </w:rPr>
            </w:pPr>
            <w:r>
              <w:rPr>
                <w:rFonts w:cs="Times New Roman" w:hint="eastAsia"/>
                <w:color w:val="auto"/>
                <w:lang w:val="en-US" w:eastAsia="zh-CN"/>
              </w:rPr>
              <w:t>二）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w:t>
            </w:r>
          </w:p>
          <w:p>
            <w:pPr>
              <w:rPr>
                <w:rFonts w:cs="Times New Roman" w:hint="eastAsia"/>
                <w:color w:val="auto"/>
                <w:lang w:val="en-US" w:eastAsia="zh-CN"/>
              </w:rPr>
            </w:pPr>
            <w:r>
              <w:rPr>
                <w:rFonts w:cs="Times New Roman" w:hint="eastAsia"/>
                <w:color w:val="auto"/>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主要污染物为颗粒物、氨、臭气浓度、甲醛、非甲烷总烃。</w:t>
            </w:r>
          </w:p>
          <w:p>
            <w:pPr>
              <w:pStyle w:val="15"/>
              <w:rPr>
                <w:lang w:val="en-US" w:eastAsia="zh-CN"/>
              </w:rPr>
            </w:pPr>
            <w:r>
              <w:rPr>
                <w:lang w:val="en-US" w:eastAsia="zh-CN"/>
              </w:rPr>
              <w:t>项目挤压造粒生产线车间</w:t>
            </w:r>
            <w:r>
              <w:rPr>
                <w:rFonts w:hint="eastAsia"/>
                <w:lang w:val="en-US" w:eastAsia="zh-CN"/>
              </w:rPr>
              <w:t>密闭式破碎机2台（体积30m</w:t>
            </w:r>
            <w:r>
              <w:rPr>
                <w:rFonts w:hint="eastAsia"/>
                <w:vertAlign w:val="superscript"/>
                <w:lang w:val="en-US" w:eastAsia="zh-CN"/>
              </w:rPr>
              <w:t>3</w:t>
            </w:r>
            <w:r>
              <w:rPr>
                <w:rFonts w:hint="eastAsia"/>
                <w:lang w:val="en-US" w:eastAsia="zh-CN"/>
              </w:rPr>
              <w:t>）、密闭式颗粒挤压机12台（</w:t>
            </w:r>
            <w:r>
              <w:rPr>
                <w:rFonts w:ascii="Times New Roman" w:eastAsia="宋体" w:hAnsi="Times New Roman" w:hint="eastAsia"/>
                <w:lang w:val="en-US" w:eastAsia="zh-CN"/>
              </w:rPr>
              <w:t>体积</w:t>
            </w:r>
            <w:r>
              <w:rPr>
                <w:rFonts w:ascii="Times New Roman" w:hAnsi="Times New Roman" w:hint="eastAsia"/>
                <w:lang w:val="en-US" w:eastAsia="zh-CN"/>
              </w:rPr>
              <w:t>60</w:t>
            </w:r>
            <w:r>
              <w:rPr>
                <w:rFonts w:ascii="Times New Roman" w:eastAsia="宋体" w:hAnsi="Times New Roman" w:hint="eastAsia"/>
                <w:lang w:val="en-US" w:eastAsia="zh-CN"/>
              </w:rPr>
              <w:t>m</w:t>
            </w:r>
            <w:r>
              <w:rPr>
                <w:rFonts w:ascii="Times New Roman" w:eastAsia="宋体" w:hAnsi="Times New Roman" w:hint="eastAsia"/>
                <w:vertAlign w:val="superscript"/>
                <w:lang w:val="en-US" w:eastAsia="zh-CN"/>
              </w:rPr>
              <w:t>3</w:t>
            </w:r>
            <w:r>
              <w:rPr>
                <w:rFonts w:hint="eastAsia"/>
                <w:lang w:val="en-US" w:eastAsia="zh-CN"/>
              </w:rPr>
              <w:t>）、密闭式筛分机2台（体积28.26m</w:t>
            </w:r>
            <w:r>
              <w:rPr>
                <w:rFonts w:hint="eastAsia"/>
                <w:vertAlign w:val="superscript"/>
                <w:lang w:val="en-US" w:eastAsia="zh-CN"/>
              </w:rPr>
              <w:t>3</w:t>
            </w:r>
            <w:r>
              <w:rPr>
                <w:rFonts w:hint="eastAsia"/>
                <w:lang w:val="en-US" w:eastAsia="zh-CN"/>
              </w:rPr>
              <w:t>）、密闭式整形机1台（体积17.8m</w:t>
            </w:r>
            <w:r>
              <w:rPr>
                <w:rFonts w:hint="eastAsia"/>
                <w:vertAlign w:val="superscript"/>
                <w:lang w:val="en-US" w:eastAsia="zh-CN"/>
              </w:rPr>
              <w:t>3</w:t>
            </w:r>
            <w:r>
              <w:rPr>
                <w:rFonts w:hint="eastAsia"/>
                <w:lang w:val="en-US" w:eastAsia="zh-CN"/>
              </w:rPr>
              <w:t>）、密闭式冷却机1台（体积32.15m</w:t>
            </w:r>
            <w:r>
              <w:rPr>
                <w:rFonts w:hint="eastAsia"/>
                <w:vertAlign w:val="superscript"/>
                <w:lang w:val="en-US" w:eastAsia="zh-CN"/>
              </w:rPr>
              <w:t>3</w:t>
            </w:r>
            <w:r>
              <w:rPr>
                <w:rFonts w:hint="eastAsia"/>
                <w:lang w:val="en-US" w:eastAsia="zh-CN"/>
              </w:rPr>
              <w:t>）、密闭抛光机1台（体积10.6m</w:t>
            </w:r>
            <w:r>
              <w:rPr>
                <w:rFonts w:hint="eastAsia"/>
                <w:vertAlign w:val="superscript"/>
                <w:lang w:val="en-US" w:eastAsia="zh-CN"/>
              </w:rPr>
              <w:t>3</w:t>
            </w:r>
            <w:r>
              <w:rPr>
                <w:rFonts w:hint="eastAsia"/>
                <w:lang w:val="en-US" w:eastAsia="zh-CN"/>
              </w:rPr>
              <w:t>）</w:t>
            </w:r>
            <w:r>
              <w:rPr>
                <w:lang w:val="en-US" w:eastAsia="zh-CN"/>
              </w:rPr>
              <w:t>，按换气次数</w:t>
            </w:r>
            <w:r>
              <w:rPr>
                <w:rFonts w:hint="eastAsia"/>
                <w:lang w:val="en-US" w:eastAsia="zh-CN"/>
              </w:rPr>
              <w:t>5</w:t>
            </w:r>
            <w:r>
              <w:rPr>
                <w:lang w:val="en-US" w:eastAsia="zh-CN"/>
              </w:rPr>
              <w:t>次/h设置抽风系统，则第一次破碎工序、第二次破碎工序、挤压造粒工序、第一次筛分工序、整形工序、喷脲工序、冷却工序、第二次筛分工序、裹油工序、铺粉工序、抛光工序所需风量为（</w:t>
            </w:r>
            <w:r>
              <w:rPr>
                <w:rFonts w:hint="eastAsia"/>
                <w:lang w:val="en-US" w:eastAsia="zh-CN"/>
              </w:rPr>
              <w:t>30</w:t>
            </w:r>
            <w:r>
              <w:rPr>
                <w:lang w:val="en-US" w:eastAsia="zh-CN"/>
              </w:rPr>
              <w:t>×2</w:t>
            </w:r>
            <w:r>
              <w:rPr>
                <w:rFonts w:hint="eastAsia"/>
                <w:lang w:val="en-US" w:eastAsia="zh-CN"/>
              </w:rPr>
              <w:t>+60×12</w:t>
            </w:r>
            <w:r>
              <w:rPr>
                <w:lang w:val="en-US" w:eastAsia="zh-CN"/>
              </w:rPr>
              <w:t>+</w:t>
            </w:r>
            <w:r>
              <w:rPr>
                <w:rFonts w:hint="eastAsia"/>
                <w:lang w:val="en-US" w:eastAsia="zh-CN"/>
              </w:rPr>
              <w:t>28.26</w:t>
            </w:r>
            <w:r>
              <w:rPr>
                <w:lang w:val="en-US" w:eastAsia="zh-CN"/>
              </w:rPr>
              <w:t>×2</w:t>
            </w:r>
            <w:r>
              <w:rPr>
                <w:rFonts w:hint="eastAsia"/>
                <w:lang w:val="en-US" w:eastAsia="zh-CN"/>
              </w:rPr>
              <w:t>+17.8+32.15+10.6</w:t>
            </w:r>
            <w:r>
              <w:rPr>
                <w:lang w:val="en-US" w:eastAsia="zh-CN"/>
              </w:rPr>
              <w:t>）*</w:t>
            </w:r>
            <w:r>
              <w:rPr>
                <w:rFonts w:hint="eastAsia"/>
                <w:lang w:val="en-US" w:eastAsia="zh-CN"/>
              </w:rPr>
              <w:t>5</w:t>
            </w:r>
            <w:r>
              <w:rPr>
                <w:lang w:val="en-US" w:eastAsia="zh-CN"/>
              </w:rPr>
              <w:t>=</w:t>
            </w:r>
            <w:r>
              <w:rPr>
                <w:rFonts w:hint="eastAsia"/>
                <w:lang w:val="en-US" w:eastAsia="zh-CN"/>
              </w:rPr>
              <w:t>4485.35</w:t>
            </w:r>
            <w:r>
              <w:rPr>
                <w:lang w:val="en-US" w:eastAsia="zh-CN"/>
              </w:rPr>
              <w:t>m</w:t>
            </w:r>
            <w:r>
              <w:rPr>
                <w:vertAlign w:val="superscript"/>
                <w:lang w:val="en-US" w:eastAsia="zh-CN"/>
              </w:rPr>
              <w:t>3</w:t>
            </w:r>
            <w:r>
              <w:rPr>
                <w:lang w:val="en-US" w:eastAsia="zh-CN"/>
              </w:rPr>
              <w:t>/h；项目挤压造粒生产线车间投料口6个，共设6个集气罩+软帘，集气罩面积为</w:t>
            </w:r>
            <w:r>
              <w:rPr>
                <w:rFonts w:hint="eastAsia"/>
                <w:lang w:val="en-US" w:eastAsia="zh-CN"/>
              </w:rPr>
              <w:t>0.2</w:t>
            </w:r>
            <w:r>
              <w:rPr>
                <w:lang w:val="en-US" w:eastAsia="zh-CN"/>
              </w:rPr>
              <w:t>m</w:t>
            </w:r>
            <w:r>
              <w:rPr>
                <w:vertAlign w:val="superscript"/>
                <w:lang w:val="en-US" w:eastAsia="zh-CN"/>
              </w:rPr>
              <w:t>2</w:t>
            </w:r>
            <w:r>
              <w:rPr>
                <w:lang w:val="en-US" w:eastAsia="zh-CN"/>
              </w:rPr>
              <w:t>（共6个，面积合计</w:t>
            </w:r>
            <w:r>
              <w:rPr>
                <w:rFonts w:hint="eastAsia"/>
                <w:lang w:val="en-US" w:eastAsia="zh-CN"/>
              </w:rPr>
              <w:t>1.2</w:t>
            </w:r>
            <w:r>
              <w:rPr>
                <w:lang w:val="en-US" w:eastAsia="zh-CN"/>
              </w:rPr>
              <w:t>m</w:t>
            </w:r>
            <w:r>
              <w:rPr>
                <w:vertAlign w:val="superscript"/>
                <w:lang w:val="en-US" w:eastAsia="zh-CN"/>
              </w:rPr>
              <w:t>2</w:t>
            </w:r>
            <w:r>
              <w:rPr>
                <w:lang w:val="en-US" w:eastAsia="zh-CN"/>
              </w:rPr>
              <w:t>）：</w:t>
            </w:r>
            <w:r>
              <w:rPr>
                <w:rFonts w:hint="eastAsia"/>
                <w:lang w:val="en-US" w:eastAsia="zh-CN"/>
              </w:rPr>
              <w:t>项目挤压造粒生产线车间包装封口机2台，</w:t>
            </w:r>
            <w:r>
              <w:rPr>
                <w:lang w:val="en-US" w:eastAsia="zh-CN"/>
              </w:rPr>
              <w:t>共设</w:t>
            </w:r>
            <w:r>
              <w:rPr>
                <w:rFonts w:hint="eastAsia"/>
                <w:lang w:val="en-US" w:eastAsia="zh-CN"/>
              </w:rPr>
              <w:t>2</w:t>
            </w:r>
            <w:r>
              <w:rPr>
                <w:lang w:val="en-US" w:eastAsia="zh-CN"/>
              </w:rPr>
              <w:t>个集气罩</w:t>
            </w:r>
            <w:r>
              <w:rPr>
                <w:rFonts w:hint="eastAsia"/>
                <w:lang w:val="en-US" w:eastAsia="zh-CN"/>
              </w:rPr>
              <w:t>+软帘</w:t>
            </w:r>
            <w:r>
              <w:rPr>
                <w:lang w:val="en-US" w:eastAsia="zh-CN"/>
              </w:rPr>
              <w:t>，集气罩面积为</w:t>
            </w:r>
            <w:r>
              <w:rPr>
                <w:rFonts w:hint="eastAsia"/>
                <w:lang w:val="en-US" w:eastAsia="zh-CN"/>
              </w:rPr>
              <w:t>0.5</w:t>
            </w:r>
            <w:r>
              <w:rPr>
                <w:lang w:val="en-US" w:eastAsia="zh-CN"/>
              </w:rPr>
              <w:t>m</w:t>
            </w:r>
            <w:r>
              <w:rPr>
                <w:vertAlign w:val="superscript"/>
                <w:lang w:val="en-US" w:eastAsia="zh-CN"/>
              </w:rPr>
              <w:t>2</w:t>
            </w:r>
            <w:r>
              <w:rPr>
                <w:lang w:val="en-US" w:eastAsia="zh-CN"/>
              </w:rPr>
              <w:t>（共2个，面积合计</w:t>
            </w:r>
            <w:r>
              <w:rPr>
                <w:rFonts w:hint="eastAsia"/>
                <w:lang w:val="en-US" w:eastAsia="zh-CN"/>
              </w:rPr>
              <w:t>1</w:t>
            </w:r>
            <w:r>
              <w:rPr>
                <w:lang w:val="en-US" w:eastAsia="zh-CN"/>
              </w:rPr>
              <w:t>m</w:t>
            </w:r>
            <w:r>
              <w:rPr>
                <w:vertAlign w:val="superscript"/>
                <w:lang w:val="en-US" w:eastAsia="zh-CN"/>
              </w:rPr>
              <w:t>2</w:t>
            </w:r>
            <w:r>
              <w:rPr>
                <w:lang w:val="en-US" w:eastAsia="zh-CN"/>
              </w:rPr>
              <w:t>）</w:t>
            </w:r>
            <w:r>
              <w:rPr>
                <w:rFonts w:hint="eastAsia"/>
                <w:lang w:val="en-US" w:eastAsia="zh-CN"/>
              </w:rPr>
              <w:t>。项目复混肥生产线车间投料口10个，包装封口机2台，共设12个集气罩+软帘，</w:t>
            </w:r>
            <w:r>
              <w:rPr>
                <w:lang w:val="en-US" w:eastAsia="zh-CN"/>
              </w:rPr>
              <w:t>集气罩面积为</w:t>
            </w:r>
            <w:r>
              <w:rPr>
                <w:rFonts w:hint="eastAsia"/>
                <w:lang w:val="en-US" w:eastAsia="zh-CN"/>
              </w:rPr>
              <w:t>0.3</w:t>
            </w:r>
            <w:r>
              <w:rPr>
                <w:lang w:val="en-US" w:eastAsia="zh-CN"/>
              </w:rPr>
              <w:t>m</w:t>
            </w:r>
            <w:r>
              <w:rPr>
                <w:vertAlign w:val="superscript"/>
                <w:lang w:val="en-US" w:eastAsia="zh-CN"/>
              </w:rPr>
              <w:t>2</w:t>
            </w:r>
            <w:r>
              <w:rPr>
                <w:lang w:val="en-US" w:eastAsia="zh-CN"/>
              </w:rPr>
              <w:t>（共</w:t>
            </w:r>
            <w:r>
              <w:rPr>
                <w:rFonts w:hint="eastAsia"/>
                <w:lang w:val="en-US" w:eastAsia="zh-CN"/>
              </w:rPr>
              <w:t>12</w:t>
            </w:r>
            <w:r>
              <w:rPr>
                <w:lang w:val="en-US" w:eastAsia="zh-CN"/>
              </w:rPr>
              <w:t>个，面积合计</w:t>
            </w:r>
            <w:r>
              <w:rPr>
                <w:rFonts w:hint="eastAsia"/>
                <w:lang w:val="en-US" w:eastAsia="zh-CN"/>
              </w:rPr>
              <w:t>3.6</w:t>
            </w:r>
            <w:r>
              <w:rPr>
                <w:lang w:val="en-US" w:eastAsia="zh-CN"/>
              </w:rPr>
              <w:t>m</w:t>
            </w:r>
            <w:r>
              <w:rPr>
                <w:vertAlign w:val="superscript"/>
                <w:lang w:val="en-US" w:eastAsia="zh-CN"/>
              </w:rPr>
              <w:t>2</w:t>
            </w:r>
            <w:r>
              <w:rPr>
                <w:lang w:val="en-US" w:eastAsia="zh-CN"/>
              </w:rPr>
              <w:t>），集气罩</w:t>
            </w:r>
            <w:r>
              <w:rPr>
                <w:rFonts w:hint="eastAsia"/>
                <w:lang w:val="en-US" w:eastAsia="zh-CN"/>
              </w:rPr>
              <w:t>均</w:t>
            </w:r>
            <w:r>
              <w:rPr>
                <w:lang w:val="en-US" w:eastAsia="zh-CN"/>
              </w:rPr>
              <w:t>紧挨产尘点，罩口风速可视为污染源处控制风速，根据《局部排风设施控制风速检测与评估技术规范》（AQ/T4274-2016），含尘废气侧吸式控制风速为1m/s，集气罩面积为</w:t>
            </w:r>
            <w:r>
              <w:rPr>
                <w:rFonts w:hint="eastAsia"/>
                <w:lang w:val="en-US" w:eastAsia="zh-CN"/>
              </w:rPr>
              <w:t>5.8</w:t>
            </w:r>
            <w:r>
              <w:rPr>
                <w:lang w:val="en-US" w:eastAsia="zh-CN"/>
              </w:rPr>
              <w:t>m</w:t>
            </w:r>
            <w:r>
              <w:rPr>
                <w:vertAlign w:val="superscript"/>
                <w:lang w:val="en-US" w:eastAsia="zh-CN"/>
              </w:rPr>
              <w:t>2</w:t>
            </w:r>
            <w:r>
              <w:rPr>
                <w:lang w:val="en-US" w:eastAsia="zh-CN"/>
              </w:rPr>
              <w:t>，根据《排风罩的分类及技术条件》（GB/T16758-2008），排风罩风量计算公式如下：</w:t>
            </w:r>
          </w:p>
          <w:p>
            <w:pPr>
              <w:pStyle w:val="15"/>
              <w:rPr>
                <w:lang w:val="en-US" w:eastAsia="zh-CN"/>
              </w:rPr>
            </w:pPr>
            <w:r>
              <w:rPr>
                <w:lang w:val="en-US" w:eastAsia="zh-CN"/>
              </w:rPr>
              <w:t>Q=F·v</w:t>
            </w:r>
          </w:p>
          <w:p>
            <w:pPr>
              <w:pStyle w:val="15"/>
              <w:rPr>
                <w:lang w:val="en-US" w:eastAsia="zh-CN"/>
              </w:rPr>
            </w:pPr>
            <w:r>
              <w:rPr>
                <w:lang w:val="en-US" w:eastAsia="zh-CN"/>
              </w:rPr>
              <w:t>式中：Q-排气罩的排放量，m</w:t>
            </w:r>
            <w:r>
              <w:rPr>
                <w:vertAlign w:val="superscript"/>
                <w:lang w:val="en-US" w:eastAsia="zh-CN"/>
              </w:rPr>
              <w:t>3</w:t>
            </w:r>
            <w:r>
              <w:rPr>
                <w:lang w:val="en-US" w:eastAsia="zh-CN"/>
              </w:rPr>
              <w:t>/s；</w:t>
            </w:r>
          </w:p>
          <w:p>
            <w:pPr>
              <w:pStyle w:val="15"/>
              <w:rPr>
                <w:lang w:val="en-US" w:eastAsia="zh-CN"/>
              </w:rPr>
            </w:pPr>
            <w:r>
              <w:rPr>
                <w:lang w:val="en-US" w:eastAsia="zh-CN"/>
              </w:rPr>
              <w:t>F-排风罩罩口面积，m</w:t>
            </w:r>
            <w:r>
              <w:rPr>
                <w:vertAlign w:val="superscript"/>
                <w:lang w:val="en-US" w:eastAsia="zh-CN"/>
              </w:rPr>
              <w:t>2</w:t>
            </w:r>
            <w:r>
              <w:rPr>
                <w:lang w:val="en-US" w:eastAsia="zh-CN"/>
              </w:rPr>
              <w:t>；</w:t>
            </w:r>
          </w:p>
          <w:p>
            <w:pPr>
              <w:pStyle w:val="15"/>
              <w:rPr>
                <w:lang w:val="en-US" w:eastAsia="zh-CN"/>
              </w:rPr>
            </w:pPr>
            <w:r>
              <w:rPr>
                <w:lang w:val="en-US" w:eastAsia="zh-CN"/>
              </w:rPr>
              <w:t>v-排风罩罩口平均风速，m/s。</w:t>
            </w:r>
          </w:p>
          <w:p>
            <w:pPr>
              <w:pStyle w:val="15"/>
              <w:rPr>
                <w:lang w:val="en-US" w:eastAsia="zh-CN"/>
              </w:rPr>
            </w:pPr>
            <w:r>
              <w:rPr>
                <w:lang w:val="en-US" w:eastAsia="zh-CN"/>
              </w:rPr>
              <w:t>经计算，挤压造粒生产线车间</w:t>
            </w:r>
            <w:r>
              <w:rPr>
                <w:rFonts w:hint="eastAsia"/>
                <w:lang w:val="en-US" w:eastAsia="zh-CN"/>
              </w:rPr>
              <w:t>装袋</w:t>
            </w:r>
            <w:r>
              <w:rPr>
                <w:lang w:val="en-US" w:eastAsia="zh-CN"/>
              </w:rPr>
              <w:t>工序</w:t>
            </w:r>
            <w:r>
              <w:rPr>
                <w:rFonts w:hint="eastAsia"/>
                <w:lang w:val="en-US" w:eastAsia="zh-CN"/>
              </w:rPr>
              <w:t>和复混肥生产线车间投料工序、装袋工序</w:t>
            </w:r>
            <w:r>
              <w:rPr>
                <w:lang w:val="en-US" w:eastAsia="zh-CN"/>
              </w:rPr>
              <w:t>所需要的风量为</w:t>
            </w:r>
            <w:r>
              <w:rPr>
                <w:rFonts w:hint="eastAsia"/>
                <w:lang w:val="en-US" w:eastAsia="zh-CN"/>
              </w:rPr>
              <w:t>20800</w:t>
            </w:r>
            <w:r>
              <w:rPr>
                <w:lang w:val="en-US" w:eastAsia="zh-CN"/>
              </w:rPr>
              <w:t>m</w:t>
            </w:r>
            <w:r>
              <w:rPr>
                <w:vertAlign w:val="superscript"/>
                <w:lang w:val="en-US" w:eastAsia="zh-CN"/>
              </w:rPr>
              <w:t>3</w:t>
            </w:r>
            <w:r>
              <w:rPr>
                <w:lang w:val="en-US" w:eastAsia="zh-CN"/>
              </w:rPr>
              <w:t>/h。</w:t>
            </w:r>
          </w:p>
          <w:p>
            <w:pPr>
              <w:pStyle w:val="15"/>
              <w:rPr>
                <w:lang w:val="en-US" w:eastAsia="zh-CN"/>
              </w:rPr>
            </w:pPr>
            <w:r>
              <w:rPr>
                <w:lang w:val="en-US" w:eastAsia="zh-CN"/>
              </w:rPr>
              <w:t>项目挤压造粒生产线车间第一次破碎工序、第二次破碎工序、挤压造粒工序、第一次筛分工序、整形工序、喷脲工序、冷却工序、第二次筛分工序、裹油工序、铺粉工序、抛光工序</w:t>
            </w:r>
            <w:r>
              <w:rPr>
                <w:rFonts w:hint="eastAsia"/>
                <w:lang w:val="en-US" w:eastAsia="zh-CN"/>
              </w:rPr>
              <w:t>、装袋</w:t>
            </w:r>
            <w:r>
              <w:rPr>
                <w:lang w:val="en-US" w:eastAsia="zh-CN"/>
              </w:rPr>
              <w:t>工序</w:t>
            </w:r>
            <w:r>
              <w:rPr>
                <w:rFonts w:hint="eastAsia"/>
                <w:lang w:val="en-US" w:eastAsia="zh-CN"/>
              </w:rPr>
              <w:t>和复混肥生产线车间投料工序、装袋工序</w:t>
            </w:r>
            <w:r>
              <w:rPr>
                <w:lang w:val="en-US" w:eastAsia="zh-CN"/>
              </w:rPr>
              <w:t>所需风量为</w:t>
            </w:r>
            <w:r>
              <w:rPr>
                <w:rFonts w:hint="eastAsia"/>
                <w:lang w:val="en-US" w:eastAsia="zh-CN"/>
              </w:rPr>
              <w:t>25365.35</w:t>
            </w:r>
            <w:r>
              <w:rPr>
                <w:lang w:val="en-US" w:eastAsia="zh-CN"/>
              </w:rPr>
              <w:t>m</w:t>
            </w:r>
            <w:r>
              <w:rPr>
                <w:vertAlign w:val="superscript"/>
                <w:lang w:val="en-US" w:eastAsia="zh-CN"/>
              </w:rPr>
              <w:t>3</w:t>
            </w:r>
            <w:r>
              <w:rPr>
                <w:lang w:val="en-US" w:eastAsia="zh-CN"/>
              </w:rPr>
              <w:t>/h，</w:t>
            </w:r>
            <w:r>
              <w:rPr>
                <w:rFonts w:hint="eastAsia"/>
                <w:lang w:val="en-US" w:eastAsia="zh-CN"/>
              </w:rPr>
              <w:t>现有</w:t>
            </w:r>
            <w:r>
              <w:rPr>
                <w:lang w:val="en-US" w:eastAsia="zh-CN"/>
              </w:rPr>
              <w:t>P</w:t>
            </w:r>
            <w:r>
              <w:rPr>
                <w:rFonts w:hint="eastAsia"/>
                <w:lang w:val="en-US" w:eastAsia="zh-CN"/>
              </w:rPr>
              <w:t>2</w:t>
            </w:r>
            <w:r>
              <w:rPr>
                <w:lang w:val="en-US" w:eastAsia="zh-CN"/>
              </w:rPr>
              <w:t>排气筒设置风机风量为2</w:t>
            </w:r>
            <w:r>
              <w:rPr>
                <w:rFonts w:hint="eastAsia"/>
                <w:lang w:val="en-US" w:eastAsia="zh-CN"/>
              </w:rPr>
              <w:t>8</w:t>
            </w:r>
            <w:r>
              <w:rPr>
                <w:lang w:val="en-US" w:eastAsia="zh-CN"/>
              </w:rPr>
              <w:t>000m</w:t>
            </w:r>
            <w:r>
              <w:rPr>
                <w:vertAlign w:val="superscript"/>
                <w:lang w:val="en-US" w:eastAsia="zh-CN"/>
              </w:rPr>
              <w:t>3</w:t>
            </w:r>
            <w:r>
              <w:rPr>
                <w:lang w:val="en-US" w:eastAsia="zh-CN"/>
              </w:rPr>
              <w:t>/h，可满足生产需求</w:t>
            </w:r>
            <w:r>
              <w:rPr>
                <w:rFonts w:hint="eastAsia"/>
                <w:lang w:val="en-US" w:eastAsia="zh-CN"/>
              </w:rPr>
              <w:t>，</w:t>
            </w:r>
            <w:r>
              <w:rPr>
                <w:lang w:val="en-US" w:eastAsia="zh-CN"/>
              </w:rPr>
              <w:t>年工作4800h。</w:t>
            </w:r>
          </w:p>
          <w:p>
            <w:pPr>
              <w:rPr>
                <w:rFonts w:cs="Times New Roman"/>
                <w:color w:val="auto"/>
                <w:lang w:val="en-US" w:eastAsia="zh-CN"/>
              </w:rPr>
            </w:pPr>
            <w:r>
              <w:rPr>
                <w:rFonts w:cs="Times New Roman" w:hint="eastAsia"/>
                <w:color w:val="auto"/>
                <w:lang w:val="en-US" w:eastAsia="zh-CN"/>
              </w:rPr>
              <w:t>颗粒物：</w:t>
            </w:r>
          </w:p>
          <w:p>
            <w:pPr>
              <w:pStyle w:val="15"/>
              <w:rPr>
                <w:rFonts w:cs="Times New Roman"/>
                <w:color w:val="auto"/>
                <w:lang w:val="en-US" w:eastAsia="zh-CN"/>
                <w:highlight w:val="yellow"/>
              </w:rPr>
            </w:pPr>
            <w:r>
              <w:rPr>
                <w:rFonts w:cs="Times New Roman" w:hint="eastAsia"/>
                <w:color w:val="auto"/>
                <w:lang w:val="en-US" w:eastAsia="zh-CN"/>
              </w:rPr>
              <w:t>挤压造粒生产线车间投料工序、第一次破碎工序、第二次破碎工序、挤压造粒工序、第一次筛分工序、整形工序、喷脲工序、冷却工序、第二次筛分工序、裹油工序、铺粉工序、抛光工序、装袋工序颗粒物产生量参考《排污许可证申请与核发技术规范磷肥、钾肥、复合肥料、有机肥料及微生物肥料工业》（HJ 864.2-2018）中附录C（C.2复混肥制造业废气产排污系数表）可知：≤30万吨/年，工业粉尘产污系数为5.60千克/吨-产品，挤压造粒生产线车间投料工序、第一次破碎工序、第二次破碎工序、挤压造粒工序、第一次筛分工序、整形工序、喷脲工序、冷却工序、第二次筛分工序、裹油工序、铺粉工序、抛光工序、装袋工序用量为5万吨，颗粒物产生量为280t；复混肥生产线车间投料工序、包装工序颗粒物产生量参考《排污许可证申请与核发技术规范磷肥、钾肥、复合肥料、有机肥料及微生物肥料工业》（HJ 864.2-2018）中附录C（C.2复混肥制造业废气产排污系数表）可知：≤30万吨/年，工业粉尘产污系数为5.60千克/吨-产品，复混肥生产线车间投料工序、包装工序产品为10万吨，颗粒物产生量为560t。废气经集气罩+软帘+管道收集（综合收集效率以95%计）通过旋风除尘器TA001+布袋除尘器TA002（对颗粒物的去除效率为99.9%）+二级活性炭吸附装置TA002处理后由15m排气筒（P2）排放，</w:t>
            </w:r>
            <w:r>
              <w:rPr>
                <w:rFonts w:cs="Times New Roman" w:hint="eastAsia"/>
                <w:color w:val="auto"/>
                <w:lang w:val="en-US" w:eastAsia="zh-CN"/>
                <w:highlight w:val="none"/>
              </w:rPr>
              <w:t>则颗粒物的产生量为840t，颗粒物的产生浓度为5937.5mg/m</w:t>
            </w:r>
            <w:r>
              <w:rPr>
                <w:rFonts w:cs="Times New Roman" w:hint="eastAsia"/>
                <w:color w:val="auto"/>
                <w:vertAlign w:val="superscript"/>
                <w:lang w:val="en-US" w:eastAsia="zh-CN"/>
                <w:highlight w:val="none"/>
              </w:rPr>
              <w:t>3</w:t>
            </w:r>
            <w:r>
              <w:rPr>
                <w:rFonts w:cs="Times New Roman" w:hint="eastAsia"/>
                <w:color w:val="auto"/>
                <w:lang w:val="en-US" w:eastAsia="zh-CN"/>
                <w:highlight w:val="none"/>
              </w:rPr>
              <w:t>，颗粒物的产生速率为166.25kg/h；颗粒物排放量为0.798t/a，颗粒物的排放浓度为5.9mg/m</w:t>
            </w:r>
            <w:r>
              <w:rPr>
                <w:rFonts w:cs="Times New Roman" w:hint="eastAsia"/>
                <w:color w:val="auto"/>
                <w:vertAlign w:val="superscript"/>
                <w:lang w:val="en-US" w:eastAsia="zh-CN"/>
                <w:highlight w:val="none"/>
              </w:rPr>
              <w:t>3</w:t>
            </w:r>
            <w:r>
              <w:rPr>
                <w:rFonts w:cs="Times New Roman" w:hint="eastAsia"/>
                <w:color w:val="auto"/>
                <w:lang w:val="en-US" w:eastAsia="zh-CN"/>
                <w:highlight w:val="none"/>
              </w:rPr>
              <w:t>，颗粒物的排放速率为0.166kg/h。</w:t>
            </w:r>
          </w:p>
          <w:p>
            <w:pPr>
              <w:rPr>
                <w:rFonts w:cs="Times New Roman" w:hint="eastAsia"/>
                <w:color w:val="auto"/>
                <w:lang w:val="en-US" w:eastAsia="zh-CN"/>
              </w:rPr>
            </w:pPr>
            <w:r>
              <w:rPr>
                <w:rFonts w:cs="Times New Roman" w:hint="eastAsia"/>
                <w:color w:val="auto"/>
                <w:lang w:val="en-US" w:eastAsia="zh-CN"/>
              </w:rPr>
              <w:t>氨：</w:t>
            </w:r>
          </w:p>
          <w:p>
            <w:pPr>
              <w:keepNext w:val="0"/>
              <w:keepLines w:val="0"/>
              <w:widowControl/>
              <w:suppressLineNumbers w:val="0"/>
              <w:jc w:val="left"/>
              <w:rPr>
                <w:rFonts w:cs="Times New Roman" w:hint="eastAsia"/>
                <w:color w:val="auto"/>
                <w:kern w:val="0"/>
                <w:sz w:val="24"/>
                <w:szCs w:val="24"/>
                <w:lang w:val="en-US" w:eastAsia="zh-CN"/>
                <w:highlight w:val="yellow"/>
              </w:rPr>
            </w:pPr>
            <w:r>
              <w:rPr>
                <w:rFonts w:ascii="Times New Roman" w:eastAsia="宋体" w:cs="Times New Roman" w:hAnsi="Times New Roman" w:hint="eastAsia"/>
                <w:color w:val="auto"/>
                <w:lang w:val="en-US" w:eastAsia="zh-CN"/>
              </w:rPr>
              <w:t>本次技改</w:t>
            </w:r>
            <w:r>
              <w:rPr>
                <w:rFonts w:cs="Times New Roman" w:hint="eastAsia"/>
                <w:color w:val="auto"/>
                <w:lang w:val="en-US" w:eastAsia="zh-CN"/>
              </w:rPr>
              <w:t>在</w:t>
            </w:r>
            <w:r>
              <w:rPr>
                <w:rFonts w:ascii="Times New Roman" w:eastAsia="宋体" w:cs="Times New Roman" w:hAnsi="Times New Roman" w:hint="eastAsia"/>
                <w:color w:val="auto"/>
                <w:lang w:val="en-US" w:eastAsia="zh-CN"/>
              </w:rPr>
              <w:t>挤压造粒</w:t>
            </w:r>
            <w:r>
              <w:rPr>
                <w:rFonts w:cs="Times New Roman" w:hint="eastAsia"/>
                <w:color w:val="auto"/>
                <w:lang w:val="en-US" w:eastAsia="zh-CN"/>
              </w:rPr>
              <w:t>生产线增加整形、喷脲、裹油、铺粉</w:t>
            </w:r>
            <w:r>
              <w:rPr>
                <w:rFonts w:ascii="Times New Roman" w:eastAsia="宋体" w:cs="Times New Roman" w:hAnsi="Times New Roman" w:hint="eastAsia"/>
                <w:color w:val="auto"/>
                <w:lang w:val="en-US" w:eastAsia="zh-CN"/>
              </w:rPr>
              <w:t>工艺，其余生产工艺</w:t>
            </w:r>
            <w:r>
              <w:rPr>
                <w:rFonts w:cs="Times New Roman" w:hint="eastAsia"/>
                <w:color w:val="auto"/>
                <w:lang w:val="en-US" w:eastAsia="zh-CN"/>
              </w:rPr>
              <w:t>、</w:t>
            </w:r>
            <w:r>
              <w:rPr>
                <w:rFonts w:ascii="Times New Roman" w:eastAsia="宋体" w:cs="Times New Roman" w:hAnsi="Times New Roman" w:hint="eastAsia"/>
                <w:color w:val="auto"/>
                <w:lang w:val="en-US" w:eastAsia="zh-CN"/>
              </w:rPr>
              <w:t>产排污环节</w:t>
            </w:r>
            <w:r>
              <w:rPr>
                <w:rFonts w:cs="Times New Roman" w:hint="eastAsia"/>
                <w:color w:val="auto"/>
                <w:lang w:val="en-US" w:eastAsia="zh-CN"/>
              </w:rPr>
              <w:t>及原料</w:t>
            </w:r>
            <w:r>
              <w:rPr>
                <w:rFonts w:ascii="Times New Roman" w:eastAsia="宋体" w:cs="Times New Roman" w:hAnsi="Times New Roman" w:hint="eastAsia"/>
                <w:color w:val="auto"/>
                <w:lang w:val="en-US" w:eastAsia="zh-CN"/>
              </w:rPr>
              <w:t>与本项目技改前一致</w:t>
            </w:r>
            <w:r>
              <w:rPr>
                <w:rFonts w:cs="Times New Roman" w:hint="eastAsia"/>
                <w:color w:val="auto"/>
                <w:lang w:val="en-US" w:eastAsia="zh-CN"/>
              </w:rPr>
              <w:t>。</w:t>
            </w:r>
            <w:r>
              <w:rPr>
                <w:rFonts w:ascii="宋体" w:eastAsia="宋体" w:cs="宋体" w:hAnsi="宋体" w:hint="eastAsia"/>
                <w:color w:val="auto"/>
                <w:kern w:val="0"/>
                <w:sz w:val="24"/>
                <w:szCs w:val="24"/>
                <w:lang w:val="en-US" w:eastAsia="zh-CN"/>
              </w:rPr>
              <w:t>根</w:t>
            </w:r>
            <w:r>
              <w:rPr>
                <w:rFonts w:ascii="Times New Roman" w:eastAsia="宋体" w:cs="Times New Roman" w:hAnsi="Times New Roman"/>
                <w:color w:val="auto"/>
                <w:kern w:val="0"/>
                <w:sz w:val="24"/>
                <w:szCs w:val="24"/>
                <w:lang w:val="en-US" w:eastAsia="zh-CN"/>
              </w:rPr>
              <w:t>据河北环海检测科技有限公司202</w:t>
            </w:r>
            <w:r>
              <w:rPr>
                <w:rFonts w:cs="Times New Roman" w:hint="eastAsia"/>
                <w:color w:val="auto"/>
                <w:kern w:val="0"/>
                <w:sz w:val="24"/>
                <w:szCs w:val="24"/>
                <w:lang w:val="en-US" w:eastAsia="zh-CN"/>
              </w:rPr>
              <w:t>5</w:t>
            </w:r>
            <w:r>
              <w:rPr>
                <w:rFonts w:ascii="Times New Roman" w:eastAsia="宋体" w:cs="Times New Roman" w:hAnsi="Times New Roman"/>
                <w:color w:val="auto"/>
                <w:kern w:val="0"/>
                <w:sz w:val="24"/>
                <w:szCs w:val="24"/>
                <w:lang w:val="en-US" w:eastAsia="zh-CN"/>
              </w:rPr>
              <w:t>年</w:t>
            </w:r>
            <w:r>
              <w:rPr>
                <w:rFonts w:cs="Times New Roman" w:hint="eastAsia"/>
                <w:color w:val="auto"/>
                <w:kern w:val="0"/>
                <w:sz w:val="24"/>
                <w:szCs w:val="24"/>
                <w:lang w:val="en-US" w:eastAsia="zh-CN"/>
              </w:rPr>
              <w:t>6</w:t>
            </w:r>
            <w:r>
              <w:rPr>
                <w:rFonts w:ascii="Times New Roman" w:eastAsia="宋体" w:cs="Times New Roman" w:hAnsi="Times New Roman"/>
                <w:color w:val="auto"/>
                <w:kern w:val="0"/>
                <w:sz w:val="24"/>
                <w:szCs w:val="24"/>
                <w:lang w:val="en-US" w:eastAsia="zh-CN"/>
              </w:rPr>
              <w:t>月</w:t>
            </w:r>
            <w:r>
              <w:rPr>
                <w:rFonts w:cs="Times New Roman" w:hint="eastAsia"/>
                <w:color w:val="auto"/>
                <w:kern w:val="0"/>
                <w:sz w:val="24"/>
                <w:szCs w:val="24"/>
                <w:lang w:val="en-US" w:eastAsia="zh-CN"/>
              </w:rPr>
              <w:t>30</w:t>
            </w:r>
            <w:r>
              <w:rPr>
                <w:rFonts w:ascii="Times New Roman" w:eastAsia="宋体" w:cs="Times New Roman" w:hAnsi="Times New Roman"/>
                <w:color w:val="auto"/>
                <w:kern w:val="0"/>
                <w:sz w:val="24"/>
                <w:szCs w:val="24"/>
                <w:lang w:val="en-US" w:eastAsia="zh-CN"/>
              </w:rPr>
              <w:t>日为河北卓峰化肥有限公司出具的检测报告（HHJC自行监测【2025】</w:t>
            </w:r>
            <w:r>
              <w:rPr>
                <w:rFonts w:cs="Times New Roman" w:hint="eastAsia"/>
                <w:color w:val="auto"/>
                <w:kern w:val="0"/>
                <w:sz w:val="24"/>
                <w:szCs w:val="24"/>
                <w:lang w:val="en-US" w:eastAsia="zh-CN"/>
              </w:rPr>
              <w:t>369</w:t>
            </w:r>
            <w:r>
              <w:rPr>
                <w:rFonts w:ascii="Times New Roman" w:eastAsia="宋体" w:cs="Times New Roman" w:hAnsi="Times New Roman"/>
                <w:color w:val="auto"/>
                <w:kern w:val="0"/>
                <w:sz w:val="24"/>
                <w:szCs w:val="24"/>
                <w:lang w:val="en-US" w:eastAsia="zh-CN"/>
              </w:rPr>
              <w:t>号）可知：排气筒出口（P2）</w:t>
            </w:r>
            <w:r>
              <w:rPr>
                <w:rFonts w:cs="Times New Roman" w:hint="eastAsia"/>
                <w:color w:val="auto"/>
                <w:kern w:val="0"/>
                <w:sz w:val="24"/>
                <w:szCs w:val="24"/>
                <w:lang w:val="en-US" w:eastAsia="zh-CN"/>
              </w:rPr>
              <w:t>标干流量最大值</w:t>
            </w:r>
            <w:r>
              <w:rPr>
                <w:rFonts w:ascii="Times New Roman" w:eastAsia="宋体" w:cs="Times New Roman" w:hAnsi="Times New Roman"/>
                <w:color w:val="auto"/>
                <w:kern w:val="0"/>
                <w:sz w:val="24"/>
                <w:szCs w:val="24"/>
                <w:lang w:val="en-US" w:eastAsia="zh-CN"/>
              </w:rPr>
              <w:t>为</w:t>
            </w:r>
            <w:r>
              <w:rPr>
                <w:rFonts w:cs="Times New Roman" w:hint="eastAsia"/>
                <w:color w:val="auto"/>
                <w:kern w:val="0"/>
                <w:sz w:val="24"/>
                <w:szCs w:val="24"/>
                <w:lang w:val="en-US" w:eastAsia="zh-CN"/>
              </w:rPr>
              <w:t>22070</w:t>
            </w:r>
            <w:r>
              <w:rPr>
                <w:rFonts w:ascii="Times New Roman" w:eastAsia="宋体" w:cs="Times New Roman" w:hAnsi="Times New Roman"/>
                <w:color w:val="auto"/>
                <w:kern w:val="0"/>
                <w:sz w:val="24"/>
                <w:szCs w:val="24"/>
                <w:lang w:val="en-US" w:eastAsia="zh-CN"/>
              </w:rPr>
              <w:t>m</w:t>
            </w:r>
            <w:r>
              <w:rPr>
                <w:rFonts w:ascii="Times New Roman" w:eastAsia="宋体" w:cs="Times New Roman" w:hAnsi="Times New Roman"/>
                <w:color w:val="auto"/>
                <w:kern w:val="0"/>
                <w:sz w:val="24"/>
                <w:szCs w:val="24"/>
                <w:vertAlign w:val="superscript"/>
                <w:lang w:val="en-US" w:eastAsia="zh-CN"/>
              </w:rPr>
              <w:t>3</w:t>
            </w:r>
            <w:r>
              <w:rPr>
                <w:rFonts w:ascii="Times New Roman" w:eastAsia="宋体" w:cs="Times New Roman" w:hAnsi="Times New Roman"/>
                <w:color w:val="auto"/>
                <w:kern w:val="0"/>
                <w:sz w:val="24"/>
                <w:szCs w:val="24"/>
                <w:lang w:val="en-US" w:eastAsia="zh-CN"/>
              </w:rPr>
              <w:t>/h</w:t>
            </w:r>
            <w:r>
              <w:rPr>
                <w:rFonts w:ascii="Times New Roman" w:eastAsia="宋体" w:cs="Times New Roman" w:hAnsi="Times New Roman" w:hint="eastAsia"/>
                <w:color w:val="auto"/>
                <w:kern w:val="0"/>
                <w:sz w:val="24"/>
                <w:szCs w:val="24"/>
                <w:lang w:val="en-US" w:eastAsia="zh-CN"/>
              </w:rPr>
              <w:t>，氨排放浓度</w:t>
            </w:r>
            <w:r>
              <w:rPr>
                <w:rFonts w:cs="Times New Roman" w:hint="eastAsia"/>
                <w:color w:val="auto"/>
                <w:kern w:val="0"/>
                <w:sz w:val="24"/>
                <w:szCs w:val="24"/>
                <w:lang w:val="en-US" w:eastAsia="zh-CN"/>
              </w:rPr>
              <w:t>最大值</w:t>
            </w:r>
            <w:r>
              <w:rPr>
                <w:rFonts w:ascii="Times New Roman" w:eastAsia="宋体" w:cs="Times New Roman" w:hAnsi="Times New Roman" w:hint="eastAsia"/>
                <w:color w:val="auto"/>
                <w:kern w:val="0"/>
                <w:sz w:val="24"/>
                <w:szCs w:val="24"/>
                <w:lang w:val="en-US" w:eastAsia="zh-CN"/>
              </w:rPr>
              <w:t>为</w:t>
            </w:r>
            <w:r>
              <w:rPr>
                <w:rFonts w:cs="Times New Roman" w:hint="eastAsia"/>
                <w:color w:val="auto"/>
                <w:kern w:val="0"/>
                <w:sz w:val="24"/>
                <w:szCs w:val="24"/>
                <w:lang w:val="en-US" w:eastAsia="zh-CN"/>
              </w:rPr>
              <w:t>1.45</w:t>
            </w:r>
            <w:r>
              <w:rPr>
                <w:rFonts w:ascii="Times New Roman" w:eastAsia="宋体" w:cs="Times New Roman" w:hAnsi="Times New Roman" w:hint="eastAsia"/>
                <w:color w:val="auto"/>
                <w:kern w:val="0"/>
                <w:sz w:val="24"/>
                <w:szCs w:val="24"/>
                <w:lang w:val="en-US" w:eastAsia="zh-CN"/>
              </w:rPr>
              <w:t>mg/m</w:t>
            </w:r>
            <w:r>
              <w:rPr>
                <w:rFonts w:ascii="Times New Roman" w:eastAsia="宋体" w:cs="Times New Roman" w:hAnsi="Times New Roman" w:hint="eastAsia"/>
                <w:color w:val="auto"/>
                <w:kern w:val="0"/>
                <w:sz w:val="24"/>
                <w:szCs w:val="24"/>
                <w:vertAlign w:val="superscript"/>
                <w:lang w:val="en-US" w:eastAsia="zh-CN"/>
              </w:rPr>
              <w:t>3</w:t>
            </w:r>
            <w:r>
              <w:rPr>
                <w:rFonts w:ascii="Times New Roman" w:eastAsia="宋体" w:cs="Times New Roman" w:hAnsi="Times New Roman" w:hint="eastAsia"/>
                <w:color w:val="auto"/>
                <w:kern w:val="0"/>
                <w:sz w:val="24"/>
                <w:szCs w:val="24"/>
                <w:lang w:val="en-US" w:eastAsia="zh-CN"/>
              </w:rPr>
              <w:t>，</w:t>
            </w:r>
            <w:r>
              <w:rPr>
                <w:rFonts w:ascii="Times New Roman" w:eastAsia="宋体" w:cs="Times New Roman" w:hAnsi="Times New Roman"/>
                <w:color w:val="auto"/>
                <w:kern w:val="0"/>
                <w:sz w:val="24"/>
                <w:szCs w:val="24"/>
                <w:lang w:val="en-US" w:eastAsia="zh-CN"/>
              </w:rPr>
              <w:t>氨排放速率</w:t>
            </w:r>
            <w:r>
              <w:rPr>
                <w:rFonts w:cs="Times New Roman" w:hint="eastAsia"/>
                <w:color w:val="auto"/>
                <w:kern w:val="0"/>
                <w:sz w:val="24"/>
                <w:szCs w:val="24"/>
                <w:lang w:val="en-US" w:eastAsia="zh-CN"/>
              </w:rPr>
              <w:t>最大值</w:t>
            </w:r>
            <w:r>
              <w:rPr>
                <w:rFonts w:ascii="Times New Roman" w:eastAsia="宋体" w:cs="Times New Roman" w:hAnsi="Times New Roman"/>
                <w:color w:val="auto"/>
                <w:kern w:val="0"/>
                <w:sz w:val="24"/>
                <w:szCs w:val="24"/>
                <w:lang w:val="en-US" w:eastAsia="zh-CN"/>
              </w:rPr>
              <w:t>为0.0</w:t>
            </w:r>
            <w:r>
              <w:rPr>
                <w:rFonts w:cs="Times New Roman" w:hint="eastAsia"/>
                <w:color w:val="auto"/>
                <w:kern w:val="0"/>
                <w:sz w:val="24"/>
                <w:szCs w:val="24"/>
                <w:lang w:val="en-US" w:eastAsia="zh-CN"/>
              </w:rPr>
              <w:t>29</w:t>
            </w:r>
            <w:r>
              <w:rPr>
                <w:rFonts w:ascii="Times New Roman" w:eastAsia="宋体" w:cs="Times New Roman" w:hAnsi="Times New Roman"/>
                <w:color w:val="auto"/>
                <w:kern w:val="0"/>
                <w:sz w:val="24"/>
                <w:szCs w:val="24"/>
                <w:lang w:val="en-US" w:eastAsia="zh-CN"/>
              </w:rPr>
              <w:t>kg/h，</w:t>
            </w:r>
            <w:r>
              <w:rPr>
                <w:rFonts w:ascii="Times New Roman" w:eastAsia="宋体" w:cs="Times New Roman" w:hAnsi="Times New Roman" w:hint="eastAsia"/>
                <w:color w:val="auto"/>
                <w:kern w:val="0"/>
                <w:sz w:val="24"/>
                <w:szCs w:val="24"/>
                <w:lang w:val="en-US" w:eastAsia="zh-CN"/>
              </w:rPr>
              <w:t>检测工况</w:t>
            </w:r>
            <w:r>
              <w:rPr>
                <w:rFonts w:cs="Times New Roman" w:hint="eastAsia"/>
                <w:color w:val="auto"/>
                <w:kern w:val="0"/>
                <w:sz w:val="24"/>
                <w:szCs w:val="24"/>
                <w:lang w:val="en-US" w:eastAsia="zh-CN"/>
              </w:rPr>
              <w:t>100</w:t>
            </w:r>
            <w:r>
              <w:rPr>
                <w:rFonts w:ascii="Times New Roman" w:eastAsia="宋体" w:cs="Times New Roman" w:hAnsi="Times New Roman" w:hint="eastAsia"/>
                <w:color w:val="auto"/>
                <w:kern w:val="0"/>
                <w:sz w:val="24"/>
                <w:szCs w:val="24"/>
                <w:lang w:val="en-US" w:eastAsia="zh-CN"/>
              </w:rPr>
              <w:t>%，生产时间4800h/a</w:t>
            </w:r>
            <w:r>
              <w:rPr>
                <w:rFonts w:cs="Times New Roman" w:hint="eastAsia"/>
                <w:color w:val="auto"/>
                <w:kern w:val="0"/>
                <w:sz w:val="24"/>
                <w:szCs w:val="24"/>
                <w:lang w:val="en-US" w:eastAsia="zh-CN"/>
              </w:rPr>
              <w:t>，经计算</w:t>
            </w:r>
            <w:r>
              <w:rPr>
                <w:rFonts w:ascii="Times New Roman" w:eastAsia="宋体" w:cs="Times New Roman" w:hAnsi="Times New Roman" w:hint="eastAsia"/>
                <w:color w:val="auto"/>
                <w:kern w:val="0"/>
                <w:sz w:val="24"/>
                <w:szCs w:val="24"/>
                <w:lang w:val="en-US" w:eastAsia="zh-CN"/>
                <w:highlight w:val="none"/>
              </w:rPr>
              <w:t>氨排放量为0.</w:t>
            </w:r>
            <w:r>
              <w:rPr>
                <w:rFonts w:cs="Times New Roman" w:hint="eastAsia"/>
                <w:color w:val="auto"/>
                <w:kern w:val="0"/>
                <w:sz w:val="24"/>
                <w:szCs w:val="24"/>
                <w:lang w:val="en-US" w:eastAsia="zh-CN"/>
                <w:highlight w:val="none"/>
              </w:rPr>
              <w:t>154</w:t>
            </w:r>
            <w:r>
              <w:rPr>
                <w:rFonts w:ascii="Times New Roman" w:eastAsia="宋体" w:cs="Times New Roman" w:hAnsi="Times New Roman" w:hint="eastAsia"/>
                <w:color w:val="auto"/>
                <w:kern w:val="0"/>
                <w:sz w:val="24"/>
                <w:szCs w:val="24"/>
                <w:lang w:val="en-US" w:eastAsia="zh-CN"/>
                <w:highlight w:val="none"/>
              </w:rPr>
              <w:t>t/a，</w:t>
            </w:r>
            <w:r>
              <w:rPr>
                <w:rFonts w:cs="Times New Roman" w:hint="eastAsia"/>
                <w:color w:val="auto"/>
                <w:kern w:val="0"/>
                <w:sz w:val="24"/>
                <w:szCs w:val="24"/>
                <w:lang w:val="en-US" w:eastAsia="zh-CN"/>
                <w:highlight w:val="none"/>
              </w:rPr>
              <w:t>现有</w:t>
            </w:r>
            <w:r>
              <w:rPr>
                <w:rFonts w:ascii="Times New Roman" w:eastAsia="宋体" w:cs="Times New Roman" w:hAnsi="Times New Roman" w:hint="eastAsia"/>
                <w:color w:val="auto"/>
                <w:kern w:val="0"/>
                <w:sz w:val="24"/>
                <w:szCs w:val="24"/>
                <w:lang w:val="en-US" w:eastAsia="zh-CN"/>
                <w:highlight w:val="none"/>
              </w:rPr>
              <w:t>治理设施对氨去除效率为0%，则氨产生量为0.</w:t>
            </w:r>
            <w:r>
              <w:rPr>
                <w:rFonts w:cs="Times New Roman" w:hint="eastAsia"/>
                <w:color w:val="auto"/>
                <w:kern w:val="0"/>
                <w:sz w:val="24"/>
                <w:szCs w:val="24"/>
                <w:lang w:val="en-US" w:eastAsia="zh-CN"/>
                <w:highlight w:val="none"/>
              </w:rPr>
              <w:t>154</w:t>
            </w:r>
            <w:r>
              <w:rPr>
                <w:rFonts w:ascii="Times New Roman" w:eastAsia="宋体" w:cs="Times New Roman" w:hAnsi="Times New Roman" w:hint="eastAsia"/>
                <w:color w:val="auto"/>
                <w:kern w:val="0"/>
                <w:sz w:val="24"/>
                <w:szCs w:val="24"/>
                <w:lang w:val="en-US" w:eastAsia="zh-CN"/>
                <w:highlight w:val="none"/>
              </w:rPr>
              <w:t>t</w:t>
            </w:r>
            <w:r>
              <w:rPr>
                <w:rFonts w:cs="Times New Roman" w:hint="eastAsia"/>
                <w:color w:val="auto"/>
                <w:kern w:val="0"/>
                <w:sz w:val="24"/>
                <w:szCs w:val="24"/>
                <w:lang w:val="en-US" w:eastAsia="zh-CN"/>
                <w:highlight w:val="none"/>
              </w:rPr>
              <w:t>，本项目废气经集气罩+软帘+管道收集（综合收集效率以95%计）通过旋风除尘器TA001+布袋除尘器TA002+二级活性炭吸附装置TA002处理后（对氨的综合处理效率为50%）由15m排气筒（P2）排放，氨的产生浓度为1.14mg/m</w:t>
            </w:r>
            <w:r>
              <w:rPr>
                <w:rFonts w:cs="Times New Roman" w:hint="eastAsia"/>
                <w:color w:val="auto"/>
                <w:kern w:val="0"/>
                <w:sz w:val="24"/>
                <w:szCs w:val="24"/>
                <w:vertAlign w:val="superscript"/>
                <w:lang w:val="en-US" w:eastAsia="zh-CN"/>
                <w:highlight w:val="none"/>
              </w:rPr>
              <w:t>3</w:t>
            </w:r>
            <w:r>
              <w:rPr>
                <w:rFonts w:cs="Times New Roman" w:hint="eastAsia"/>
                <w:color w:val="auto"/>
                <w:kern w:val="0"/>
                <w:sz w:val="24"/>
                <w:szCs w:val="24"/>
                <w:lang w:val="en-US" w:eastAsia="zh-CN"/>
                <w:highlight w:val="none"/>
              </w:rPr>
              <w:t>，氨的产生速率为0.032kg/h。氨排放量为0.073t/a，氨的排放浓度为0.54mg/m</w:t>
            </w:r>
            <w:r>
              <w:rPr>
                <w:rFonts w:cs="Times New Roman" w:hint="eastAsia"/>
                <w:color w:val="auto"/>
                <w:kern w:val="0"/>
                <w:sz w:val="24"/>
                <w:szCs w:val="24"/>
                <w:vertAlign w:val="superscript"/>
                <w:lang w:val="en-US" w:eastAsia="zh-CN"/>
                <w:highlight w:val="none"/>
              </w:rPr>
              <w:t>3</w:t>
            </w:r>
            <w:r>
              <w:rPr>
                <w:rFonts w:cs="Times New Roman" w:hint="eastAsia"/>
                <w:color w:val="auto"/>
                <w:kern w:val="0"/>
                <w:sz w:val="24"/>
                <w:szCs w:val="24"/>
                <w:lang w:val="en-US" w:eastAsia="zh-CN"/>
                <w:highlight w:val="none"/>
              </w:rPr>
              <w:t>，氨的排放速率为0.015kg/h。</w:t>
            </w:r>
          </w:p>
          <w:p>
            <w:pPr>
              <w:rPr>
                <w:rFonts w:cs="Times New Roman" w:hint="eastAsia"/>
                <w:color w:val="auto"/>
                <w:lang w:val="en-US" w:eastAsia="zh-CN"/>
              </w:rPr>
            </w:pPr>
            <w:r>
              <w:rPr>
                <w:rFonts w:cs="Times New Roman" w:hint="eastAsia"/>
                <w:color w:val="auto"/>
                <w:lang w:val="en-US" w:eastAsia="zh-CN"/>
              </w:rPr>
              <w:t>臭气浓度：</w:t>
            </w:r>
          </w:p>
          <w:p>
            <w:pPr>
              <w:rPr>
                <w:rFonts w:cs="Times New Roman" w:hint="eastAsia"/>
                <w:color w:val="auto"/>
                <w:lang w:val="en-US" w:eastAsia="zh-CN"/>
              </w:rPr>
            </w:pPr>
            <w:r>
              <w:rPr>
                <w:rFonts w:cs="Times New Roman" w:hint="eastAsia"/>
                <w:color w:val="auto"/>
                <w:lang w:val="en-US" w:eastAsia="zh-CN"/>
              </w:rPr>
              <w:t>本次技改在挤压造粒生产线增加整形、喷脲、裹油、铺粉工艺，其余生产工艺、产排污环节及原料与本项目技改前一致。根据河北环海检测科技有限公司2025年6月30日为河北卓峰化肥有限公司出具的检测报告（HHJC自行监测【2025】369号）可知：P2排气筒出口标干流量最大值为22070m</w:t>
            </w:r>
            <w:r>
              <w:rPr>
                <w:rFonts w:cs="Times New Roman" w:hint="eastAsia"/>
                <w:color w:val="auto"/>
                <w:vertAlign w:val="superscript"/>
                <w:lang w:val="en-US" w:eastAsia="zh-CN"/>
              </w:rPr>
              <w:t>3</w:t>
            </w:r>
            <w:r>
              <w:rPr>
                <w:rFonts w:cs="Times New Roman" w:hint="eastAsia"/>
                <w:color w:val="auto"/>
                <w:lang w:val="en-US" w:eastAsia="zh-CN"/>
              </w:rPr>
              <w:t>/h，臭气浓度最大值为977（无量纲）。</w:t>
            </w:r>
          </w:p>
          <w:p>
            <w:pPr>
              <w:rPr>
                <w:rFonts w:ascii="Times New Roman" w:eastAsia="宋体" w:cs="Times New Roman" w:hAnsi="Times New Roman"/>
                <w:color w:val="auto"/>
                <w:lang w:val="en-US" w:eastAsia="zh-CN"/>
              </w:rPr>
            </w:pPr>
            <w:r>
              <w:rPr>
                <w:rFonts w:cs="Times New Roman" w:hint="eastAsia"/>
                <w:color w:val="auto"/>
                <w:lang w:val="en-US" w:eastAsia="zh-CN"/>
              </w:rPr>
              <w:t>甲醛：</w:t>
            </w:r>
          </w:p>
          <w:p>
            <w:pPr>
              <w:rPr>
                <w:rFonts w:ascii="Times New Roman" w:eastAsia="宋体" w:cs="Times New Roman" w:hAnsi="Times New Roman"/>
                <w:color w:val="auto"/>
                <w:lang w:val="en-US" w:eastAsia="zh-CN"/>
                <w:highlight w:val="yellow"/>
              </w:rPr>
            </w:pPr>
            <w:r>
              <w:rPr>
                <w:rFonts w:cs="Times New Roman" w:hint="eastAsia"/>
                <w:color w:val="auto"/>
                <w:lang w:val="en-US" w:eastAsia="zh-CN"/>
              </w:rPr>
              <w:t>根据本项目所用脲甲醛溶液（50%含水率）厂家出具的成分分析报告单可知产品标准游离甲醛含量≤0.001%。本项目以最不利条件游离甲醛0.001%全部挥发计算，则甲醛产生量为0.002t。废气经集气罩+软帘+管道收集（综合收集效率以95%计）通过旋风除尘器TA001+布袋除尘器TA002+ 二级活性炭吸附装置TA002处理后（根据《吸附法工业有机废气治理工程技术规范》(HJ2026-2013)要求吸附装置的净化效率不得低于90%，本项目一级活性炭治理效率约为70%，二级活性炭治理效率约为67%，对甲醛的综合去除效率为90%）由15m排气筒（P2）排放，甲醛的产生量为0.002t，</w:t>
            </w:r>
            <w:r>
              <w:rPr>
                <w:rFonts w:cs="Times New Roman" w:hint="eastAsia"/>
                <w:color w:val="auto"/>
                <w:lang w:val="en-US" w:eastAsia="zh-CN"/>
                <w:highlight w:val="none"/>
              </w:rPr>
              <w:t>甲醛的产生浓度为0.014mg/m</w:t>
            </w:r>
            <w:r>
              <w:rPr>
                <w:rFonts w:cs="Times New Roman" w:hint="eastAsia"/>
                <w:color w:val="auto"/>
                <w:vertAlign w:val="superscript"/>
                <w:lang w:val="en-US" w:eastAsia="zh-CN"/>
                <w:highlight w:val="none"/>
              </w:rPr>
              <w:t>3</w:t>
            </w:r>
            <w:r>
              <w:rPr>
                <w:rFonts w:cs="Times New Roman" w:hint="eastAsia"/>
                <w:color w:val="auto"/>
                <w:lang w:val="en-US" w:eastAsia="zh-CN"/>
                <w:highlight w:val="none"/>
              </w:rPr>
              <w:t>，甲醛的产生速率为0.0004kg/h；甲醛排放量为0.00019t/a，甲醛的排放浓度为0.0014mg/m</w:t>
            </w:r>
            <w:r>
              <w:rPr>
                <w:rFonts w:cs="Times New Roman" w:hint="eastAsia"/>
                <w:color w:val="auto"/>
                <w:vertAlign w:val="superscript"/>
                <w:lang w:val="en-US" w:eastAsia="zh-CN"/>
                <w:highlight w:val="none"/>
              </w:rPr>
              <w:t>3</w:t>
            </w:r>
            <w:r>
              <w:rPr>
                <w:rFonts w:cs="Times New Roman" w:hint="eastAsia"/>
                <w:color w:val="auto"/>
                <w:lang w:val="en-US" w:eastAsia="zh-CN"/>
                <w:highlight w:val="none"/>
              </w:rPr>
              <w:t>，甲醛的排放速率为0.00004kg/h。</w:t>
            </w:r>
          </w:p>
          <w:p>
            <w:pPr>
              <w:rPr>
                <w:rFonts w:ascii="Times New Roman" w:eastAsia="宋体" w:cs="Times New Roman" w:hAnsi="Times New Roman"/>
                <w:color w:val="auto"/>
                <w:lang w:val="en-US" w:eastAsia="zh-CN"/>
              </w:rPr>
            </w:pPr>
            <w:r>
              <w:rPr>
                <w:rFonts w:cs="Times New Roman" w:hint="eastAsia"/>
                <w:color w:val="auto"/>
                <w:lang w:val="en-US" w:eastAsia="zh-CN"/>
              </w:rPr>
              <w:t>非甲烷总烃：</w:t>
            </w:r>
          </w:p>
          <w:p>
            <w:pPr>
              <w:rPr>
                <w:rFonts w:ascii="Times New Roman" w:eastAsia="宋体" w:cs="Times New Roman" w:hAnsi="Times New Roman" w:hint="eastAsia"/>
                <w:color w:val="auto"/>
                <w:lang w:val="en-US" w:eastAsia="zh-CN"/>
              </w:rPr>
            </w:pPr>
            <w:r>
              <w:rPr>
                <w:rFonts w:cs="Times New Roman" w:hint="eastAsia"/>
                <w:color w:val="auto"/>
                <w:lang w:val="en-US" w:eastAsia="zh-CN"/>
              </w:rPr>
              <w:t>根据本项目所用包裹油厂家出具的成分分析报告单可知产品包裹油植物油含量为10%。本项目以最不利条件植物油非甲烷总烃10%全部挥发计算，则非甲烷总烃产生量为2.25t。废气经集气罩+软帘+管道收集（综合收集效率以95%计）通过旋风除尘器TA001+布袋除尘器TA002+二级活性炭吸附装置TA002处理后（根据《吸附法工业有机废气治理工程技术规范》(HJ2026-2013)要求吸附装置的净化效率不得低于90%，本项目一级活性炭治理效率约为70%，二级活性炭治理效率约为67%，对非甲烷总烃的综合去除效率为90%）由15m排气筒（P2）排放，非甲烷总烃的产生量为2.25t，</w:t>
            </w:r>
            <w:r>
              <w:rPr>
                <w:rFonts w:cs="Times New Roman" w:hint="eastAsia"/>
                <w:color w:val="auto"/>
                <w:lang w:val="en-US" w:eastAsia="zh-CN"/>
                <w:highlight w:val="none"/>
              </w:rPr>
              <w:t>非甲烷总烃的产生浓度为15.9mg/m</w:t>
            </w:r>
            <w:r>
              <w:rPr>
                <w:rFonts w:cs="Times New Roman" w:hint="eastAsia"/>
                <w:color w:val="auto"/>
                <w:vertAlign w:val="superscript"/>
                <w:lang w:val="en-US" w:eastAsia="zh-CN"/>
                <w:highlight w:val="none"/>
              </w:rPr>
              <w:t>3</w:t>
            </w:r>
            <w:r>
              <w:rPr>
                <w:rFonts w:cs="Times New Roman" w:hint="eastAsia"/>
                <w:color w:val="auto"/>
                <w:lang w:val="en-US" w:eastAsia="zh-CN"/>
                <w:highlight w:val="none"/>
              </w:rPr>
              <w:t>，非甲烷总烃的产生速率为0.445kg/h；非甲烷总烃排放量为0.214t/a，非甲烷总烃的排放浓度为1.59mg/m</w:t>
            </w:r>
            <w:r>
              <w:rPr>
                <w:rFonts w:cs="Times New Roman" w:hint="eastAsia"/>
                <w:color w:val="auto"/>
                <w:vertAlign w:val="superscript"/>
                <w:lang w:val="en-US" w:eastAsia="zh-CN"/>
                <w:highlight w:val="none"/>
              </w:rPr>
              <w:t>3</w:t>
            </w:r>
            <w:r>
              <w:rPr>
                <w:rFonts w:cs="Times New Roman" w:hint="eastAsia"/>
                <w:color w:val="auto"/>
                <w:lang w:val="en-US" w:eastAsia="zh-CN"/>
                <w:highlight w:val="none"/>
              </w:rPr>
              <w:t>，非甲烷总烃的排放速率为0.045kg/h。</w:t>
            </w:r>
          </w:p>
          <w:p>
            <w:pPr>
              <w:rPr>
                <w:color w:val="auto"/>
                <w:lang w:val="en-US" w:eastAsia="zh-CN"/>
              </w:rPr>
            </w:pPr>
            <w:r>
              <w:rPr>
                <w:color w:val="auto"/>
                <w:lang w:val="en-US" w:eastAsia="zh-CN"/>
              </w:rPr>
              <w:t>排气筒P</w:t>
            </w:r>
            <w:r>
              <w:rPr>
                <w:rFonts w:hint="eastAsia"/>
                <w:color w:val="auto"/>
                <w:lang w:val="en-US" w:eastAsia="zh-CN"/>
              </w:rPr>
              <w:t>2颗粒物、甲醛满足《大气污染物综合排放标准》(GB16297-1996)表2二级标准限值要求，氨和臭气浓度排放满足《恶臭污染物排放标准》(GB14554-93)表2排放标准值要求，非甲烷总烃</w:t>
            </w:r>
            <w:r>
              <w:rPr>
                <w:color w:val="auto"/>
                <w:lang w:val="en-US" w:eastAsia="zh-CN"/>
              </w:rPr>
              <w:t>排放满足《工业企业</w:t>
            </w:r>
            <w:r>
              <w:rPr>
                <w:rFonts w:hint="eastAsia"/>
                <w:color w:val="auto"/>
                <w:lang w:val="en-US" w:eastAsia="zh-CN"/>
              </w:rPr>
              <w:t>挥发性</w:t>
            </w:r>
            <w:r>
              <w:rPr>
                <w:color w:val="auto"/>
                <w:lang w:val="en-US" w:eastAsia="zh-CN"/>
              </w:rPr>
              <w:t>有机物排放控制标准》（DB13/2322-2025）表1其他工业行业排放限值</w:t>
            </w:r>
            <w:r>
              <w:rPr>
                <w:rFonts w:hint="eastAsia"/>
                <w:color w:val="auto"/>
                <w:lang w:val="en-US" w:eastAsia="zh-CN"/>
              </w:rPr>
              <w:t>要求</w:t>
            </w:r>
            <w:r>
              <w:rPr>
                <w:color w:val="auto"/>
                <w:lang w:val="en-US" w:eastAsia="zh-CN"/>
              </w:rPr>
              <w:t>。</w:t>
            </w:r>
          </w:p>
          <w:p>
            <w:pPr>
              <w:rPr>
                <w:color w:val="auto"/>
                <w:lang w:val="en-US" w:eastAsia="zh-CN"/>
              </w:rPr>
            </w:pPr>
            <w:r>
              <w:rPr>
                <w:rFonts w:hint="eastAsia"/>
                <w:color w:val="auto"/>
                <w:lang w:val="en-US" w:eastAsia="zh-CN"/>
              </w:rPr>
              <w:t>三</w:t>
            </w:r>
            <w:r>
              <w:rPr>
                <w:color w:val="auto"/>
                <w:lang w:val="en-US" w:eastAsia="zh-CN"/>
              </w:rPr>
              <w:t>）挤压造粒生产线车间</w:t>
            </w:r>
            <w:r>
              <w:rPr>
                <w:rFonts w:hint="eastAsia"/>
                <w:color w:val="auto"/>
                <w:lang w:val="en-US" w:eastAsia="zh-CN"/>
              </w:rPr>
              <w:t>烘干</w:t>
            </w:r>
            <w:r>
              <w:rPr>
                <w:color w:val="auto"/>
                <w:lang w:val="en-US" w:eastAsia="zh-CN"/>
              </w:rPr>
              <w:t>废气</w:t>
            </w:r>
            <w:r>
              <w:rPr>
                <w:rFonts w:hint="eastAsia"/>
                <w:color w:val="auto"/>
                <w:lang w:val="en-US" w:eastAsia="zh-CN"/>
              </w:rPr>
              <w:t>、燃烧烟气</w:t>
            </w:r>
            <w:r>
              <w:rPr>
                <w:color w:val="auto"/>
                <w:lang w:val="en-US" w:eastAsia="zh-CN"/>
              </w:rPr>
              <w:t>（P</w:t>
            </w:r>
            <w:r>
              <w:rPr>
                <w:rFonts w:hint="eastAsia"/>
                <w:color w:val="auto"/>
                <w:lang w:val="en-US" w:eastAsia="zh-CN"/>
              </w:rPr>
              <w:t>3</w:t>
            </w:r>
            <w:r>
              <w:rPr>
                <w:color w:val="auto"/>
                <w:lang w:val="en-US" w:eastAsia="zh-CN"/>
              </w:rPr>
              <w:t>排气筒）</w:t>
            </w:r>
          </w:p>
          <w:p>
            <w:pPr>
              <w:pStyle w:val="15"/>
              <w:rPr>
                <w:color w:val="auto"/>
                <w:lang w:val="en-US" w:eastAsia="zh-CN"/>
              </w:rPr>
            </w:pPr>
            <w:r>
              <w:rPr>
                <w:color w:val="auto"/>
                <w:lang w:val="en-US" w:eastAsia="zh-CN"/>
              </w:rPr>
              <w:t>造粒生产线车间</w:t>
            </w:r>
            <w:r>
              <w:rPr>
                <w:rFonts w:hint="eastAsia"/>
                <w:color w:val="auto"/>
                <w:lang w:val="en-US" w:eastAsia="zh-CN"/>
              </w:rPr>
              <w:t>烘干</w:t>
            </w:r>
            <w:r>
              <w:rPr>
                <w:color w:val="auto"/>
                <w:lang w:val="en-US" w:eastAsia="zh-CN"/>
              </w:rPr>
              <w:t>废气主要污染物为颗粒物、氨、臭气浓度</w:t>
            </w:r>
            <w:r>
              <w:rPr>
                <w:rFonts w:hint="eastAsia"/>
                <w:color w:val="auto"/>
                <w:lang w:val="en-US" w:eastAsia="zh-CN"/>
              </w:rPr>
              <w:t>、甲醛；燃烧烟气主要污染物为颗粒物、二氧化硫、氮氧化物。</w:t>
            </w:r>
          </w:p>
          <w:p>
            <w:pPr>
              <w:pStyle w:val="15"/>
              <w:rPr>
                <w:color w:val="auto"/>
                <w:lang w:val="en-US" w:eastAsia="zh-CN"/>
              </w:rPr>
            </w:pPr>
            <w:r>
              <w:rPr>
                <w:color w:val="auto"/>
                <w:lang w:val="en-US" w:eastAsia="zh-CN"/>
              </w:rPr>
              <w:t>项目挤压造粒生产线车间密闭式</w:t>
            </w:r>
            <w:r>
              <w:rPr>
                <w:rFonts w:hint="eastAsia"/>
                <w:color w:val="auto"/>
                <w:lang w:val="en-US" w:eastAsia="zh-CN"/>
              </w:rPr>
              <w:t>烘干机1</w:t>
            </w:r>
            <w:r>
              <w:rPr>
                <w:color w:val="auto"/>
                <w:lang w:val="en-US" w:eastAsia="zh-CN"/>
              </w:rPr>
              <w:t>台（体积</w:t>
            </w:r>
            <w:r>
              <w:rPr>
                <w:rFonts w:hint="eastAsia"/>
                <w:color w:val="auto"/>
                <w:lang w:val="en-US" w:eastAsia="zh-CN"/>
              </w:rPr>
              <w:t>50</w:t>
            </w:r>
            <w:r>
              <w:rPr>
                <w:color w:val="auto"/>
                <w:lang w:val="en-US" w:eastAsia="zh-CN"/>
              </w:rPr>
              <w:t>m</w:t>
            </w:r>
            <w:r>
              <w:rPr>
                <w:color w:val="auto"/>
                <w:vertAlign w:val="superscript"/>
                <w:lang w:val="en-US" w:eastAsia="zh-CN"/>
              </w:rPr>
              <w:t>3</w:t>
            </w:r>
            <w:r>
              <w:rPr>
                <w:color w:val="auto"/>
                <w:lang w:val="en-US" w:eastAsia="zh-CN"/>
              </w:rPr>
              <w:t>），按换气次数</w:t>
            </w:r>
            <w:r>
              <w:rPr>
                <w:rFonts w:hint="eastAsia"/>
                <w:color w:val="auto"/>
                <w:lang w:val="en-US" w:eastAsia="zh-CN"/>
              </w:rPr>
              <w:t>120</w:t>
            </w:r>
            <w:r>
              <w:rPr>
                <w:color w:val="auto"/>
                <w:lang w:val="en-US" w:eastAsia="zh-CN"/>
              </w:rPr>
              <w:t>次/h设置抽风系统，则</w:t>
            </w:r>
            <w:r>
              <w:rPr>
                <w:rFonts w:hint="eastAsia"/>
                <w:color w:val="auto"/>
                <w:lang w:val="en-US" w:eastAsia="zh-CN"/>
              </w:rPr>
              <w:t>烘干</w:t>
            </w:r>
            <w:r>
              <w:rPr>
                <w:color w:val="auto"/>
                <w:lang w:val="en-US" w:eastAsia="zh-CN"/>
              </w:rPr>
              <w:t>工序所需风量为</w:t>
            </w:r>
            <w:r>
              <w:rPr>
                <w:rFonts w:hint="eastAsia"/>
                <w:color w:val="auto"/>
                <w:lang w:val="en-US" w:eastAsia="zh-CN"/>
              </w:rPr>
              <w:t>50</w:t>
            </w:r>
            <w:r>
              <w:rPr>
                <w:color w:val="auto"/>
                <w:lang w:val="en-US" w:eastAsia="zh-CN"/>
              </w:rPr>
              <w:t>*</w:t>
            </w:r>
            <w:r>
              <w:rPr>
                <w:rFonts w:hint="eastAsia"/>
                <w:color w:val="auto"/>
                <w:lang w:val="en-US" w:eastAsia="zh-CN"/>
              </w:rPr>
              <w:t>120</w:t>
            </w:r>
            <w:r>
              <w:rPr>
                <w:color w:val="auto"/>
                <w:lang w:val="en-US" w:eastAsia="zh-CN"/>
              </w:rPr>
              <w:t>=</w:t>
            </w:r>
            <w:r>
              <w:rPr>
                <w:rFonts w:hint="eastAsia"/>
                <w:color w:val="auto"/>
                <w:lang w:val="en-US" w:eastAsia="zh-CN"/>
              </w:rPr>
              <w:t>6000</w:t>
            </w:r>
            <w:r>
              <w:rPr>
                <w:color w:val="auto"/>
                <w:lang w:val="en-US" w:eastAsia="zh-CN"/>
              </w:rPr>
              <w:t>m</w:t>
            </w:r>
            <w:r>
              <w:rPr>
                <w:color w:val="auto"/>
                <w:vertAlign w:val="superscript"/>
                <w:lang w:val="en-US" w:eastAsia="zh-CN"/>
              </w:rPr>
              <w:t>3</w:t>
            </w:r>
            <w:r>
              <w:rPr>
                <w:color w:val="auto"/>
                <w:lang w:val="en-US" w:eastAsia="zh-CN"/>
              </w:rPr>
              <w:t>/h</w:t>
            </w:r>
            <w:r>
              <w:rPr>
                <w:rFonts w:hint="eastAsia"/>
                <w:color w:val="auto"/>
                <w:lang w:val="en-US" w:eastAsia="zh-CN"/>
              </w:rPr>
              <w:t>，年工作4800h。</w:t>
            </w:r>
          </w:p>
          <w:p>
            <w:pPr>
              <w:pStyle w:val="15"/>
              <w:rPr>
                <w:rFonts w:hint="eastAsia"/>
                <w:color w:val="auto"/>
                <w:lang w:val="en-US" w:eastAsia="zh-CN"/>
              </w:rPr>
            </w:pPr>
            <w:r>
              <w:rPr>
                <w:rFonts w:hint="eastAsia"/>
                <w:color w:val="auto"/>
                <w:lang w:val="en-US" w:eastAsia="zh-CN"/>
              </w:rPr>
              <w:t>本项目不新增天然气用量，本项目完成后全厂烘干工序天然气用量为30万m</w:t>
            </w:r>
            <w:r>
              <w:rPr>
                <w:rFonts w:hint="eastAsia"/>
                <w:color w:val="auto"/>
                <w:vertAlign w:val="superscript"/>
                <w:lang w:val="en-US" w:eastAsia="zh-CN"/>
              </w:rPr>
              <w:t>3</w:t>
            </w:r>
            <w:r>
              <w:rPr>
                <w:rFonts w:hint="eastAsia"/>
                <w:color w:val="auto"/>
                <w:lang w:val="en-US" w:eastAsia="zh-CN"/>
              </w:rPr>
              <w:t>/a，年工作4800h。天然气燃烧烟气量参照《排放源统计调查产排污核算方法和系数手册》-33-37，431-434机械行业系数手册-燃天然气工业炉窑产排污系数：工业废气量13.6Nm³/m³-原料；污染物产生量参照《排污许可证申请与核发技术规范 工业炉窑》（HJ 1121-2020）中表6绩效值中数据。企业所用天然气平均热值为35.17MJ/m</w:t>
            </w:r>
            <w:r>
              <w:rPr>
                <w:rFonts w:hint="eastAsia"/>
                <w:color w:val="auto"/>
                <w:vertAlign w:val="superscript"/>
                <w:lang w:val="en-US" w:eastAsia="zh-CN"/>
              </w:rPr>
              <w:t>3</w:t>
            </w:r>
            <w:r>
              <w:rPr>
                <w:rFonts w:hint="eastAsia"/>
                <w:color w:val="auto"/>
                <w:lang w:val="en-US" w:eastAsia="zh-CN"/>
              </w:rPr>
              <w:t>，经查表可知：绩效值分别为颗粒物0.168g/m</w:t>
            </w:r>
            <w:r>
              <w:rPr>
                <w:rFonts w:hint="eastAsia"/>
                <w:color w:val="auto"/>
                <w:vertAlign w:val="superscript"/>
                <w:lang w:val="en-US" w:eastAsia="zh-CN"/>
              </w:rPr>
              <w:t>3</w:t>
            </w:r>
            <w:r>
              <w:rPr>
                <w:rFonts w:hint="eastAsia"/>
                <w:color w:val="auto"/>
                <w:lang w:val="en-US" w:eastAsia="zh-CN"/>
              </w:rPr>
              <w:t>燃料，二氧化硫0.168g/m</w:t>
            </w:r>
            <w:r>
              <w:rPr>
                <w:rFonts w:hint="eastAsia"/>
                <w:color w:val="auto"/>
                <w:vertAlign w:val="superscript"/>
                <w:lang w:val="en-US" w:eastAsia="zh-CN"/>
              </w:rPr>
              <w:t>3</w:t>
            </w:r>
            <w:r>
              <w:rPr>
                <w:rFonts w:hint="eastAsia"/>
                <w:color w:val="auto"/>
                <w:lang w:val="en-US" w:eastAsia="zh-CN"/>
              </w:rPr>
              <w:t>燃料，氮氧化物2.524g/m</w:t>
            </w:r>
            <w:r>
              <w:rPr>
                <w:rFonts w:hint="eastAsia"/>
                <w:color w:val="auto"/>
                <w:vertAlign w:val="superscript"/>
                <w:lang w:val="en-US" w:eastAsia="zh-CN"/>
              </w:rPr>
              <w:t>3</w:t>
            </w:r>
            <w:r>
              <w:rPr>
                <w:rFonts w:hint="eastAsia"/>
                <w:color w:val="auto"/>
                <w:lang w:val="en-US" w:eastAsia="zh-CN"/>
              </w:rPr>
              <w:t>燃料。</w:t>
            </w:r>
          </w:p>
          <w:p>
            <w:pPr>
              <w:pStyle w:val="15"/>
              <w:ind w:left="0" w:firstLineChars="0" w:firstLine="0"/>
              <w:rPr>
                <w:rFonts w:hint="eastAsia"/>
                <w:color w:val="auto"/>
                <w:lang w:val="en-US" w:eastAsia="zh-CN"/>
              </w:rPr>
            </w:pPr>
            <w:r>
              <w:rPr>
                <w:rFonts w:hint="eastAsia"/>
                <w:color w:val="auto"/>
                <w:lang w:val="en-US" w:eastAsia="zh-CN"/>
              </w:rPr>
              <w:drawing>
                <wp:inline distT="0" distB="0" distL="114300" distR="114300">
                  <wp:extent cx="4943475" cy="2046605"/>
                  <wp:effectExtent l="0" t="0" r="0" b="0"/>
                  <wp:docPr id="1050" name="图片 4"/>
                  <wp:cNvGraphicFramePr>
                    <a:graphicFrameLocks noChangeAspect="1"/>
                  </wp:cNvGraphicFramePr>
                  <a:graphic>
                    <a:graphicData uri="http://schemas.openxmlformats.org/drawingml/2006/picture">
                      <pic:pic>
                        <pic:nvPicPr>
                          <pic:cNvPr id="475" name="图片 4 475"/>
                          <pic:cNvPicPr/>
                        </pic:nvPicPr>
                        <pic:blipFill>
                          <a:blip r:embed="rId19"/>
                          <a:stretch>
                            <a:fillRect/>
                          </a:stretch>
                        </pic:blipFill>
                        <pic:spPr>
                          <a:xfrm rot="0">
                            <a:off x="0" y="0"/>
                            <a:ext cx="4943475" cy="2046605"/>
                          </a:xfrm>
                          <a:prstGeom prst="rect"/>
                          <a:noFill/>
                          <a:ln cmpd="sng" cap="flat">
                            <a:noFill/>
                            <a:prstDash val="solid"/>
                            <a:round/>
                          </a:ln>
                        </pic:spPr>
                      </pic:pic>
                    </a:graphicData>
                  </a:graphic>
                </wp:inline>
              </w:drawing>
            </w:r>
          </w:p>
          <w:p>
            <w:pPr>
              <w:pStyle w:val="15"/>
              <w:rPr>
                <w:color w:val="auto"/>
                <w:lang w:val="en-US" w:eastAsia="zh-CN"/>
              </w:rPr>
            </w:pPr>
            <w:r>
              <w:rPr>
                <w:rFonts w:hint="eastAsia"/>
                <w:color w:val="auto"/>
                <w:lang w:val="en-US" w:eastAsia="zh-CN"/>
              </w:rPr>
              <w:t>项目燃烧烟气产生量为4080000m</w:t>
            </w:r>
            <w:r>
              <w:rPr>
                <w:rFonts w:hint="eastAsia"/>
                <w:color w:val="auto"/>
                <w:vertAlign w:val="superscript"/>
                <w:lang w:val="en-US" w:eastAsia="zh-CN"/>
              </w:rPr>
              <w:t>3</w:t>
            </w:r>
            <w:r>
              <w:rPr>
                <w:rFonts w:hint="eastAsia"/>
                <w:color w:val="auto"/>
                <w:lang w:val="en-US" w:eastAsia="zh-CN"/>
              </w:rPr>
              <w:t>（850m</w:t>
            </w:r>
            <w:r>
              <w:rPr>
                <w:rFonts w:hint="eastAsia"/>
                <w:color w:val="auto"/>
                <w:vertAlign w:val="superscript"/>
                <w:lang w:val="en-US" w:eastAsia="zh-CN"/>
              </w:rPr>
              <w:t>3</w:t>
            </w:r>
            <w:r>
              <w:rPr>
                <w:rFonts w:hint="eastAsia"/>
                <w:color w:val="auto"/>
                <w:lang w:val="en-US" w:eastAsia="zh-CN"/>
              </w:rPr>
              <w:t>/h），颗粒物产生量为0.050t，二氧化硫产生量0.050t，氮氧化物产生量0.757t。</w:t>
            </w:r>
          </w:p>
          <w:p>
            <w:pPr>
              <w:pStyle w:val="15"/>
              <w:rPr>
                <w:color w:val="auto"/>
                <w:lang w:val="en-US" w:eastAsia="zh-CN"/>
              </w:rPr>
            </w:pPr>
            <w:r>
              <w:rPr>
                <w:color w:val="auto"/>
                <w:lang w:val="en-US" w:eastAsia="zh-CN"/>
              </w:rPr>
              <w:t>现有P</w:t>
            </w:r>
            <w:r>
              <w:rPr>
                <w:rFonts w:hint="eastAsia"/>
                <w:color w:val="auto"/>
                <w:lang w:val="en-US" w:eastAsia="zh-CN"/>
              </w:rPr>
              <w:t>3</w:t>
            </w:r>
            <w:r>
              <w:rPr>
                <w:color w:val="auto"/>
                <w:lang w:val="en-US" w:eastAsia="zh-CN"/>
              </w:rPr>
              <w:t>排气筒设置风机风量为</w:t>
            </w:r>
            <w:r>
              <w:rPr>
                <w:rFonts w:hint="eastAsia"/>
                <w:color w:val="auto"/>
                <w:lang w:val="en-US" w:eastAsia="zh-CN"/>
              </w:rPr>
              <w:t>15</w:t>
            </w:r>
            <w:r>
              <w:rPr>
                <w:color w:val="auto"/>
                <w:lang w:val="en-US" w:eastAsia="zh-CN"/>
              </w:rPr>
              <w:t>000m</w:t>
            </w:r>
            <w:r>
              <w:rPr>
                <w:color w:val="auto"/>
                <w:vertAlign w:val="superscript"/>
                <w:lang w:val="en-US" w:eastAsia="zh-CN"/>
              </w:rPr>
              <w:t>3</w:t>
            </w:r>
            <w:r>
              <w:rPr>
                <w:color w:val="auto"/>
                <w:lang w:val="en-US" w:eastAsia="zh-CN"/>
              </w:rPr>
              <w:t>/h，可满足生产需求，年工作4800h。</w:t>
            </w:r>
          </w:p>
          <w:p>
            <w:pPr>
              <w:pStyle w:val="15"/>
              <w:rPr>
                <w:color w:val="auto"/>
                <w:lang w:val="en-US" w:eastAsia="zh-CN"/>
              </w:rPr>
            </w:pPr>
            <w:r>
              <w:rPr>
                <w:rFonts w:hint="eastAsia"/>
                <w:color w:val="auto"/>
                <w:lang w:val="en-US" w:eastAsia="zh-CN"/>
              </w:rPr>
              <w:t>烘干废气</w:t>
            </w:r>
            <w:r>
              <w:rPr>
                <w:color w:val="auto"/>
                <w:lang w:val="en-US" w:eastAsia="zh-CN"/>
              </w:rPr>
              <w:t>颗粒物：</w:t>
            </w:r>
          </w:p>
          <w:p>
            <w:pPr>
              <w:pStyle w:val="15"/>
              <w:rPr>
                <w:rFonts w:hint="eastAsia"/>
                <w:color w:val="auto"/>
                <w:lang w:val="en-US" w:eastAsia="zh-CN"/>
              </w:rPr>
            </w:pPr>
            <w:r>
              <w:rPr>
                <w:color w:val="auto"/>
                <w:lang w:val="en-US" w:eastAsia="zh-CN"/>
              </w:rPr>
              <w:t>造粒生产线车间烘干</w:t>
            </w:r>
            <w:r>
              <w:rPr>
                <w:rFonts w:hint="eastAsia"/>
                <w:color w:val="auto"/>
                <w:lang w:val="en-US" w:eastAsia="zh-CN"/>
              </w:rPr>
              <w:t>工序</w:t>
            </w:r>
            <w:r>
              <w:rPr>
                <w:color w:val="auto"/>
                <w:lang w:val="en-US" w:eastAsia="zh-CN"/>
              </w:rPr>
              <w:t>颗粒物产生量参考《排污许可证申请与核发技术规范磷肥、钾肥、复合肥料、有机肥料及微生物肥料工业》（HJ 864.2-2018）中附录C（C.2复混肥制造业废气产排污系数表）可知：≤30万吨/年，工业粉尘产污系数为5.60千克/吨-产品，造粒生产线车间烘干工序</w:t>
            </w:r>
            <w:r>
              <w:rPr>
                <w:rFonts w:hint="eastAsia"/>
                <w:color w:val="auto"/>
                <w:lang w:val="en-US" w:eastAsia="zh-CN"/>
              </w:rPr>
              <w:t>原料量为4.9936万吨，颗粒物产生量为279.6t。废气经管道收集（收集效率以100%计）通过旋风除尘器TA002+布袋除尘器TA003+旋转吸附机+水喷淋塔处理后（对颗粒物的去除效率为99.9%）由15m排气筒（P3）排放，则颗粒物的产生量为279.6t，</w:t>
            </w:r>
            <w:r>
              <w:rPr>
                <w:rFonts w:hint="eastAsia"/>
                <w:color w:val="auto"/>
                <w:lang w:val="en-US" w:eastAsia="zh-CN"/>
                <w:highlight w:val="none"/>
              </w:rPr>
              <w:t>颗粒物的产生浓度为3883.3mg/m</w:t>
            </w:r>
            <w:r>
              <w:rPr>
                <w:rFonts w:hint="eastAsia"/>
                <w:color w:val="auto"/>
                <w:vertAlign w:val="superscript"/>
                <w:lang w:val="en-US" w:eastAsia="zh-CN"/>
                <w:highlight w:val="none"/>
              </w:rPr>
              <w:t>3</w:t>
            </w:r>
            <w:r>
              <w:rPr>
                <w:rFonts w:hint="eastAsia"/>
                <w:color w:val="auto"/>
                <w:lang w:val="en-US" w:eastAsia="zh-CN"/>
                <w:highlight w:val="none"/>
              </w:rPr>
              <w:t>，颗粒物的产生速率为58.25kg/h；颗粒物排放量为0.280t/a，颗粒物的排放浓度为3.9mg/m</w:t>
            </w:r>
            <w:r>
              <w:rPr>
                <w:rFonts w:hint="eastAsia"/>
                <w:color w:val="auto"/>
                <w:vertAlign w:val="superscript"/>
                <w:lang w:val="en-US" w:eastAsia="zh-CN"/>
                <w:highlight w:val="none"/>
              </w:rPr>
              <w:t>3</w:t>
            </w:r>
            <w:r>
              <w:rPr>
                <w:rFonts w:hint="eastAsia"/>
                <w:color w:val="auto"/>
                <w:lang w:val="en-US" w:eastAsia="zh-CN"/>
                <w:highlight w:val="none"/>
              </w:rPr>
              <w:t>，颗粒物的排放速率为0.058kg/h。</w:t>
            </w:r>
          </w:p>
          <w:p>
            <w:pPr>
              <w:pStyle w:val="15"/>
              <w:rPr>
                <w:color w:val="auto"/>
                <w:lang w:val="en-US" w:eastAsia="zh-CN"/>
              </w:rPr>
            </w:pPr>
            <w:r>
              <w:rPr>
                <w:color w:val="auto"/>
                <w:lang w:val="en-US" w:eastAsia="zh-CN"/>
              </w:rPr>
              <w:t>烘干废气</w:t>
            </w:r>
            <w:r>
              <w:rPr>
                <w:rFonts w:hint="eastAsia"/>
                <w:color w:val="auto"/>
                <w:lang w:val="en-US" w:eastAsia="zh-CN"/>
              </w:rPr>
              <w:t>氨</w:t>
            </w:r>
            <w:r>
              <w:rPr>
                <w:color w:val="auto"/>
                <w:lang w:val="en-US" w:eastAsia="zh-CN"/>
              </w:rPr>
              <w:t>：</w:t>
            </w:r>
          </w:p>
          <w:p>
            <w:pPr>
              <w:pStyle w:val="15"/>
              <w:rPr>
                <w:rFonts w:cs="Times New Roman" w:hint="eastAsia"/>
                <w:color w:val="auto"/>
                <w:kern w:val="0"/>
                <w:sz w:val="24"/>
                <w:szCs w:val="24"/>
                <w:lang w:val="en-US" w:eastAsia="zh-CN"/>
                <w:highlight w:val="yellow"/>
              </w:rPr>
            </w:pPr>
            <w:r>
              <w:rPr>
                <w:rFonts w:ascii="Times New Roman" w:eastAsia="宋体" w:cs="Times New Roman" w:hAnsi="Times New Roman" w:hint="eastAsia"/>
                <w:color w:val="auto"/>
                <w:lang w:val="en-US" w:eastAsia="zh-CN"/>
              </w:rPr>
              <w:t>本次技改</w:t>
            </w:r>
            <w:r>
              <w:rPr>
                <w:rFonts w:cs="Times New Roman" w:hint="eastAsia"/>
                <w:color w:val="auto"/>
                <w:lang w:val="en-US" w:eastAsia="zh-CN"/>
              </w:rPr>
              <w:t>在</w:t>
            </w:r>
            <w:r>
              <w:rPr>
                <w:rFonts w:ascii="Times New Roman" w:eastAsia="宋体" w:cs="Times New Roman" w:hAnsi="Times New Roman" w:hint="eastAsia"/>
                <w:color w:val="auto"/>
                <w:lang w:val="en-US" w:eastAsia="zh-CN"/>
              </w:rPr>
              <w:t>挤压造粒</w:t>
            </w:r>
            <w:r>
              <w:rPr>
                <w:rFonts w:cs="Times New Roman" w:hint="eastAsia"/>
                <w:color w:val="auto"/>
                <w:lang w:val="en-US" w:eastAsia="zh-CN"/>
              </w:rPr>
              <w:t>生产线增加整形、喷脲、裹油、铺粉</w:t>
            </w:r>
            <w:r>
              <w:rPr>
                <w:rFonts w:ascii="Times New Roman" w:eastAsia="宋体" w:cs="Times New Roman" w:hAnsi="Times New Roman" w:hint="eastAsia"/>
                <w:color w:val="auto"/>
                <w:lang w:val="en-US" w:eastAsia="zh-CN"/>
              </w:rPr>
              <w:t>工艺，其余生产工艺</w:t>
            </w:r>
            <w:r>
              <w:rPr>
                <w:rFonts w:cs="Times New Roman" w:hint="eastAsia"/>
                <w:color w:val="auto"/>
                <w:lang w:val="en-US" w:eastAsia="zh-CN"/>
              </w:rPr>
              <w:t>、</w:t>
            </w:r>
            <w:r>
              <w:rPr>
                <w:rFonts w:ascii="Times New Roman" w:eastAsia="宋体" w:cs="Times New Roman" w:hAnsi="Times New Roman" w:hint="eastAsia"/>
                <w:color w:val="auto"/>
                <w:lang w:val="en-US" w:eastAsia="zh-CN"/>
              </w:rPr>
              <w:t>产排污环节</w:t>
            </w:r>
            <w:r>
              <w:rPr>
                <w:rFonts w:cs="Times New Roman" w:hint="eastAsia"/>
                <w:color w:val="auto"/>
                <w:lang w:val="en-US" w:eastAsia="zh-CN"/>
              </w:rPr>
              <w:t>及原料</w:t>
            </w:r>
            <w:r>
              <w:rPr>
                <w:rFonts w:ascii="Times New Roman" w:eastAsia="宋体" w:cs="Times New Roman" w:hAnsi="Times New Roman" w:hint="eastAsia"/>
                <w:color w:val="auto"/>
                <w:lang w:val="en-US" w:eastAsia="zh-CN"/>
              </w:rPr>
              <w:t>与本项目技改前一致</w:t>
            </w:r>
            <w:r>
              <w:rPr>
                <w:rFonts w:cs="Times New Roman" w:hint="eastAsia"/>
                <w:color w:val="auto"/>
                <w:lang w:val="en-US" w:eastAsia="zh-CN"/>
              </w:rPr>
              <w:t>。</w:t>
            </w:r>
            <w:r>
              <w:rPr>
                <w:rFonts w:ascii="宋体" w:eastAsia="宋体" w:cs="宋体" w:hAnsi="宋体" w:hint="eastAsia"/>
                <w:color w:val="auto"/>
                <w:kern w:val="0"/>
                <w:sz w:val="24"/>
                <w:szCs w:val="24"/>
                <w:lang w:val="en-US" w:eastAsia="zh-CN"/>
              </w:rPr>
              <w:t>根</w:t>
            </w:r>
            <w:r>
              <w:rPr>
                <w:rFonts w:ascii="Times New Roman" w:eastAsia="宋体" w:cs="Times New Roman" w:hAnsi="Times New Roman"/>
                <w:color w:val="auto"/>
                <w:kern w:val="0"/>
                <w:sz w:val="24"/>
                <w:szCs w:val="24"/>
                <w:lang w:val="en-US" w:eastAsia="zh-CN"/>
              </w:rPr>
              <w:t>据河北欣蓝环境科技有限公司2022年12月为河北卓峰化肥有限公司出具的检测报告（XLKJ检字（2022）第10172号）可知：排气筒（P</w:t>
            </w:r>
            <w:r>
              <w:rPr>
                <w:rFonts w:ascii="Times New Roman" w:eastAsia="宋体" w:cs="Times New Roman" w:hAnsi="Times New Roman" w:hint="eastAsia"/>
                <w:color w:val="auto"/>
                <w:kern w:val="0"/>
                <w:sz w:val="24"/>
                <w:szCs w:val="24"/>
                <w:lang w:val="en-US" w:eastAsia="zh-CN"/>
              </w:rPr>
              <w:t>3</w:t>
            </w:r>
            <w:r>
              <w:rPr>
                <w:rFonts w:ascii="Times New Roman" w:eastAsia="宋体" w:cs="Times New Roman" w:hAnsi="Times New Roman"/>
                <w:color w:val="auto"/>
                <w:kern w:val="0"/>
                <w:sz w:val="24"/>
                <w:szCs w:val="24"/>
                <w:lang w:val="en-US" w:eastAsia="zh-CN"/>
              </w:rPr>
              <w:t>）</w:t>
            </w:r>
            <w:r>
              <w:rPr>
                <w:rFonts w:ascii="Times New Roman" w:eastAsia="宋体" w:cs="Times New Roman" w:hAnsi="Times New Roman" w:hint="eastAsia"/>
                <w:color w:val="auto"/>
                <w:kern w:val="0"/>
                <w:sz w:val="24"/>
                <w:szCs w:val="24"/>
                <w:lang w:val="en-US" w:eastAsia="zh-CN"/>
              </w:rPr>
              <w:t>进口</w:t>
            </w:r>
            <w:r>
              <w:rPr>
                <w:rFonts w:cs="Times New Roman" w:hint="eastAsia"/>
                <w:color w:val="auto"/>
                <w:kern w:val="0"/>
                <w:sz w:val="24"/>
                <w:szCs w:val="24"/>
                <w:lang w:val="en-US" w:eastAsia="zh-CN"/>
                <w:highlight w:val="none"/>
              </w:rPr>
              <w:t>标干流量最大值</w:t>
            </w:r>
            <w:r>
              <w:rPr>
                <w:rFonts w:ascii="Times New Roman" w:eastAsia="宋体" w:cs="Times New Roman" w:hAnsi="Times New Roman"/>
                <w:color w:val="auto"/>
                <w:kern w:val="0"/>
                <w:sz w:val="24"/>
                <w:szCs w:val="24"/>
                <w:lang w:val="en-US" w:eastAsia="zh-CN"/>
                <w:highlight w:val="none"/>
              </w:rPr>
              <w:t>为</w:t>
            </w:r>
            <w:r>
              <w:rPr>
                <w:rFonts w:cs="Times New Roman" w:hint="eastAsia"/>
                <w:color w:val="auto"/>
                <w:kern w:val="0"/>
                <w:sz w:val="24"/>
                <w:szCs w:val="24"/>
                <w:lang w:val="en-US" w:eastAsia="zh-CN"/>
                <w:highlight w:val="none"/>
              </w:rPr>
              <w:t>13354</w:t>
            </w:r>
            <w:r>
              <w:rPr>
                <w:rFonts w:ascii="Times New Roman" w:eastAsia="宋体" w:cs="Times New Roman" w:hAnsi="Times New Roman"/>
                <w:color w:val="auto"/>
                <w:kern w:val="0"/>
                <w:sz w:val="24"/>
                <w:szCs w:val="24"/>
                <w:lang w:val="en-US" w:eastAsia="zh-CN"/>
                <w:highlight w:val="none"/>
              </w:rPr>
              <w:t>m</w:t>
            </w:r>
            <w:r>
              <w:rPr>
                <w:rFonts w:ascii="Times New Roman" w:eastAsia="宋体" w:cs="Times New Roman" w:hAnsi="Times New Roman"/>
                <w:color w:val="auto"/>
                <w:kern w:val="0"/>
                <w:sz w:val="24"/>
                <w:szCs w:val="24"/>
                <w:vertAlign w:val="superscript"/>
                <w:lang w:val="en-US" w:eastAsia="zh-CN"/>
                <w:highlight w:val="none"/>
              </w:rPr>
              <w:t>3</w:t>
            </w:r>
            <w:r>
              <w:rPr>
                <w:rFonts w:ascii="Times New Roman" w:eastAsia="宋体" w:cs="Times New Roman" w:hAnsi="Times New Roman"/>
                <w:color w:val="auto"/>
                <w:kern w:val="0"/>
                <w:sz w:val="24"/>
                <w:szCs w:val="24"/>
                <w:lang w:val="en-US" w:eastAsia="zh-CN"/>
                <w:highlight w:val="none"/>
              </w:rPr>
              <w:t>/h</w:t>
            </w:r>
            <w:r>
              <w:rPr>
                <w:rFonts w:ascii="Times New Roman" w:eastAsia="宋体" w:cs="Times New Roman" w:hAnsi="Times New Roman" w:hint="eastAsia"/>
                <w:color w:val="auto"/>
                <w:kern w:val="0"/>
                <w:sz w:val="24"/>
                <w:szCs w:val="24"/>
                <w:lang w:val="en-US" w:eastAsia="zh-CN"/>
                <w:highlight w:val="none"/>
              </w:rPr>
              <w:t>，氨产生浓度</w:t>
            </w:r>
            <w:r>
              <w:rPr>
                <w:rFonts w:cs="Times New Roman" w:hint="eastAsia"/>
                <w:color w:val="auto"/>
                <w:kern w:val="0"/>
                <w:sz w:val="24"/>
                <w:szCs w:val="24"/>
                <w:lang w:val="en-US" w:eastAsia="zh-CN"/>
                <w:highlight w:val="none"/>
              </w:rPr>
              <w:t>最大值</w:t>
            </w:r>
            <w:r>
              <w:rPr>
                <w:rFonts w:ascii="Times New Roman" w:eastAsia="宋体" w:cs="Times New Roman" w:hAnsi="Times New Roman" w:hint="eastAsia"/>
                <w:color w:val="auto"/>
                <w:kern w:val="0"/>
                <w:sz w:val="24"/>
                <w:szCs w:val="24"/>
                <w:lang w:val="en-US" w:eastAsia="zh-CN"/>
                <w:highlight w:val="none"/>
              </w:rPr>
              <w:t>为</w:t>
            </w:r>
            <w:r>
              <w:rPr>
                <w:rFonts w:cs="Times New Roman" w:hint="eastAsia"/>
                <w:color w:val="auto"/>
                <w:kern w:val="0"/>
                <w:sz w:val="24"/>
                <w:szCs w:val="24"/>
                <w:lang w:val="en-US" w:eastAsia="zh-CN"/>
                <w:highlight w:val="none"/>
              </w:rPr>
              <w:t>7.02</w:t>
            </w:r>
            <w:r>
              <w:rPr>
                <w:rFonts w:ascii="Times New Roman" w:eastAsia="宋体" w:cs="Times New Roman" w:hAnsi="Times New Roman" w:hint="eastAsia"/>
                <w:color w:val="auto"/>
                <w:kern w:val="0"/>
                <w:sz w:val="24"/>
                <w:szCs w:val="24"/>
                <w:lang w:val="en-US" w:eastAsia="zh-CN"/>
                <w:highlight w:val="none"/>
              </w:rPr>
              <w:t>mg/m</w:t>
            </w:r>
            <w:r>
              <w:rPr>
                <w:rFonts w:ascii="Times New Roman" w:eastAsia="宋体" w:cs="Times New Roman" w:hAnsi="Times New Roman" w:hint="eastAsia"/>
                <w:color w:val="auto"/>
                <w:kern w:val="0"/>
                <w:sz w:val="24"/>
                <w:szCs w:val="24"/>
                <w:vertAlign w:val="superscript"/>
                <w:lang w:val="en-US" w:eastAsia="zh-CN"/>
                <w:highlight w:val="none"/>
              </w:rPr>
              <w:t>3</w:t>
            </w:r>
            <w:r>
              <w:rPr>
                <w:rFonts w:ascii="Times New Roman" w:eastAsia="宋体" w:cs="Times New Roman" w:hAnsi="Times New Roman" w:hint="eastAsia"/>
                <w:color w:val="auto"/>
                <w:kern w:val="0"/>
                <w:sz w:val="24"/>
                <w:szCs w:val="24"/>
                <w:lang w:val="en-US" w:eastAsia="zh-CN"/>
                <w:highlight w:val="none"/>
              </w:rPr>
              <w:t>，</w:t>
            </w:r>
            <w:r>
              <w:rPr>
                <w:rFonts w:ascii="Times New Roman" w:eastAsia="宋体" w:cs="Times New Roman" w:hAnsi="Times New Roman"/>
                <w:color w:val="auto"/>
                <w:kern w:val="0"/>
                <w:sz w:val="24"/>
                <w:szCs w:val="24"/>
                <w:lang w:val="en-US" w:eastAsia="zh-CN"/>
                <w:highlight w:val="none"/>
              </w:rPr>
              <w:t>氨</w:t>
            </w:r>
            <w:r>
              <w:rPr>
                <w:rFonts w:ascii="Times New Roman" w:eastAsia="宋体" w:cs="Times New Roman" w:hAnsi="Times New Roman" w:hint="eastAsia"/>
                <w:color w:val="auto"/>
                <w:kern w:val="0"/>
                <w:sz w:val="24"/>
                <w:szCs w:val="24"/>
                <w:lang w:val="en-US" w:eastAsia="zh-CN"/>
                <w:highlight w:val="none"/>
              </w:rPr>
              <w:t>产生</w:t>
            </w:r>
            <w:r>
              <w:rPr>
                <w:rFonts w:ascii="Times New Roman" w:eastAsia="宋体" w:cs="Times New Roman" w:hAnsi="Times New Roman"/>
                <w:color w:val="auto"/>
                <w:kern w:val="0"/>
                <w:sz w:val="24"/>
                <w:szCs w:val="24"/>
                <w:lang w:val="en-US" w:eastAsia="zh-CN"/>
                <w:highlight w:val="none"/>
              </w:rPr>
              <w:t>速率</w:t>
            </w:r>
            <w:r>
              <w:rPr>
                <w:rFonts w:cs="Times New Roman" w:hint="eastAsia"/>
                <w:color w:val="auto"/>
                <w:kern w:val="0"/>
                <w:sz w:val="24"/>
                <w:szCs w:val="24"/>
                <w:lang w:val="en-US" w:eastAsia="zh-CN"/>
                <w:highlight w:val="none"/>
              </w:rPr>
              <w:t>最大值</w:t>
            </w:r>
            <w:r>
              <w:rPr>
                <w:rFonts w:ascii="Times New Roman" w:eastAsia="宋体" w:cs="Times New Roman" w:hAnsi="Times New Roman"/>
                <w:color w:val="auto"/>
                <w:kern w:val="0"/>
                <w:sz w:val="24"/>
                <w:szCs w:val="24"/>
                <w:lang w:val="en-US" w:eastAsia="zh-CN"/>
                <w:highlight w:val="none"/>
              </w:rPr>
              <w:t>为0.0</w:t>
            </w:r>
            <w:r>
              <w:rPr>
                <w:rFonts w:cs="Times New Roman" w:hint="eastAsia"/>
                <w:color w:val="auto"/>
                <w:kern w:val="0"/>
                <w:sz w:val="24"/>
                <w:szCs w:val="24"/>
                <w:lang w:val="en-US" w:eastAsia="zh-CN"/>
                <w:highlight w:val="none"/>
              </w:rPr>
              <w:t>91</w:t>
            </w:r>
            <w:r>
              <w:rPr>
                <w:rFonts w:ascii="Times New Roman" w:eastAsia="宋体" w:cs="Times New Roman" w:hAnsi="Times New Roman"/>
                <w:color w:val="auto"/>
                <w:kern w:val="0"/>
                <w:sz w:val="24"/>
                <w:szCs w:val="24"/>
                <w:lang w:val="en-US" w:eastAsia="zh-CN"/>
                <w:highlight w:val="none"/>
              </w:rPr>
              <w:t>kg/h，</w:t>
            </w:r>
            <w:r>
              <w:rPr>
                <w:rFonts w:ascii="Times New Roman" w:eastAsia="宋体" w:cs="Times New Roman" w:hAnsi="Times New Roman" w:hint="eastAsia"/>
                <w:color w:val="auto"/>
                <w:kern w:val="0"/>
                <w:sz w:val="24"/>
                <w:szCs w:val="24"/>
                <w:lang w:val="en-US" w:eastAsia="zh-CN"/>
                <w:highlight w:val="none"/>
              </w:rPr>
              <w:t>检测工况</w:t>
            </w:r>
            <w:r>
              <w:rPr>
                <w:rFonts w:cs="Times New Roman" w:hint="eastAsia"/>
                <w:color w:val="auto"/>
                <w:kern w:val="0"/>
                <w:sz w:val="24"/>
                <w:szCs w:val="24"/>
                <w:lang w:val="en-US" w:eastAsia="zh-CN"/>
                <w:highlight w:val="none"/>
              </w:rPr>
              <w:t>100</w:t>
            </w:r>
            <w:r>
              <w:rPr>
                <w:rFonts w:ascii="Times New Roman" w:eastAsia="宋体" w:cs="Times New Roman" w:hAnsi="Times New Roman" w:hint="eastAsia"/>
                <w:color w:val="auto"/>
                <w:kern w:val="0"/>
                <w:sz w:val="24"/>
                <w:szCs w:val="24"/>
                <w:lang w:val="en-US" w:eastAsia="zh-CN"/>
                <w:highlight w:val="none"/>
              </w:rPr>
              <w:t>%，氨的去除效率为73.6%，生产时间4800h/a</w:t>
            </w:r>
            <w:r>
              <w:rPr>
                <w:rFonts w:cs="Times New Roman" w:hint="eastAsia"/>
                <w:color w:val="auto"/>
                <w:kern w:val="0"/>
                <w:sz w:val="24"/>
                <w:szCs w:val="24"/>
                <w:lang w:val="en-US" w:eastAsia="zh-CN"/>
                <w:highlight w:val="none"/>
              </w:rPr>
              <w:t>，经计算氨产生量为0.450t。废气经管道收集（收集效率以100%计）通过旋风除尘器TA002+布袋除尘器TA003+旋转吸附机+水喷淋塔处理后（由检测报告可知对氨去除效率为73.6%）由15m排气筒（P3）排放，氨产生量为0.450t，氨的产生浓度为6.25mg/m</w:t>
            </w:r>
            <w:r>
              <w:rPr>
                <w:rFonts w:cs="Times New Roman" w:hint="eastAsia"/>
                <w:color w:val="auto"/>
                <w:kern w:val="0"/>
                <w:sz w:val="24"/>
                <w:szCs w:val="24"/>
                <w:vertAlign w:val="superscript"/>
                <w:lang w:val="en-US" w:eastAsia="zh-CN"/>
                <w:highlight w:val="none"/>
              </w:rPr>
              <w:t>3</w:t>
            </w:r>
            <w:r>
              <w:rPr>
                <w:rFonts w:cs="Times New Roman" w:hint="eastAsia"/>
                <w:color w:val="auto"/>
                <w:kern w:val="0"/>
                <w:sz w:val="24"/>
                <w:szCs w:val="24"/>
                <w:lang w:val="en-US" w:eastAsia="zh-CN"/>
                <w:highlight w:val="none"/>
              </w:rPr>
              <w:t>，氨的产生速率为0.094kg/h，</w:t>
            </w:r>
            <w:r>
              <w:rPr>
                <w:rFonts w:ascii="Times New Roman" w:eastAsia="宋体" w:cs="Times New Roman" w:hAnsi="Times New Roman" w:hint="eastAsia"/>
                <w:color w:val="auto"/>
                <w:kern w:val="0"/>
                <w:sz w:val="24"/>
                <w:szCs w:val="24"/>
                <w:lang w:val="en-US" w:eastAsia="zh-CN"/>
                <w:highlight w:val="none"/>
              </w:rPr>
              <w:t>氨排放量为0.119</w:t>
            </w:r>
            <w:r>
              <w:rPr>
                <w:rFonts w:cs="Times New Roman" w:hint="eastAsia"/>
                <w:color w:val="auto"/>
                <w:kern w:val="0"/>
                <w:sz w:val="24"/>
                <w:szCs w:val="24"/>
                <w:lang w:val="en-US" w:eastAsia="zh-CN"/>
                <w:highlight w:val="none"/>
              </w:rPr>
              <w:t>t，氨排放浓度为1.65mg/m</w:t>
            </w:r>
            <w:r>
              <w:rPr>
                <w:rFonts w:cs="Times New Roman" w:hint="eastAsia"/>
                <w:color w:val="auto"/>
                <w:kern w:val="0"/>
                <w:sz w:val="24"/>
                <w:szCs w:val="24"/>
                <w:vertAlign w:val="superscript"/>
                <w:lang w:val="en-US" w:eastAsia="zh-CN"/>
                <w:highlight w:val="none"/>
              </w:rPr>
              <w:t>3</w:t>
            </w:r>
            <w:r>
              <w:rPr>
                <w:rFonts w:cs="Times New Roman" w:hint="eastAsia"/>
                <w:color w:val="auto"/>
                <w:kern w:val="0"/>
                <w:sz w:val="24"/>
                <w:szCs w:val="24"/>
                <w:lang w:val="en-US" w:eastAsia="zh-CN"/>
                <w:highlight w:val="none"/>
              </w:rPr>
              <w:t>，氨排放速率为0.025kg/h。</w:t>
            </w:r>
          </w:p>
          <w:p>
            <w:pPr>
              <w:rPr>
                <w:rFonts w:ascii="Times New Roman" w:eastAsia="宋体" w:cs="Times New Roman" w:hAnsi="Times New Roman"/>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烘干废气臭气浓度</w:t>
            </w:r>
            <w:r>
              <w:rPr>
                <w:rFonts w:ascii="Times New Roman" w:eastAsia="宋体" w:cs="Times New Roman" w:hAnsi="Times New Roman"/>
                <w:color w:val="auto"/>
                <w:kern w:val="2"/>
                <w:sz w:val="24"/>
                <w:szCs w:val="20"/>
                <w:lang w:val="en-US" w:eastAsia="zh-CN" w:bidi="ar-SA"/>
              </w:rPr>
              <w:t>：</w:t>
            </w:r>
          </w:p>
          <w:p>
            <w:pPr>
              <w:rPr>
                <w:rFonts w:ascii="Times New Roman" w:eastAsia="宋体" w:cs="Times New Roman" w:hAnsi="Times New Roman" w:hint="eastAsia"/>
                <w:color w:val="auto"/>
                <w:lang w:val="en-US" w:eastAsia="zh-CN"/>
              </w:rPr>
            </w:pPr>
            <w:r>
              <w:rPr>
                <w:rFonts w:ascii="Times New Roman" w:eastAsia="宋体" w:cs="Times New Roman" w:hAnsi="Times New Roman"/>
                <w:color w:val="auto"/>
                <w:lang w:val="en-US" w:eastAsia="zh-CN"/>
              </w:rPr>
              <w:t>本次技改在挤压造粒生产线增加整形、喷脲、裹油、铺粉工艺，其余生产工艺、产排污环节及原料与本项目技改前一致。根据河北环海检测科技有限公司2025年6月30日为河北卓峰化肥有限公司出具的检测报告（HHJC自行监测【2025】369号）可知：P</w:t>
            </w:r>
            <w:r>
              <w:rPr>
                <w:rFonts w:ascii="Times New Roman" w:eastAsia="宋体" w:cs="Times New Roman" w:hAnsi="Times New Roman" w:hint="eastAsia"/>
                <w:color w:val="auto"/>
                <w:lang w:val="en-US" w:eastAsia="zh-CN"/>
              </w:rPr>
              <w:t>3</w:t>
            </w:r>
            <w:r>
              <w:rPr>
                <w:rFonts w:ascii="Times New Roman" w:eastAsia="宋体" w:cs="Times New Roman" w:hAnsi="Times New Roman"/>
                <w:color w:val="auto"/>
                <w:lang w:val="en-US" w:eastAsia="zh-CN"/>
              </w:rPr>
              <w:t>排气筒出口</w:t>
            </w:r>
            <w:r>
              <w:rPr>
                <w:rFonts w:cs="Times New Roman" w:hint="eastAsia"/>
                <w:color w:val="auto"/>
                <w:kern w:val="0"/>
                <w:sz w:val="24"/>
                <w:szCs w:val="24"/>
                <w:lang w:val="en-US" w:eastAsia="zh-CN"/>
              </w:rPr>
              <w:t>标干流量</w:t>
            </w:r>
            <w:r>
              <w:rPr>
                <w:rFonts w:ascii="Times New Roman" w:eastAsia="宋体" w:cs="Times New Roman" w:hAnsi="Times New Roman" w:hint="eastAsia"/>
                <w:color w:val="auto"/>
                <w:kern w:val="0"/>
                <w:sz w:val="24"/>
                <w:szCs w:val="24"/>
                <w:lang w:val="en-US" w:eastAsia="zh-CN"/>
              </w:rPr>
              <w:t>最大值</w:t>
            </w:r>
            <w:r>
              <w:rPr>
                <w:rFonts w:ascii="Times New Roman" w:eastAsia="宋体" w:cs="Times New Roman" w:hAnsi="Times New Roman"/>
                <w:color w:val="auto"/>
                <w:kern w:val="0"/>
                <w:sz w:val="24"/>
                <w:szCs w:val="24"/>
                <w:lang w:val="en-US" w:eastAsia="zh-CN"/>
              </w:rPr>
              <w:t>为</w:t>
            </w:r>
            <w:r>
              <w:rPr>
                <w:rFonts w:ascii="Times New Roman" w:eastAsia="宋体" w:cs="Times New Roman" w:hAnsi="Times New Roman" w:hint="eastAsia"/>
                <w:color w:val="auto"/>
                <w:kern w:val="0"/>
                <w:sz w:val="24"/>
                <w:szCs w:val="24"/>
                <w:lang w:val="en-US" w:eastAsia="zh-CN"/>
              </w:rPr>
              <w:t>11777</w:t>
            </w:r>
            <w:r>
              <w:rPr>
                <w:rFonts w:ascii="Times New Roman" w:eastAsia="宋体" w:cs="Times New Roman" w:hAnsi="Times New Roman"/>
                <w:color w:val="auto"/>
                <w:kern w:val="0"/>
                <w:sz w:val="24"/>
                <w:szCs w:val="24"/>
                <w:lang w:val="en-US" w:eastAsia="zh-CN"/>
              </w:rPr>
              <w:t>m</w:t>
            </w:r>
            <w:r>
              <w:rPr>
                <w:rFonts w:ascii="Times New Roman" w:eastAsia="宋体" w:cs="Times New Roman" w:hAnsi="Times New Roman"/>
                <w:color w:val="auto"/>
                <w:kern w:val="0"/>
                <w:sz w:val="24"/>
                <w:szCs w:val="24"/>
                <w:vertAlign w:val="superscript"/>
                <w:lang w:val="en-US" w:eastAsia="zh-CN"/>
              </w:rPr>
              <w:t>3</w:t>
            </w:r>
            <w:r>
              <w:rPr>
                <w:rFonts w:ascii="Times New Roman" w:eastAsia="宋体" w:cs="Times New Roman" w:hAnsi="Times New Roman"/>
                <w:color w:val="auto"/>
                <w:kern w:val="0"/>
                <w:sz w:val="24"/>
                <w:szCs w:val="24"/>
                <w:lang w:val="en-US" w:eastAsia="zh-CN"/>
              </w:rPr>
              <w:t>/h</w:t>
            </w:r>
            <w:r>
              <w:rPr>
                <w:rFonts w:ascii="Times New Roman" w:eastAsia="宋体" w:cs="Times New Roman" w:hAnsi="Times New Roman" w:hint="eastAsia"/>
                <w:color w:val="auto"/>
                <w:kern w:val="0"/>
                <w:sz w:val="24"/>
                <w:szCs w:val="24"/>
                <w:lang w:val="en-US" w:eastAsia="zh-CN"/>
              </w:rPr>
              <w:t>，</w:t>
            </w:r>
            <w:r>
              <w:rPr>
                <w:rFonts w:ascii="Times New Roman" w:eastAsia="宋体" w:cs="Times New Roman" w:hAnsi="Times New Roman" w:hint="eastAsia"/>
                <w:color w:val="auto"/>
                <w:lang w:val="en-US" w:eastAsia="zh-CN"/>
              </w:rPr>
              <w:t>臭气浓度</w:t>
            </w:r>
            <w:r>
              <w:rPr>
                <w:rFonts w:ascii="Times New Roman" w:eastAsia="宋体" w:cs="Times New Roman" w:hAnsi="Times New Roman"/>
                <w:color w:val="auto"/>
                <w:lang w:val="en-US" w:eastAsia="zh-CN"/>
              </w:rPr>
              <w:t>最大</w:t>
            </w:r>
            <w:r>
              <w:rPr>
                <w:rFonts w:ascii="Times New Roman" w:eastAsia="宋体" w:cs="Times New Roman" w:hAnsi="Times New Roman" w:hint="eastAsia"/>
                <w:color w:val="auto"/>
                <w:lang w:val="en-US" w:eastAsia="zh-CN"/>
              </w:rPr>
              <w:t>值为977（无量纲）。</w:t>
            </w:r>
          </w:p>
          <w:p>
            <w:pPr>
              <w:rPr>
                <w:lang w:val="en-US" w:eastAsia="zh-CN"/>
              </w:rPr>
            </w:pPr>
            <w:r>
              <w:rPr>
                <w:lang w:val="en-US" w:eastAsia="zh-CN"/>
              </w:rPr>
              <w:t>烘干废气</w:t>
            </w:r>
            <w:r>
              <w:rPr>
                <w:rFonts w:hint="eastAsia"/>
                <w:lang w:val="en-US" w:eastAsia="zh-CN"/>
              </w:rPr>
              <w:t>甲醛</w:t>
            </w:r>
            <w:r>
              <w:rPr>
                <w:lang w:val="en-US" w:eastAsia="zh-CN"/>
              </w:rPr>
              <w:t>：</w:t>
            </w:r>
          </w:p>
          <w:p>
            <w:pPr>
              <w:rPr>
                <w:rFonts w:ascii="Times New Roman" w:eastAsia="宋体" w:cs="Times New Roman" w:hAnsi="Times New Roman" w:hint="eastAsia"/>
                <w:color w:val="auto"/>
                <w:lang w:val="en-US" w:eastAsia="zh-CN"/>
              </w:rPr>
            </w:pPr>
            <w:r>
              <w:rPr>
                <w:rFonts w:ascii="Times New Roman" w:eastAsia="宋体" w:cs="Times New Roman" w:hAnsi="Times New Roman" w:hint="eastAsia"/>
                <w:color w:val="auto"/>
                <w:lang w:val="en-US" w:eastAsia="zh-CN"/>
              </w:rPr>
              <w:t>根据本项目所用脲甲醛溶液（50%含水率）厂家出具的成分分析报告单可知产品标准游离甲醛含量≤0.001%。本项目以最不利条件游离甲醛0.001%全部挥发计算，则甲醛产生量为0.002t。废气经管道收集（收集效率以100%计）通过旋风除尘器TA002+布袋除尘器TA003+旋转吸附机+水喷淋塔处理后（根据《广东省生态环境厅关于印发工业源挥发性有机物和氮氧化物减排量核算方法的通知》（粤环函[2023]538号）表3.3-3废气治理效率参考值，喷淋吸收对水溶性有机物（甲醛、甲醇、乙醇等水溶性物质）的处理效率为30%）由15m排气筒（P3）排放，甲醛的产生量为0.002t，</w:t>
            </w:r>
            <w:r>
              <w:rPr>
                <w:rFonts w:ascii="Times New Roman" w:eastAsia="宋体" w:cs="Times New Roman" w:hAnsi="Times New Roman" w:hint="eastAsia"/>
                <w:color w:val="auto"/>
                <w:lang w:val="en-US" w:eastAsia="zh-CN"/>
                <w:highlight w:val="none"/>
              </w:rPr>
              <w:t>甲醛的产生浓度为0.0</w:t>
            </w:r>
            <w:r>
              <w:rPr>
                <w:rFonts w:cs="Times New Roman" w:hint="eastAsia"/>
                <w:color w:val="auto"/>
                <w:lang w:val="en-US" w:eastAsia="zh-CN"/>
                <w:highlight w:val="none"/>
              </w:rPr>
              <w:t>28</w:t>
            </w:r>
            <w:r>
              <w:rPr>
                <w:rFonts w:ascii="Times New Roman" w:eastAsia="宋体" w:cs="Times New Roman" w:hAnsi="Times New Roman" w:hint="eastAsia"/>
                <w:color w:val="auto"/>
                <w:lang w:val="en-US" w:eastAsia="zh-CN"/>
                <w:highlight w:val="none"/>
              </w:rPr>
              <w:t>mg/m</w:t>
            </w:r>
            <w:r>
              <w:rPr>
                <w:rFonts w:ascii="Times New Roman" w:eastAsia="宋体" w:cs="Times New Roman" w:hAnsi="Times New Roman" w:hint="eastAsia"/>
                <w:color w:val="auto"/>
                <w:vertAlign w:val="superscript"/>
                <w:lang w:val="en-US" w:eastAsia="zh-CN"/>
                <w:highlight w:val="none"/>
              </w:rPr>
              <w:t>3</w:t>
            </w:r>
            <w:r>
              <w:rPr>
                <w:rFonts w:ascii="Times New Roman" w:eastAsia="宋体" w:cs="Times New Roman" w:hAnsi="Times New Roman" w:hint="eastAsia"/>
                <w:color w:val="auto"/>
                <w:lang w:val="en-US" w:eastAsia="zh-CN"/>
                <w:highlight w:val="none"/>
              </w:rPr>
              <w:t>，甲醛的产生速率为0.0004kg/h；甲醛排放量为0.0014t/a，甲醛的排放浓度为0.02</w:t>
            </w:r>
            <w:r>
              <w:rPr>
                <w:rFonts w:cs="Times New Roman" w:hint="eastAsia"/>
                <w:color w:val="auto"/>
                <w:lang w:val="en-US" w:eastAsia="zh-CN"/>
                <w:highlight w:val="none"/>
              </w:rPr>
              <w:t>0</w:t>
            </w:r>
            <w:r>
              <w:rPr>
                <w:rFonts w:ascii="Times New Roman" w:eastAsia="宋体" w:cs="Times New Roman" w:hAnsi="Times New Roman" w:hint="eastAsia"/>
                <w:color w:val="auto"/>
                <w:lang w:val="en-US" w:eastAsia="zh-CN"/>
                <w:highlight w:val="none"/>
              </w:rPr>
              <w:t>mg/m</w:t>
            </w:r>
            <w:r>
              <w:rPr>
                <w:rFonts w:ascii="Times New Roman" w:eastAsia="宋体" w:cs="Times New Roman" w:hAnsi="Times New Roman" w:hint="eastAsia"/>
                <w:color w:val="auto"/>
                <w:vertAlign w:val="superscript"/>
                <w:lang w:val="en-US" w:eastAsia="zh-CN"/>
                <w:highlight w:val="none"/>
              </w:rPr>
              <w:t>3</w:t>
            </w:r>
            <w:r>
              <w:rPr>
                <w:rFonts w:ascii="Times New Roman" w:eastAsia="宋体" w:cs="Times New Roman" w:hAnsi="Times New Roman" w:hint="eastAsia"/>
                <w:color w:val="auto"/>
                <w:lang w:val="en-US" w:eastAsia="zh-CN"/>
                <w:highlight w:val="none"/>
              </w:rPr>
              <w:t>，甲醛的排放速率为0.0003kg/h。</w:t>
            </w:r>
          </w:p>
          <w:p>
            <w:pPr>
              <w:rPr>
                <w:rFonts w:ascii="Times New Roman" w:eastAsia="宋体" w:cs="Times New Roman" w:hAnsi="Times New Roman"/>
                <w:color w:val="auto"/>
                <w:lang w:val="en-US" w:eastAsia="zh-CN"/>
              </w:rPr>
            </w:pPr>
            <w:r>
              <w:rPr>
                <w:rFonts w:ascii="Times New Roman" w:eastAsia="宋体" w:cs="Times New Roman" w:hAnsi="Times New Roman" w:hint="eastAsia"/>
                <w:color w:val="auto"/>
                <w:lang w:val="en-US" w:eastAsia="zh-CN"/>
              </w:rPr>
              <w:t>燃烧烟气颗粒物、二氧化硫、氮氧化物：</w:t>
            </w:r>
          </w:p>
          <w:p>
            <w:pPr>
              <w:rPr>
                <w:rFonts w:ascii="Times New Roman" w:eastAsia="宋体" w:cs="Times New Roman" w:hAnsi="Times New Roman"/>
                <w:color w:val="auto"/>
                <w:lang w:val="en-US" w:eastAsia="zh-CN"/>
              </w:rPr>
            </w:pPr>
            <w:r>
              <w:rPr>
                <w:rFonts w:ascii="Times New Roman" w:eastAsia="宋体" w:hAnsi="Times New Roman" w:hint="eastAsia"/>
                <w:color w:val="auto"/>
                <w:lang w:val="en-US" w:eastAsia="zh-CN"/>
              </w:rPr>
              <w:t>项目燃烧烟气产生量为4080000m</w:t>
            </w:r>
            <w:r>
              <w:rPr>
                <w:rFonts w:ascii="Times New Roman" w:eastAsia="宋体" w:hAnsi="Times New Roman" w:hint="eastAsia"/>
                <w:color w:val="auto"/>
                <w:vertAlign w:val="superscript"/>
                <w:lang w:val="en-US" w:eastAsia="zh-CN"/>
              </w:rPr>
              <w:t>3</w:t>
            </w:r>
            <w:r>
              <w:rPr>
                <w:rFonts w:ascii="Times New Roman" w:eastAsia="宋体" w:hAnsi="Times New Roman" w:hint="eastAsia"/>
                <w:color w:val="auto"/>
                <w:lang w:val="en-US" w:eastAsia="zh-CN"/>
              </w:rPr>
              <w:t>（850m</w:t>
            </w:r>
            <w:r>
              <w:rPr>
                <w:rFonts w:ascii="Times New Roman" w:eastAsia="宋体" w:hAnsi="Times New Roman" w:hint="eastAsia"/>
                <w:color w:val="auto"/>
                <w:vertAlign w:val="superscript"/>
                <w:lang w:val="en-US" w:eastAsia="zh-CN"/>
              </w:rPr>
              <w:t>3</w:t>
            </w:r>
            <w:r>
              <w:rPr>
                <w:rFonts w:ascii="Times New Roman" w:eastAsia="宋体" w:hAnsi="Times New Roman" w:hint="eastAsia"/>
                <w:color w:val="auto"/>
                <w:lang w:val="en-US" w:eastAsia="zh-CN"/>
              </w:rPr>
              <w:t>/h），颗粒物产生量为0.050t，颗粒物产生浓度为12.3mg/m</w:t>
            </w:r>
            <w:r>
              <w:rPr>
                <w:rFonts w:ascii="Times New Roman" w:eastAsia="宋体" w:hAnsi="Times New Roman" w:hint="eastAsia"/>
                <w:color w:val="auto"/>
                <w:vertAlign w:val="superscript"/>
                <w:lang w:val="en-US" w:eastAsia="zh-CN"/>
              </w:rPr>
              <w:t>3</w:t>
            </w:r>
            <w:r>
              <w:rPr>
                <w:rFonts w:ascii="Times New Roman" w:eastAsia="宋体" w:hAnsi="Times New Roman" w:hint="eastAsia"/>
                <w:color w:val="auto"/>
                <w:lang w:val="en-US" w:eastAsia="zh-CN"/>
              </w:rPr>
              <w:t>，颗粒物产生速率为0.010kg/h，二氧化硫产生量0.050t，二氧化硫产生浓度为12.3mg/m</w:t>
            </w:r>
            <w:r>
              <w:rPr>
                <w:rFonts w:ascii="Times New Roman" w:eastAsia="宋体" w:hAnsi="Times New Roman" w:hint="eastAsia"/>
                <w:color w:val="auto"/>
                <w:vertAlign w:val="superscript"/>
                <w:lang w:val="en-US" w:eastAsia="zh-CN"/>
              </w:rPr>
              <w:t>3</w:t>
            </w:r>
            <w:r>
              <w:rPr>
                <w:rFonts w:ascii="Times New Roman" w:eastAsia="宋体" w:hAnsi="Times New Roman" w:hint="eastAsia"/>
                <w:color w:val="auto"/>
                <w:lang w:val="en-US" w:eastAsia="zh-CN"/>
              </w:rPr>
              <w:t>，二氧化硫产生速率为0.010kg/h，氮氧化物产生量0.757t，氮氧化物产生浓度为185.5mg/m</w:t>
            </w:r>
            <w:r>
              <w:rPr>
                <w:rFonts w:ascii="Times New Roman" w:eastAsia="宋体" w:hAnsi="Times New Roman" w:hint="eastAsia"/>
                <w:color w:val="auto"/>
                <w:vertAlign w:val="superscript"/>
                <w:lang w:val="en-US" w:eastAsia="zh-CN"/>
              </w:rPr>
              <w:t>3</w:t>
            </w:r>
            <w:r>
              <w:rPr>
                <w:rFonts w:ascii="Times New Roman" w:eastAsia="宋体" w:hAnsi="Times New Roman" w:hint="eastAsia"/>
                <w:color w:val="auto"/>
                <w:lang w:val="en-US" w:eastAsia="zh-CN"/>
              </w:rPr>
              <w:t>，氮氧化物产生速率为0.158kg/h。燃烧烟气</w:t>
            </w:r>
            <w:r>
              <w:rPr>
                <w:rFonts w:ascii="Times New Roman" w:eastAsia="宋体" w:cs="Times New Roman" w:hAnsi="Times New Roman" w:hint="eastAsia"/>
                <w:color w:val="auto"/>
                <w:lang w:val="en-US" w:eastAsia="zh-CN"/>
              </w:rPr>
              <w:t>经管道收集（收集效率以100%计）通过旋风除尘器TA002+布袋除尘器TA003+旋转吸附机+水喷淋塔处理后（对颗粒物的去除效率为99.9%，对二氧化硫和氮氧化物的去除效率为0%）由15m排气筒（P3）排放，则颗粒物的排放量为0.00005t，颗粒物排放浓度为0.0</w:t>
            </w:r>
            <w:r>
              <w:rPr>
                <w:rFonts w:cs="Times New Roman" w:hint="eastAsia"/>
                <w:color w:val="auto"/>
                <w:lang w:val="en-US" w:eastAsia="zh-CN"/>
              </w:rPr>
              <w:t>1</w:t>
            </w:r>
            <w:r>
              <w:rPr>
                <w:rFonts w:ascii="Times New Roman" w:eastAsia="宋体" w:cs="Times New Roman" w:hAnsi="Times New Roman" w:hint="eastAsia"/>
                <w:color w:val="auto"/>
                <w:lang w:val="en-US" w:eastAsia="zh-CN"/>
              </w:rPr>
              <w:t>mg/m</w:t>
            </w:r>
            <w:r>
              <w:rPr>
                <w:rFonts w:ascii="Times New Roman" w:eastAsia="宋体" w:cs="Times New Roman" w:hAnsi="Times New Roman" w:hint="eastAsia"/>
                <w:color w:val="auto"/>
                <w:vertAlign w:val="superscript"/>
                <w:lang w:val="en-US" w:eastAsia="zh-CN"/>
              </w:rPr>
              <w:t>3</w:t>
            </w:r>
            <w:r>
              <w:rPr>
                <w:rFonts w:ascii="Times New Roman" w:eastAsia="宋体" w:cs="Times New Roman" w:hAnsi="Times New Roman" w:hint="eastAsia"/>
                <w:color w:val="auto"/>
                <w:lang w:val="en-US" w:eastAsia="zh-CN"/>
              </w:rPr>
              <w:t>，颗粒物排放速率为0.00001kg/h，二氧化硫排放量为0.05t，二氧化硫排放浓度为0.</w:t>
            </w:r>
            <w:r>
              <w:rPr>
                <w:rFonts w:cs="Times New Roman" w:hint="eastAsia"/>
                <w:color w:val="auto"/>
                <w:lang w:val="en-US" w:eastAsia="zh-CN"/>
              </w:rPr>
              <w:t>6</w:t>
            </w:r>
            <w:r>
              <w:rPr>
                <w:rFonts w:ascii="Times New Roman" w:eastAsia="宋体" w:cs="Times New Roman" w:hAnsi="Times New Roman" w:hint="eastAsia"/>
                <w:color w:val="auto"/>
                <w:lang w:val="en-US" w:eastAsia="zh-CN"/>
              </w:rPr>
              <w:t>9mg/m</w:t>
            </w:r>
            <w:r>
              <w:rPr>
                <w:rFonts w:ascii="Times New Roman" w:eastAsia="宋体" w:cs="Times New Roman" w:hAnsi="Times New Roman" w:hint="eastAsia"/>
                <w:color w:val="auto"/>
                <w:vertAlign w:val="superscript"/>
                <w:lang w:val="en-US" w:eastAsia="zh-CN"/>
              </w:rPr>
              <w:t>3</w:t>
            </w:r>
            <w:r>
              <w:rPr>
                <w:rFonts w:ascii="Times New Roman" w:eastAsia="宋体" w:cs="Times New Roman" w:hAnsi="Times New Roman" w:hint="eastAsia"/>
                <w:color w:val="auto"/>
                <w:lang w:val="en-US" w:eastAsia="zh-CN"/>
              </w:rPr>
              <w:t>，二氧化硫排放速率为0.010kg/h，氮氧化物排放量为0.757t，氮氧化物排放浓度为1</w:t>
            </w:r>
            <w:r>
              <w:rPr>
                <w:rFonts w:cs="Times New Roman" w:hint="eastAsia"/>
                <w:color w:val="auto"/>
                <w:lang w:val="en-US" w:eastAsia="zh-CN"/>
              </w:rPr>
              <w:t>0.51</w:t>
            </w:r>
            <w:r>
              <w:rPr>
                <w:rFonts w:ascii="Times New Roman" w:eastAsia="宋体" w:cs="Times New Roman" w:hAnsi="Times New Roman" w:hint="eastAsia"/>
                <w:color w:val="auto"/>
                <w:lang w:val="en-US" w:eastAsia="zh-CN"/>
              </w:rPr>
              <w:t>mg/m</w:t>
            </w:r>
            <w:r>
              <w:rPr>
                <w:rFonts w:ascii="Times New Roman" w:eastAsia="宋体" w:cs="Times New Roman" w:hAnsi="Times New Roman" w:hint="eastAsia"/>
                <w:color w:val="auto"/>
                <w:vertAlign w:val="superscript"/>
                <w:lang w:val="en-US" w:eastAsia="zh-CN"/>
              </w:rPr>
              <w:t>3</w:t>
            </w:r>
            <w:r>
              <w:rPr>
                <w:rFonts w:ascii="Times New Roman" w:eastAsia="宋体" w:cs="Times New Roman" w:hAnsi="Times New Roman" w:hint="eastAsia"/>
                <w:color w:val="auto"/>
                <w:lang w:val="en-US" w:eastAsia="zh-CN"/>
              </w:rPr>
              <w:t>，氮氧化物排放速率为0.158kg/h。</w:t>
            </w:r>
          </w:p>
          <w:p>
            <w:pPr>
              <w:rPr>
                <w:lang w:val="en-US" w:eastAsia="zh-CN"/>
              </w:rPr>
            </w:pPr>
            <w:r>
              <w:rPr>
                <w:lang w:val="en-US" w:eastAsia="zh-CN"/>
              </w:rPr>
              <w:t>排气筒P</w:t>
            </w:r>
            <w:r>
              <w:rPr>
                <w:rFonts w:hint="eastAsia"/>
                <w:lang w:val="en-US" w:eastAsia="zh-CN"/>
              </w:rPr>
              <w:t>3烘干废气</w:t>
            </w:r>
            <w:r>
              <w:rPr>
                <w:lang w:val="en-US" w:eastAsia="zh-CN"/>
              </w:rPr>
              <w:t>颗粒物、甲醛满足《大气污染物综合排放标准》(GB16297-1996)表2</w:t>
            </w:r>
            <w:r>
              <w:rPr>
                <w:rFonts w:hint="eastAsia"/>
                <w:lang w:val="en-US" w:eastAsia="zh-CN"/>
              </w:rPr>
              <w:t>二级标准限值</w:t>
            </w:r>
            <w:r>
              <w:rPr>
                <w:lang w:val="en-US" w:eastAsia="zh-CN"/>
              </w:rPr>
              <w:t>要求，氨和臭气浓度排放满足《恶臭污染物排放标准》(GB14554-93)表2排放标准值要求。</w:t>
            </w:r>
            <w:r>
              <w:rPr>
                <w:rFonts w:hint="eastAsia"/>
                <w:lang w:val="en-US" w:eastAsia="zh-CN"/>
              </w:rPr>
              <w:t>燃烧烟气颗粒物、二氧化硫、氮氧化物均满足《工业炉窑大气污染物排放标准》(DB13/1640-2012)表1标准限值及《工业炉窑大气污染综合治理方案》环大气【2019】56号文件要求。</w:t>
            </w:r>
          </w:p>
          <w:p>
            <w:pPr>
              <w:rPr>
                <w:lang w:val="en-US" w:eastAsia="zh-CN"/>
              </w:rPr>
            </w:pPr>
            <w:r>
              <w:rPr>
                <w:rFonts w:hint="eastAsia"/>
                <w:lang w:val="en-US" w:eastAsia="zh-CN"/>
              </w:rPr>
              <w:t>四</w:t>
            </w:r>
            <w:r>
              <w:rPr>
                <w:lang w:val="en-US" w:eastAsia="zh-CN"/>
              </w:rPr>
              <w:t>）</w:t>
            </w:r>
            <w:r>
              <w:rPr>
                <w:rFonts w:hint="eastAsia"/>
                <w:lang w:val="en-US" w:eastAsia="zh-CN"/>
              </w:rPr>
              <w:t>化验室</w:t>
            </w:r>
            <w:r>
              <w:rPr>
                <w:lang w:val="en-US" w:eastAsia="zh-CN"/>
              </w:rPr>
              <w:t>废气（P</w:t>
            </w:r>
            <w:r>
              <w:rPr>
                <w:rFonts w:hint="eastAsia"/>
                <w:lang w:val="en-US" w:eastAsia="zh-CN"/>
              </w:rPr>
              <w:t>4</w:t>
            </w:r>
            <w:r>
              <w:rPr>
                <w:lang w:val="en-US" w:eastAsia="zh-CN"/>
              </w:rPr>
              <w:t>排气筒）</w:t>
            </w:r>
          </w:p>
          <w:p>
            <w:pPr>
              <w:widowControl w:val="0"/>
              <w:spacing w:line="360" w:lineRule="auto"/>
              <w:ind w:firstLineChars="200" w:firstLine="480"/>
              <w:jc w:val="both"/>
              <w:rPr>
                <w:rFonts w:ascii="Times New Roman" w:eastAsia="宋体" w:cs="Times New Roman" w:hAnsi="Times New Roman"/>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化验室</w:t>
            </w:r>
            <w:r>
              <w:rPr>
                <w:rFonts w:ascii="Times New Roman" w:eastAsia="宋体" w:cs="Times New Roman" w:hAnsi="Times New Roman"/>
                <w:color w:val="auto"/>
                <w:kern w:val="2"/>
                <w:sz w:val="24"/>
                <w:szCs w:val="20"/>
                <w:lang w:val="en-US" w:eastAsia="zh-CN" w:bidi="ar-SA"/>
              </w:rPr>
              <w:t>废气主要污染物为</w:t>
            </w:r>
            <w:r>
              <w:rPr>
                <w:rFonts w:ascii="Times New Roman" w:eastAsia="宋体" w:cs="Times New Roman" w:hAnsi="Times New Roman" w:hint="eastAsia"/>
                <w:color w:val="auto"/>
                <w:kern w:val="2"/>
                <w:sz w:val="24"/>
                <w:szCs w:val="20"/>
                <w:lang w:val="en-US" w:eastAsia="zh-CN" w:bidi="ar-SA"/>
              </w:rPr>
              <w:t>氯化氢、硫酸雾、氮氧化物</w:t>
            </w:r>
            <w:r>
              <w:rPr>
                <w:rFonts w:cs="Times New Roman" w:hint="eastAsia"/>
                <w:color w:val="auto"/>
                <w:kern w:val="2"/>
                <w:sz w:val="24"/>
                <w:szCs w:val="20"/>
                <w:lang w:val="en-US" w:eastAsia="zh-CN" w:bidi="ar-SA"/>
              </w:rPr>
              <w:t>、非甲烷总烃</w:t>
            </w:r>
            <w:r>
              <w:rPr>
                <w:rFonts w:ascii="Times New Roman" w:eastAsia="宋体" w:cs="Times New Roman" w:hAnsi="Times New Roman" w:hint="eastAsia"/>
                <w:color w:val="auto"/>
                <w:kern w:val="2"/>
                <w:sz w:val="24"/>
                <w:szCs w:val="20"/>
                <w:lang w:val="en-US" w:eastAsia="zh-CN" w:bidi="ar-SA"/>
              </w:rPr>
              <w:t>。</w:t>
            </w:r>
          </w:p>
          <w:p>
            <w:pPr>
              <w:widowControl w:val="0"/>
              <w:spacing w:line="360" w:lineRule="auto"/>
              <w:ind w:firstLineChars="200" w:firstLine="480"/>
              <w:jc w:val="both"/>
              <w:rPr>
                <w:rFonts w:ascii="Times New Roman" w:eastAsia="宋体" w:cs="Times New Roman" w:hAnsi="Times New Roman" w:hint="eastAsia"/>
                <w:color w:val="auto"/>
                <w:kern w:val="2"/>
                <w:sz w:val="24"/>
                <w:szCs w:val="20"/>
                <w:lang w:val="en-US" w:eastAsia="zh-CN" w:bidi="ar-SA"/>
              </w:rPr>
            </w:pPr>
            <w:r>
              <w:rPr>
                <w:rFonts w:ascii="Times New Roman" w:eastAsia="宋体" w:cs="Times New Roman" w:hAnsi="Times New Roman"/>
                <w:color w:val="auto"/>
                <w:kern w:val="2"/>
                <w:sz w:val="24"/>
                <w:szCs w:val="20"/>
                <w:lang w:val="en-US" w:eastAsia="zh-CN" w:bidi="ar-SA"/>
              </w:rPr>
              <w:t>根据企业提供化验室各药品</w:t>
            </w:r>
            <w:r>
              <w:rPr>
                <w:rFonts w:cs="Times New Roman" w:hint="eastAsia"/>
                <w:color w:val="auto"/>
                <w:kern w:val="2"/>
                <w:sz w:val="24"/>
                <w:szCs w:val="20"/>
                <w:lang w:val="en-US" w:eastAsia="zh-CN" w:bidi="ar-SA"/>
              </w:rPr>
              <w:t>试剂</w:t>
            </w:r>
            <w:r>
              <w:rPr>
                <w:rFonts w:ascii="Times New Roman" w:eastAsia="宋体" w:cs="Times New Roman" w:hAnsi="Times New Roman"/>
                <w:color w:val="auto"/>
                <w:kern w:val="2"/>
                <w:sz w:val="24"/>
                <w:szCs w:val="20"/>
                <w:lang w:val="en-US" w:eastAsia="zh-CN" w:bidi="ar-SA"/>
              </w:rPr>
              <w:t>年用量硫酸15kg，盐酸5kg，硝酸10kg</w:t>
            </w:r>
            <w:r>
              <w:rPr>
                <w:rFonts w:cs="Times New Roman" w:hint="eastAsia"/>
                <w:color w:val="auto"/>
                <w:kern w:val="2"/>
                <w:sz w:val="24"/>
                <w:szCs w:val="20"/>
                <w:lang w:val="en-US" w:eastAsia="zh-CN" w:bidi="ar-SA"/>
              </w:rPr>
              <w:t>，丙酮12.5kg</w:t>
            </w:r>
            <w:r>
              <w:rPr>
                <w:rFonts w:ascii="Times New Roman" w:eastAsia="宋体" w:cs="Times New Roman" w:hAnsi="Times New Roman"/>
                <w:color w:val="auto"/>
                <w:kern w:val="2"/>
                <w:sz w:val="24"/>
                <w:szCs w:val="20"/>
                <w:lang w:val="en-US" w:eastAsia="zh-CN" w:bidi="ar-SA"/>
              </w:rPr>
              <w:t>。化验室所用的器具瓶口面积比较小，根据实验条件下经验，化学试剂的挥发量一般在1%~5%，本次评价取试剂（浓度100%）用量的5%为挥发量，有机溶剂丙酮按全部挥发计算</w:t>
            </w:r>
            <w:r>
              <w:rPr>
                <w:rFonts w:ascii="Times New Roman" w:eastAsia="宋体" w:cs="Times New Roman" w:hAnsi="Times New Roman" w:hint="eastAsia"/>
                <w:color w:val="auto"/>
                <w:kern w:val="2"/>
                <w:sz w:val="24"/>
                <w:szCs w:val="20"/>
                <w:lang w:val="en-US" w:eastAsia="zh-CN" w:bidi="ar-SA"/>
              </w:rPr>
              <w:t>。项目化验室废气设1个集气罩，集气罩面积为0.</w:t>
            </w:r>
            <w:r>
              <w:rPr>
                <w:rFonts w:cs="Times New Roman" w:hint="eastAsia"/>
                <w:color w:val="auto"/>
                <w:kern w:val="2"/>
                <w:sz w:val="24"/>
                <w:szCs w:val="20"/>
                <w:lang w:val="en-US" w:eastAsia="zh-CN" w:bidi="ar-SA"/>
              </w:rPr>
              <w:t>25</w:t>
            </w:r>
            <w:r>
              <w:rPr>
                <w:rFonts w:ascii="Times New Roman" w:eastAsia="宋体" w:cs="Times New Roman" w:hAnsi="Times New Roman" w:hint="eastAsia"/>
                <w:color w:val="auto"/>
                <w:kern w:val="2"/>
                <w:sz w:val="24"/>
                <w:szCs w:val="20"/>
                <w:lang w:val="en-US" w:eastAsia="zh-CN" w:bidi="ar-SA"/>
              </w:rPr>
              <w:t>m</w:t>
            </w:r>
            <w:r>
              <w:rPr>
                <w:rFonts w:ascii="Times New Roman" w:eastAsia="宋体" w:cs="Times New Roman" w:hAnsi="Times New Roman" w:hint="eastAsia"/>
                <w:color w:val="auto"/>
                <w:kern w:val="2"/>
                <w:sz w:val="24"/>
                <w:szCs w:val="20"/>
                <w:vertAlign w:val="superscript"/>
                <w:lang w:val="en-US" w:eastAsia="zh-CN" w:bidi="ar-SA"/>
              </w:rPr>
              <w:t>2</w:t>
            </w:r>
            <w:r>
              <w:rPr>
                <w:rFonts w:ascii="Times New Roman" w:eastAsia="宋体" w:cs="Times New Roman" w:hAnsi="Times New Roman" w:hint="eastAsia"/>
                <w:color w:val="auto"/>
                <w:kern w:val="2"/>
                <w:sz w:val="24"/>
                <w:szCs w:val="20"/>
                <w:lang w:val="en-US" w:eastAsia="zh-CN" w:bidi="ar-SA"/>
              </w:rPr>
              <w:t>，集气罩紧挨产污点，罩口风速可视为污染源处控制风速，根据《局部排风设施控制风速检测与评估技术规范》（AQ/T4274-2016），含尘废气侧吸式控制风速为1m/s，集气罩面积为0.</w:t>
            </w:r>
            <w:r>
              <w:rPr>
                <w:rFonts w:cs="Times New Roman" w:hint="eastAsia"/>
                <w:color w:val="auto"/>
                <w:kern w:val="2"/>
                <w:sz w:val="24"/>
                <w:szCs w:val="20"/>
                <w:lang w:val="en-US" w:eastAsia="zh-CN" w:bidi="ar-SA"/>
              </w:rPr>
              <w:t>25</w:t>
            </w:r>
            <w:r>
              <w:rPr>
                <w:rFonts w:ascii="Times New Roman" w:eastAsia="宋体" w:cs="Times New Roman" w:hAnsi="Times New Roman" w:hint="eastAsia"/>
                <w:color w:val="auto"/>
                <w:kern w:val="2"/>
                <w:sz w:val="24"/>
                <w:szCs w:val="20"/>
                <w:lang w:val="en-US" w:eastAsia="zh-CN" w:bidi="ar-SA"/>
              </w:rPr>
              <w:t>m</w:t>
            </w:r>
            <w:r>
              <w:rPr>
                <w:rFonts w:ascii="Times New Roman" w:eastAsia="宋体" w:cs="Times New Roman" w:hAnsi="Times New Roman" w:hint="eastAsia"/>
                <w:color w:val="auto"/>
                <w:kern w:val="2"/>
                <w:sz w:val="24"/>
                <w:szCs w:val="20"/>
                <w:vertAlign w:val="superscript"/>
                <w:lang w:val="en-US" w:eastAsia="zh-CN" w:bidi="ar-SA"/>
              </w:rPr>
              <w:t>2</w:t>
            </w:r>
            <w:r>
              <w:rPr>
                <w:rFonts w:ascii="Times New Roman" w:eastAsia="宋体" w:cs="Times New Roman" w:hAnsi="Times New Roman" w:hint="eastAsia"/>
                <w:color w:val="auto"/>
                <w:kern w:val="2"/>
                <w:sz w:val="24"/>
                <w:szCs w:val="20"/>
                <w:lang w:val="en-US" w:eastAsia="zh-CN" w:bidi="ar-SA"/>
              </w:rPr>
              <w:t>，根据《排风罩的分类及技术条件》（GB/T16758-2008），排风罩风量计算公式如下：</w:t>
            </w:r>
          </w:p>
          <w:p>
            <w:pPr>
              <w:widowControl w:val="0"/>
              <w:spacing w:line="360" w:lineRule="auto"/>
              <w:ind w:firstLineChars="200" w:firstLine="480"/>
              <w:jc w:val="both"/>
              <w:rPr>
                <w:rFonts w:ascii="Times New Roman" w:eastAsia="宋体" w:cs="Times New Roman" w:hAnsi="Times New Roman" w:hint="eastAsia"/>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Q=F·v</w:t>
            </w:r>
          </w:p>
          <w:p>
            <w:pPr>
              <w:widowControl w:val="0"/>
              <w:spacing w:line="360" w:lineRule="auto"/>
              <w:ind w:firstLineChars="200" w:firstLine="480"/>
              <w:jc w:val="both"/>
              <w:rPr>
                <w:rFonts w:ascii="Times New Roman" w:eastAsia="宋体" w:cs="Times New Roman" w:hAnsi="Times New Roman" w:hint="eastAsia"/>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式中：Q-排气罩的排放量，m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/s；</w:t>
            </w:r>
          </w:p>
          <w:p>
            <w:pPr>
              <w:widowControl w:val="0"/>
              <w:spacing w:line="360" w:lineRule="auto"/>
              <w:ind w:firstLineChars="200" w:firstLine="480"/>
              <w:jc w:val="both"/>
              <w:rPr>
                <w:rFonts w:ascii="Times New Roman" w:eastAsia="宋体" w:cs="Times New Roman" w:hAnsi="Times New Roman" w:hint="eastAsia"/>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F-排风罩罩口面积，m</w:t>
            </w:r>
            <w:r>
              <w:rPr>
                <w:rFonts w:ascii="Times New Roman" w:eastAsia="宋体" w:cs="Times New Roman" w:hAnsi="Times New Roman" w:hint="eastAsia"/>
                <w:color w:val="auto"/>
                <w:kern w:val="2"/>
                <w:sz w:val="24"/>
                <w:szCs w:val="20"/>
                <w:vertAlign w:val="superscript"/>
                <w:lang w:val="en-US" w:eastAsia="zh-CN" w:bidi="ar-SA"/>
              </w:rPr>
              <w:t>2</w:t>
            </w:r>
            <w:r>
              <w:rPr>
                <w:rFonts w:ascii="Times New Roman" w:eastAsia="宋体" w:cs="Times New Roman" w:hAnsi="Times New Roman" w:hint="eastAsia"/>
                <w:color w:val="auto"/>
                <w:kern w:val="2"/>
                <w:sz w:val="24"/>
                <w:szCs w:val="20"/>
                <w:lang w:val="en-US" w:eastAsia="zh-CN" w:bidi="ar-SA"/>
              </w:rPr>
              <w:t>；</w:t>
            </w:r>
          </w:p>
          <w:p>
            <w:pPr>
              <w:widowControl w:val="0"/>
              <w:spacing w:line="360" w:lineRule="auto"/>
              <w:ind w:firstLineChars="200" w:firstLine="480"/>
              <w:jc w:val="both"/>
              <w:rPr>
                <w:rFonts w:ascii="Times New Roman" w:eastAsia="宋体" w:cs="Times New Roman" w:hAnsi="Times New Roman" w:hint="eastAsia"/>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v-排风罩罩口平均风速，m/s。</w:t>
            </w:r>
          </w:p>
          <w:p>
            <w:pPr>
              <w:widowControl w:val="0"/>
              <w:spacing w:line="360" w:lineRule="auto"/>
              <w:ind w:firstLineChars="200" w:firstLine="480"/>
              <w:jc w:val="both"/>
              <w:rPr>
                <w:rFonts w:ascii="Times New Roman" w:eastAsia="宋体" w:cs="Times New Roman" w:hAnsi="Times New Roman"/>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经计算，化验室废气所需要的风量为</w:t>
            </w:r>
            <w:r>
              <w:rPr>
                <w:rFonts w:cs="Times New Roman" w:hint="eastAsia"/>
                <w:color w:val="auto"/>
                <w:kern w:val="2"/>
                <w:sz w:val="24"/>
                <w:szCs w:val="20"/>
                <w:lang w:val="en-US" w:eastAsia="zh-CN" w:bidi="ar-SA"/>
              </w:rPr>
              <w:t>9</w:t>
            </w:r>
            <w:r>
              <w:rPr>
                <w:rFonts w:ascii="Times New Roman" w:eastAsia="宋体" w:cs="Times New Roman" w:hAnsi="Times New Roman" w:hint="eastAsia"/>
                <w:color w:val="auto"/>
                <w:kern w:val="2"/>
                <w:sz w:val="24"/>
                <w:szCs w:val="20"/>
                <w:lang w:val="en-US" w:eastAsia="zh-CN" w:bidi="ar-SA"/>
              </w:rPr>
              <w:t>00m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/h，</w:t>
            </w:r>
            <w:r>
              <w:rPr>
                <w:rFonts w:cs="Times New Roman" w:hint="eastAsia"/>
                <w:color w:val="auto"/>
                <w:kern w:val="2"/>
                <w:sz w:val="24"/>
                <w:szCs w:val="20"/>
                <w:lang w:val="en-US" w:eastAsia="zh-CN" w:bidi="ar-SA"/>
              </w:rPr>
              <w:t>P4</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排气筒设置风机风量</w:t>
            </w:r>
            <w:r>
              <w:rPr>
                <w:rFonts w:ascii="Times New Roman" w:eastAsia="宋体" w:cs="Times New Roman" w:hAnsi="Times New Roman"/>
                <w:color w:val="000000"/>
                <w:sz w:val="24"/>
                <w:szCs w:val="24"/>
                <w14:textFill>
                  <w14:solidFill>
                    <w14:srgbClr w14:val="000000"/>
                  </w14:solidFill>
                </w14:textFill>
                <w:lang w:eastAsia="zh-CN"/>
              </w:rPr>
              <w:t>为</w:t>
            </w:r>
            <w:r>
              <w:rPr>
                <w:rFonts w:cs="Times New Roman" w:hint="eastAsia"/>
                <w:color w:val="000000"/>
                <w:sz w:val="24"/>
                <w:szCs w:val="24"/>
                <w14:textFill>
                  <w14:solidFill>
                    <w14:srgbClr w14:val="000000"/>
                  </w14:solidFill>
                </w14:textFill>
                <w:lang w:val="en-US" w:eastAsia="zh-CN"/>
              </w:rPr>
              <w:t>1</w:t>
            </w:r>
            <w:r>
              <w:rPr>
                <w:rFonts w:ascii="Times New Roman" w:eastAsia="宋体" w:cs="Times New Roman" w:hAnsi="Times New Roman" w:hint="eastAsia"/>
                <w:color w:val="000000"/>
                <w:sz w:val="24"/>
                <w:szCs w:val="24"/>
                <w14:textFill>
                  <w14:solidFill>
                    <w14:srgbClr w14:val="000000"/>
                  </w14:solidFill>
                </w14:textFill>
                <w:lang w:val="en-US" w:eastAsia="zh-CN"/>
              </w:rPr>
              <w:t>000</w:t>
            </w:r>
            <w:r>
              <w:rPr>
                <w:rFonts w:ascii="Times New Roman" w:eastAsia="宋体" w:cs="Times New Roman" w:hAnsi="Times New Roman"/>
                <w:color w:val="000000"/>
                <w:sz w:val="24"/>
                <w:szCs w:val="24"/>
                <w14:textFill>
                  <w14:solidFill>
                    <w14:srgbClr w14:val="000000"/>
                  </w14:solidFill>
                </w14:textFill>
                <w:lang w:eastAsia="zh-CN"/>
              </w:rPr>
              <w:t>m</w:t>
            </w:r>
            <w:r>
              <w:rPr>
                <w:rFonts w:ascii="Times New Roman" w:eastAsia="宋体" w:cs="Times New Roman" w:hAnsi="Times New Roman"/>
                <w:color w:val="000000"/>
                <w:sz w:val="24"/>
                <w:szCs w:val="24"/>
                <w:vertAlign w:val="superscript"/>
                <w14:textFill>
                  <w14:solidFill>
                    <w14:srgbClr w14:val="000000"/>
                  </w14:solidFill>
                </w14:textFill>
                <w:lang w:eastAsia="zh-CN"/>
              </w:rPr>
              <w:t>3</w:t>
            </w:r>
            <w:r>
              <w:rPr>
                <w:rFonts w:ascii="Times New Roman" w:eastAsia="宋体" w:cs="Times New Roman" w:hAnsi="Times New Roman"/>
                <w:color w:val="000000"/>
                <w:sz w:val="24"/>
                <w:szCs w:val="24"/>
                <w14:textFill>
                  <w14:solidFill>
                    <w14:srgbClr w14:val="000000"/>
                  </w14:solidFill>
                </w14:textFill>
                <w:lang w:eastAsia="zh-CN"/>
              </w:rPr>
              <w:t>/h，</w:t>
            </w:r>
            <w:r>
              <w:rPr>
                <w:rFonts w:ascii="Times New Roman" w:eastAsia="宋体" w:cs="Times New Roman" w:hAnsi="Times New Roman" w:hint="eastAsia"/>
                <w:color w:val="000000"/>
                <w:sz w:val="24"/>
                <w:szCs w:val="24"/>
                <w14:textFill>
                  <w14:solidFill>
                    <w14:srgbClr w14:val="000000"/>
                  </w14:solidFill>
                </w14:textFill>
                <w:lang w:val="en-US" w:eastAsia="zh-CN"/>
              </w:rPr>
              <w:t>可满足生产需求，化验室年运行1000h</w:t>
            </w:r>
            <w:r>
              <w:rPr>
                <w:rFonts w:ascii="Times New Roman" w:eastAsia="宋体" w:cs="Times New Roman" w:hAnsi="Times New Roman"/>
                <w:color w:val="000000"/>
                <w:sz w:val="24"/>
                <w:szCs w:val="24"/>
                <w14:textFill>
                  <w14:solidFill>
                    <w14:srgbClr w14:val="000000"/>
                  </w14:solidFill>
                </w14:textFill>
                <w:lang w:eastAsia="zh-CN"/>
              </w:rPr>
              <w:t>。</w:t>
            </w:r>
          </w:p>
          <w:p>
            <w:pPr>
              <w:widowControl w:val="0"/>
              <w:spacing w:line="360" w:lineRule="auto"/>
              <w:ind w:firstLineChars="200" w:firstLine="480"/>
              <w:jc w:val="both"/>
              <w:rPr>
                <w:rFonts w:ascii="Times New Roman" w:eastAsia="宋体" w:cs="Times New Roman" w:hAnsi="Times New Roman"/>
                <w:color w:val="auto"/>
                <w:kern w:val="2"/>
                <w:sz w:val="24"/>
                <w:szCs w:val="20"/>
                <w:lang w:val="en-US" w:eastAsia="zh-CN" w:bidi="ar-SA"/>
              </w:rPr>
            </w:pPr>
            <w:r>
              <w:rPr>
                <w:rFonts w:ascii="Times New Roman" w:eastAsia="宋体" w:cs="Times New Roman" w:hAnsi="Times New Roman" w:hint="eastAsia"/>
                <w:color w:val="auto"/>
                <w:kern w:val="2"/>
                <w:sz w:val="24"/>
                <w:szCs w:val="20"/>
                <w:lang w:val="en-US" w:eastAsia="zh-CN" w:bidi="ar-SA"/>
              </w:rPr>
              <w:t>化验室废气硫酸雾产生量为0.00075t</w:t>
            </w:r>
            <w:r>
              <w:rPr>
                <w:rFonts w:cs="Times New Roman" w:hint="eastAsia"/>
                <w:color w:val="auto"/>
                <w:kern w:val="2"/>
                <w:sz w:val="24"/>
                <w:szCs w:val="20"/>
                <w:lang w:val="en-US" w:eastAsia="zh-CN" w:bidi="ar-SA"/>
              </w:rPr>
              <w:t>，</w:t>
            </w:r>
            <w:r>
              <w:rPr>
                <w:rFonts w:ascii="Times New Roman" w:eastAsia="宋体" w:cs="Times New Roman" w:hAnsi="Times New Roman" w:hint="eastAsia"/>
                <w:color w:val="auto"/>
                <w:kern w:val="2"/>
                <w:sz w:val="24"/>
                <w:szCs w:val="20"/>
                <w:lang w:val="en-US" w:eastAsia="zh-CN" w:bidi="ar-SA"/>
              </w:rPr>
              <w:t>产生浓度为0.</w:t>
            </w:r>
            <w:r>
              <w:rPr>
                <w:rFonts w:cs="Times New Roman" w:hint="eastAsia"/>
                <w:color w:val="auto"/>
                <w:kern w:val="2"/>
                <w:sz w:val="24"/>
                <w:szCs w:val="20"/>
                <w:lang w:val="en-US" w:eastAsia="zh-CN" w:bidi="ar-SA"/>
              </w:rPr>
              <w:t>68</w:t>
            </w:r>
            <w:r>
              <w:rPr>
                <w:rFonts w:ascii="Times New Roman" w:eastAsia="宋体" w:cs="Times New Roman" w:hAnsi="Times New Roman" w:hint="eastAsia"/>
                <w:color w:val="auto"/>
                <w:kern w:val="2"/>
                <w:sz w:val="24"/>
                <w:szCs w:val="20"/>
                <w:lang w:val="en-US" w:eastAsia="zh-CN" w:bidi="ar-SA"/>
              </w:rPr>
              <w:t>mg/m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，产生速率为0.00075kg/h，氯化氢产生量为0.00025t，产生浓度为0.</w:t>
            </w:r>
            <w:r>
              <w:rPr>
                <w:rFonts w:cs="Times New Roman" w:hint="eastAsia"/>
                <w:color w:val="auto"/>
                <w:kern w:val="2"/>
                <w:sz w:val="24"/>
                <w:szCs w:val="20"/>
                <w:lang w:val="en-US" w:eastAsia="zh-CN" w:bidi="ar-SA"/>
              </w:rPr>
              <w:t>23</w:t>
            </w:r>
            <w:r>
              <w:rPr>
                <w:rFonts w:ascii="Times New Roman" w:eastAsia="宋体" w:cs="Times New Roman" w:hAnsi="Times New Roman" w:hint="eastAsia"/>
                <w:color w:val="auto"/>
                <w:kern w:val="2"/>
                <w:sz w:val="24"/>
                <w:szCs w:val="20"/>
                <w:lang w:val="en-US" w:eastAsia="zh-CN" w:bidi="ar-SA"/>
              </w:rPr>
              <w:t>mg/m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，产生速率为0.00025kg/h，氮氧化物产生量为0.0005t，产生浓度为0.</w:t>
            </w:r>
            <w:r>
              <w:rPr>
                <w:rFonts w:cs="Times New Roman" w:hint="eastAsia"/>
                <w:color w:val="auto"/>
                <w:kern w:val="2"/>
                <w:sz w:val="24"/>
                <w:szCs w:val="20"/>
                <w:lang w:val="en-US" w:eastAsia="zh-CN" w:bidi="ar-SA"/>
              </w:rPr>
              <w:t>4</w:t>
            </w:r>
            <w:r>
              <w:rPr>
                <w:rFonts w:ascii="Times New Roman" w:eastAsia="宋体" w:cs="Times New Roman" w:hAnsi="Times New Roman" w:hint="eastAsia"/>
                <w:color w:val="auto"/>
                <w:kern w:val="2"/>
                <w:sz w:val="24"/>
                <w:szCs w:val="20"/>
                <w:lang w:val="en-US" w:eastAsia="zh-CN" w:bidi="ar-SA"/>
              </w:rPr>
              <w:t>5mg/m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，产生速率为0.0005kg/h</w:t>
            </w:r>
            <w:r>
              <w:rPr>
                <w:rFonts w:cs="Times New Roman" w:hint="eastAsia"/>
                <w:color w:val="auto"/>
                <w:kern w:val="2"/>
                <w:sz w:val="24"/>
                <w:szCs w:val="20"/>
                <w:lang w:val="en-US" w:eastAsia="zh-CN" w:bidi="ar-SA"/>
              </w:rPr>
              <w:t>，丙酮产生量为0.0125t，产生浓度为11.25mg/m</w:t>
            </w:r>
            <w:r>
              <w:rPr>
                <w:rFonts w:cs="Times New Roman" w:hint="eastAsia"/>
                <w:color w:val="auto"/>
                <w:kern w:val="2"/>
                <w:sz w:val="24"/>
                <w:szCs w:val="20"/>
                <w:vertAlign w:val="superscript"/>
                <w:lang w:val="en-US" w:eastAsia="zh-CN" w:bidi="ar-SA"/>
              </w:rPr>
              <w:t>3</w:t>
            </w:r>
            <w:r>
              <w:rPr>
                <w:rFonts w:cs="Times New Roman" w:hint="eastAsia"/>
                <w:color w:val="auto"/>
                <w:kern w:val="2"/>
                <w:sz w:val="24"/>
                <w:szCs w:val="20"/>
                <w:lang w:val="en-US" w:eastAsia="zh-CN" w:bidi="ar-SA"/>
              </w:rPr>
              <w:t>，产生速率为0.0125kg/h</w:t>
            </w:r>
            <w:r>
              <w:rPr>
                <w:rFonts w:ascii="Times New Roman" w:eastAsia="宋体" w:cs="Times New Roman" w:hAnsi="Times New Roman" w:hint="eastAsia"/>
                <w:color w:val="auto"/>
                <w:kern w:val="2"/>
                <w:sz w:val="24"/>
                <w:szCs w:val="20"/>
                <w:lang w:val="en-US" w:eastAsia="zh-CN" w:bidi="ar-SA"/>
              </w:rPr>
              <w:t>。废气通过集气罩收集（收集效率以90%计），通过二级活性炭吸附装置（根据《吸附法工业有机废气治理工程技术规范》(HJ2026-2013)要求吸附装置的净化效率不得低于90%，本项目一级活性炭治理效率约为70%，二级活性炭治理效率约为6</w:t>
            </w:r>
            <w:r>
              <w:rPr>
                <w:rFonts w:cs="Times New Roman" w:hint="eastAsia"/>
                <w:color w:val="auto"/>
                <w:kern w:val="2"/>
                <w:sz w:val="24"/>
                <w:szCs w:val="20"/>
                <w:lang w:val="en-US" w:eastAsia="zh-CN" w:bidi="ar-SA"/>
              </w:rPr>
              <w:t>7</w:t>
            </w:r>
            <w:r>
              <w:rPr>
                <w:rFonts w:ascii="Times New Roman" w:eastAsia="宋体" w:cs="Times New Roman" w:hAnsi="Times New Roman" w:hint="eastAsia"/>
                <w:color w:val="auto"/>
                <w:kern w:val="2"/>
                <w:sz w:val="24"/>
                <w:szCs w:val="20"/>
                <w:lang w:val="en-US" w:eastAsia="zh-CN" w:bidi="ar-SA"/>
              </w:rPr>
              <w:t>%，对非甲烷总烃的综合去除效率为90%）</w:t>
            </w:r>
            <w:r>
              <w:rPr>
                <w:rFonts w:cs="Times New Roman" w:hint="eastAsia"/>
                <w:color w:val="auto"/>
                <w:kern w:val="2"/>
                <w:sz w:val="24"/>
                <w:szCs w:val="20"/>
                <w:lang w:val="en-US" w:eastAsia="zh-CN" w:bidi="ar-SA"/>
              </w:rPr>
              <w:t>+</w:t>
            </w:r>
            <w:r>
              <w:rPr>
                <w:rFonts w:ascii="Times New Roman" w:eastAsia="宋体" w:cs="Times New Roman" w:hAnsi="Times New Roman" w:hint="eastAsia"/>
                <w:color w:val="auto"/>
                <w:kern w:val="2"/>
                <w:sz w:val="24"/>
                <w:szCs w:val="20"/>
                <w:lang w:val="en-US" w:eastAsia="zh-CN" w:bidi="ar-SA"/>
              </w:rPr>
              <w:t>干式酸雾净化器处理后（对无机废气氯化氢、硫酸雾、氮氧化物的去除效率为85%）经15m排气筒</w:t>
            </w:r>
            <w:r>
              <w:rPr>
                <w:rFonts w:cs="Times New Roman" w:hint="eastAsia"/>
                <w:color w:val="auto"/>
                <w:kern w:val="2"/>
                <w:sz w:val="24"/>
                <w:szCs w:val="20"/>
                <w:lang w:val="en-US" w:eastAsia="zh-CN" w:bidi="ar-SA"/>
              </w:rPr>
              <w:t>P4</w:t>
            </w:r>
            <w:r>
              <w:rPr>
                <w:rFonts w:ascii="Times New Roman" w:eastAsia="宋体" w:cs="Times New Roman" w:hAnsi="Times New Roman" w:hint="eastAsia"/>
                <w:color w:val="auto"/>
                <w:kern w:val="2"/>
                <w:sz w:val="24"/>
                <w:szCs w:val="20"/>
                <w:lang w:val="en-US" w:eastAsia="zh-CN" w:bidi="ar-SA"/>
              </w:rPr>
              <w:t>排放，则硫酸雾排放量为0.0001t，硫酸雾排放浓度为0.</w:t>
            </w:r>
            <w:r>
              <w:rPr>
                <w:rFonts w:cs="Times New Roman" w:hint="eastAsia"/>
                <w:color w:val="auto"/>
                <w:kern w:val="2"/>
                <w:sz w:val="24"/>
                <w:szCs w:val="20"/>
                <w:lang w:val="en-US" w:eastAsia="zh-CN" w:bidi="ar-SA"/>
              </w:rPr>
              <w:t>102</w:t>
            </w:r>
            <w:r>
              <w:rPr>
                <w:rFonts w:ascii="Times New Roman" w:eastAsia="宋体" w:cs="Times New Roman" w:hAnsi="Times New Roman" w:hint="eastAsia"/>
                <w:color w:val="auto"/>
                <w:kern w:val="2"/>
                <w:sz w:val="24"/>
                <w:szCs w:val="20"/>
                <w:lang w:val="en-US" w:eastAsia="zh-CN" w:bidi="ar-SA"/>
              </w:rPr>
              <w:t>mg/m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，硫酸雾排放速率为0.0001kg/h，氯化氢排放量为0.00003t，氯化氢排放浓度为0.0</w:t>
            </w:r>
            <w:r>
              <w:rPr>
                <w:rFonts w:cs="Times New Roman" w:hint="eastAsia"/>
                <w:color w:val="auto"/>
                <w:kern w:val="2"/>
                <w:sz w:val="24"/>
                <w:szCs w:val="20"/>
                <w:lang w:val="en-US" w:eastAsia="zh-CN" w:bidi="ar-SA"/>
              </w:rPr>
              <w:t>34</w:t>
            </w:r>
            <w:r>
              <w:rPr>
                <w:rFonts w:ascii="Times New Roman" w:eastAsia="宋体" w:cs="Times New Roman" w:hAnsi="Times New Roman" w:hint="eastAsia"/>
                <w:color w:val="auto"/>
                <w:kern w:val="2"/>
                <w:sz w:val="24"/>
                <w:szCs w:val="20"/>
                <w:lang w:val="en-US" w:eastAsia="zh-CN" w:bidi="ar-SA"/>
              </w:rPr>
              <w:t>mg/m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，氯化氢排放速率为0.00003kg/h，氮氧化物排放量为0.00007t，氮氧化物排放浓度为0.0</w:t>
            </w:r>
            <w:r>
              <w:rPr>
                <w:rFonts w:cs="Times New Roman" w:hint="eastAsia"/>
                <w:color w:val="auto"/>
                <w:kern w:val="2"/>
                <w:sz w:val="24"/>
                <w:szCs w:val="20"/>
                <w:lang w:val="en-US" w:eastAsia="zh-CN" w:bidi="ar-SA"/>
              </w:rPr>
              <w:t>68</w:t>
            </w:r>
            <w:r>
              <w:rPr>
                <w:rFonts w:ascii="Times New Roman" w:eastAsia="宋体" w:cs="Times New Roman" w:hAnsi="Times New Roman" w:hint="eastAsia"/>
                <w:color w:val="auto"/>
                <w:kern w:val="2"/>
                <w:sz w:val="24"/>
                <w:szCs w:val="20"/>
                <w:lang w:val="en-US" w:eastAsia="zh-CN" w:bidi="ar-SA"/>
              </w:rPr>
              <w:t>mg/m</w:t>
            </w:r>
            <w:r>
              <w:rPr>
                <w:rFonts w:ascii="Times New Roman" w:eastAsia="宋体" w:cs="Times New Roman" w:hAnsi="Times New Roman" w:hint="eastAsia"/>
                <w:color w:val="auto"/>
                <w:kern w:val="2"/>
                <w:sz w:val="24"/>
                <w:szCs w:val="20"/>
                <w:vertAlign w:val="superscript"/>
                <w:lang w:val="en-US" w:eastAsia="zh-CN" w:bidi="ar-SA"/>
              </w:rPr>
              <w:t>3</w:t>
            </w:r>
            <w:r>
              <w:rPr>
                <w:rFonts w:ascii="Times New Roman" w:eastAsia="宋体" w:cs="Times New Roman" w:hAnsi="Times New Roman" w:hint="eastAsia"/>
                <w:color w:val="auto"/>
                <w:kern w:val="2"/>
                <w:sz w:val="24"/>
                <w:szCs w:val="20"/>
                <w:lang w:val="en-US" w:eastAsia="zh-CN" w:bidi="ar-SA"/>
              </w:rPr>
              <w:t>，氮氧化物排放速率为0.00007kg/h</w:t>
            </w:r>
            <w:r>
              <w:rPr>
                <w:rFonts w:cs="Times New Roman" w:hint="eastAsia"/>
                <w:color w:val="auto"/>
                <w:kern w:val="2"/>
                <w:sz w:val="24"/>
                <w:szCs w:val="20"/>
                <w:lang w:val="en-US" w:eastAsia="zh-CN" w:bidi="ar-SA"/>
              </w:rPr>
              <w:t>，丙酮排放量为0.001t，丙酮排放浓度为1.125mg/m</w:t>
            </w:r>
            <w:r>
              <w:rPr>
                <w:rFonts w:cs="Times New Roman" w:hint="eastAsia"/>
                <w:color w:val="auto"/>
                <w:kern w:val="2"/>
                <w:sz w:val="24"/>
                <w:szCs w:val="20"/>
                <w:vertAlign w:val="superscript"/>
                <w:lang w:val="en-US" w:eastAsia="zh-CN" w:bidi="ar-SA"/>
              </w:rPr>
              <w:t>3</w:t>
            </w:r>
            <w:r>
              <w:rPr>
                <w:rFonts w:cs="Times New Roman" w:hint="eastAsia"/>
                <w:color w:val="auto"/>
                <w:kern w:val="2"/>
                <w:sz w:val="24"/>
                <w:szCs w:val="20"/>
                <w:lang w:val="en-US" w:eastAsia="zh-CN" w:bidi="ar-SA"/>
              </w:rPr>
              <w:t>，丙酮排放速率为0.001kg/h</w:t>
            </w:r>
            <w:r>
              <w:rPr>
                <w:rFonts w:ascii="Times New Roman" w:eastAsia="宋体" w:cs="Times New Roman" w:hAnsi="Times New Roman" w:hint="eastAsia"/>
                <w:color w:val="auto"/>
                <w:kern w:val="2"/>
                <w:sz w:val="24"/>
                <w:szCs w:val="20"/>
                <w:lang w:val="en-US" w:eastAsia="zh-CN" w:bidi="ar-SA"/>
              </w:rPr>
              <w:t>。</w:t>
            </w:r>
          </w:p>
          <w:p>
            <w:pPr>
              <w:rPr>
                <w:lang w:val="en-US" w:eastAsia="zh-CN"/>
              </w:rPr>
            </w:pPr>
            <w:r>
              <w:rPr>
                <w:rFonts w:hint="eastAsia"/>
                <w:lang w:val="en-US" w:eastAsia="zh-CN"/>
              </w:rPr>
              <w:t>化验室废气排气筒P4氯化氢、硫酸雾、氮氧化物排放满足《大气污染物综合排放标准》（GB16297-1996）表2二级标准；非甲烷总烃（丙酮）排放满足《工业企业挥发性有机物排放控制标准》（DB13/2322-2025）表1其他工业行业排放限值要求。</w:t>
            </w:r>
          </w:p>
          <w:p>
            <w:pPr>
              <w:widowControl/>
              <w:rPr>
                <w:rFonts w:ascii="Times New Roman" w:eastAsia="宋体" w:cs="Times New Roman" w:hAnsi="Times New Roman"/>
                <w:color w:val="auto"/>
                <w:kern w:val="0"/>
                <w:sz w:val="24"/>
                <w:szCs w:val="24"/>
                <w:lang w:val="en-US" w:eastAsia="zh-CN"/>
              </w:rPr>
            </w:pPr>
            <w:r>
              <w:rPr>
                <w:rFonts w:hint="eastAsia"/>
                <w:color w:val="auto"/>
              </w:rPr>
              <w:t>（二）无组织废气</w:t>
            </w:r>
          </w:p>
          <w:p>
            <w:pPr>
              <w:keepNext w:val="0"/>
              <w:keepLines w:val="0"/>
              <w:widowControl/>
              <w:suppressLineNumbers w:val="0"/>
              <w:jc w:val="left"/>
              <w:rPr>
                <w:rFonts w:ascii="Times New Roman" w:eastAsia="宋体" w:cs="Times New Roman" w:hAnsi="Times New Roman"/>
                <w:color w:val="auto"/>
                <w:kern w:val="0"/>
                <w:sz w:val="24"/>
                <w:szCs w:val="24"/>
                <w:lang w:val="en-US" w:eastAsia="zh-CN"/>
              </w:rPr>
            </w:pPr>
            <w:r>
              <w:rPr>
                <w:rFonts w:cs="Times New Roman" w:hint="eastAsia"/>
                <w:color w:val="auto"/>
                <w:kern w:val="0"/>
                <w:sz w:val="24"/>
                <w:szCs w:val="24"/>
                <w:lang w:val="en-US" w:eastAsia="zh-CN"/>
              </w:rPr>
              <w:t>颗粒物：</w:t>
            </w:r>
          </w:p>
          <w:p>
            <w:pPr>
              <w:keepNext w:val="0"/>
              <w:keepLines w:val="0"/>
              <w:widowControl/>
              <w:suppressLineNumbers w:val="0"/>
              <w:jc w:val="left"/>
              <w:rPr>
                <w:rFonts w:cs="Times New Roman"/>
                <w:color w:val="auto"/>
                <w:kern w:val="0"/>
                <w:sz w:val="24"/>
                <w:szCs w:val="24"/>
                <w:lang w:val="en-US" w:eastAsia="zh-CN"/>
              </w:rPr>
            </w:pPr>
            <w:r>
              <w:rPr>
                <w:rFonts w:cs="Times New Roman" w:hint="eastAsia"/>
                <w:color w:val="auto"/>
                <w:kern w:val="0"/>
                <w:sz w:val="24"/>
                <w:szCs w:val="24"/>
                <w:lang w:val="en-US" w:eastAsia="zh-CN"/>
              </w:rPr>
              <w:t>中微量元素混合车间</w:t>
            </w:r>
            <w:r>
              <w:rPr>
                <w:rFonts w:ascii="Times New Roman" w:eastAsia="宋体" w:cs="Times New Roman" w:hAnsi="Times New Roman"/>
                <w:color w:val="auto"/>
                <w:kern w:val="0"/>
                <w:sz w:val="24"/>
                <w:szCs w:val="24"/>
                <w:lang w:val="en-US" w:eastAsia="zh-CN"/>
              </w:rPr>
              <w:t>（排气筒P1）</w:t>
            </w:r>
            <w:r>
              <w:rPr>
                <w:rFonts w:cs="Times New Roman" w:hint="eastAsia"/>
                <w:color w:val="auto"/>
                <w:kern w:val="0"/>
                <w:sz w:val="24"/>
                <w:szCs w:val="24"/>
                <w:lang w:val="en-US" w:eastAsia="zh-CN"/>
              </w:rPr>
              <w:t>无组织废气颗粒物排放量为1.4t。</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无组织废气颗粒物排放量为42t。</w:t>
            </w:r>
          </w:p>
          <w:p>
            <w:pPr>
              <w:keepNext w:val="0"/>
              <w:keepLines w:val="0"/>
              <w:widowControl/>
              <w:suppressLineNumbers w:val="0"/>
              <w:jc w:val="left"/>
              <w:rPr>
                <w:rFonts w:cs="Times New Roman"/>
                <w:color w:val="auto"/>
                <w:kern w:val="0"/>
                <w:sz w:val="24"/>
                <w:szCs w:val="24"/>
                <w:lang w:val="en-US" w:eastAsia="zh-CN"/>
              </w:rPr>
            </w:pPr>
            <w:r>
              <w:rPr>
                <w:rFonts w:cs="Times New Roman" w:hint="eastAsia"/>
                <w:color w:val="auto"/>
                <w:kern w:val="0"/>
                <w:sz w:val="24"/>
                <w:szCs w:val="24"/>
                <w:lang w:val="en-US" w:eastAsia="zh-CN"/>
              </w:rPr>
              <w:t>全厂无组织颗粒物排放量为43.4t，排放速率为9.042kg/h。</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氨：</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无组织废气氨排放量为0.008t。</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全厂无组织氨排放量为0.008t，排放速率为0.002kg/h。</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甲醛：</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挤压造粒生产线车间投料废气、第一次破碎废气、第二次破碎废气、挤压造粒废气、第一次筛分废气、整形废气、喷脲废气、冷却废气、第二次筛分废气、裹油废气、铺粉废气、抛光废气、装袋废气和复混肥生产线车间投料废气、包装废气（P2排气筒）无组织废气甲醛排放量为0.0001t。</w:t>
            </w:r>
          </w:p>
          <w:p>
            <w:pPr>
              <w:keepNext w:val="0"/>
              <w:keepLines w:val="0"/>
              <w:widowControl/>
              <w:suppressLineNumbers w:val="0"/>
              <w:jc w:val="left"/>
              <w:rPr>
                <w:rFonts w:cs="Times New Roman"/>
                <w:color w:val="auto"/>
                <w:kern w:val="0"/>
                <w:sz w:val="24"/>
                <w:szCs w:val="24"/>
                <w:lang w:val="en-US" w:eastAsia="zh-CN"/>
              </w:rPr>
            </w:pPr>
            <w:r>
              <w:rPr>
                <w:rFonts w:cs="Times New Roman" w:hint="eastAsia"/>
                <w:color w:val="auto"/>
                <w:kern w:val="0"/>
                <w:sz w:val="24"/>
                <w:szCs w:val="24"/>
                <w:lang w:val="en-US" w:eastAsia="zh-CN"/>
              </w:rPr>
              <w:t>全厂无组织甲醛排放量为0.0001t，排放速率为0.00002kg/h。</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非甲烷总烃：</w:t>
            </w:r>
          </w:p>
          <w:p>
            <w:pPr>
              <w:keepNext w:val="0"/>
              <w:keepLines w:val="0"/>
              <w:widowControl/>
              <w:suppressLineNumbers w:val="0"/>
              <w:jc w:val="left"/>
              <w:rPr>
                <w:rFonts w:cs="Times New Roman"/>
                <w:color w:val="auto"/>
                <w:kern w:val="0"/>
                <w:sz w:val="24"/>
                <w:szCs w:val="24"/>
                <w:lang w:val="en-US" w:eastAsia="zh-CN"/>
              </w:rPr>
            </w:pPr>
            <w:r>
              <w:rPr>
                <w:rFonts w:cs="Times New Roman"/>
                <w:color w:val="auto"/>
                <w:kern w:val="0"/>
                <w:sz w:val="24"/>
                <w:szCs w:val="24"/>
                <w:lang w:val="en-US" w:eastAsia="zh-CN"/>
              </w:rPr>
              <w:t>挤压造粒生产线车间</w:t>
            </w:r>
            <w:r>
              <w:rPr>
                <w:rFonts w:cs="Times New Roman" w:hint="eastAsia"/>
                <w:color w:val="auto"/>
                <w:kern w:val="0"/>
                <w:sz w:val="24"/>
                <w:szCs w:val="24"/>
                <w:lang w:val="en-US" w:eastAsia="zh-CN"/>
              </w:rPr>
              <w:t>投料废气、</w:t>
            </w:r>
            <w:r>
              <w:rPr>
                <w:rFonts w:cs="Times New Roman"/>
                <w:color w:val="auto"/>
                <w:kern w:val="0"/>
                <w:sz w:val="24"/>
                <w:szCs w:val="24"/>
                <w:lang w:val="en-US" w:eastAsia="zh-CN"/>
              </w:rPr>
              <w:t>第一次破碎废气、第二次破碎废气、挤压造粒废气、第一次筛分废气、整形废气、喷脲废气、冷却废气、第二次筛分废气、裹油废气、铺粉废气、抛光废气、装袋废气和复混肥生产线车间投料废气、包装废气（P2排气筒）无组织废气</w:t>
            </w:r>
            <w:r>
              <w:rPr>
                <w:rFonts w:cs="Times New Roman" w:hint="eastAsia"/>
                <w:color w:val="auto"/>
                <w:kern w:val="0"/>
                <w:sz w:val="24"/>
                <w:szCs w:val="24"/>
                <w:lang w:val="en-US" w:eastAsia="zh-CN"/>
              </w:rPr>
              <w:t>非甲烷总烃</w:t>
            </w:r>
            <w:r>
              <w:rPr>
                <w:rFonts w:cs="Times New Roman"/>
                <w:color w:val="auto"/>
                <w:kern w:val="0"/>
                <w:sz w:val="24"/>
                <w:szCs w:val="24"/>
                <w:lang w:val="en-US" w:eastAsia="zh-CN"/>
              </w:rPr>
              <w:t>排放量为0.</w:t>
            </w:r>
            <w:r>
              <w:rPr>
                <w:rFonts w:cs="Times New Roman" w:hint="eastAsia"/>
                <w:color w:val="auto"/>
                <w:kern w:val="0"/>
                <w:sz w:val="24"/>
                <w:szCs w:val="24"/>
                <w:lang w:val="en-US" w:eastAsia="zh-CN"/>
              </w:rPr>
              <w:t>112</w:t>
            </w:r>
            <w:r>
              <w:rPr>
                <w:rFonts w:cs="Times New Roman"/>
                <w:color w:val="auto"/>
                <w:kern w:val="0"/>
                <w:sz w:val="24"/>
                <w:szCs w:val="24"/>
                <w:lang w:val="en-US" w:eastAsia="zh-CN"/>
              </w:rPr>
              <w:t>t。</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化验室废气非甲烷总烃无组织排放量为0.00125t。</w:t>
            </w:r>
          </w:p>
          <w:p>
            <w:pPr>
              <w:keepNext w:val="0"/>
              <w:keepLines w:val="0"/>
              <w:widowControl/>
              <w:suppressLineNumbers w:val="0"/>
              <w:jc w:val="left"/>
              <w:rPr>
                <w:rFonts w:cs="Times New Roman"/>
                <w:color w:val="auto"/>
                <w:kern w:val="0"/>
                <w:sz w:val="24"/>
                <w:szCs w:val="24"/>
                <w:lang w:val="en-US" w:eastAsia="zh-CN"/>
              </w:rPr>
            </w:pPr>
            <w:r>
              <w:rPr>
                <w:rFonts w:cs="Times New Roman"/>
                <w:color w:val="auto"/>
                <w:kern w:val="0"/>
                <w:sz w:val="24"/>
                <w:szCs w:val="24"/>
                <w:lang w:val="en-US" w:eastAsia="zh-CN"/>
              </w:rPr>
              <w:t>全厂无组织非甲烷总烃排放量为0.</w:t>
            </w:r>
            <w:r>
              <w:rPr>
                <w:rFonts w:cs="Times New Roman" w:hint="eastAsia"/>
                <w:color w:val="auto"/>
                <w:kern w:val="0"/>
                <w:sz w:val="24"/>
                <w:szCs w:val="24"/>
                <w:lang w:val="en-US" w:eastAsia="zh-CN"/>
              </w:rPr>
              <w:t>11325</w:t>
            </w:r>
            <w:r>
              <w:rPr>
                <w:rFonts w:cs="Times New Roman"/>
                <w:color w:val="auto"/>
                <w:kern w:val="0"/>
                <w:sz w:val="24"/>
                <w:szCs w:val="24"/>
                <w:lang w:val="en-US" w:eastAsia="zh-CN"/>
              </w:rPr>
              <w:t>t，排放速率为</w:t>
            </w:r>
            <w:r>
              <w:rPr>
                <w:rFonts w:cs="Times New Roman" w:hint="eastAsia"/>
                <w:color w:val="auto"/>
                <w:kern w:val="0"/>
                <w:sz w:val="24"/>
                <w:szCs w:val="24"/>
                <w:lang w:val="en-US" w:eastAsia="zh-CN"/>
              </w:rPr>
              <w:t>0.024</w:t>
            </w:r>
            <w:r>
              <w:rPr>
                <w:rFonts w:cs="Times New Roman"/>
                <w:color w:val="auto"/>
                <w:kern w:val="0"/>
                <w:sz w:val="24"/>
                <w:szCs w:val="24"/>
                <w:lang w:val="en-US" w:eastAsia="zh-CN"/>
              </w:rPr>
              <w:t>kg/h。</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氯化氢：</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化验室废气氯化氢无组织排放量为0.000025t，排放速率为0.000025kg/h。</w:t>
            </w:r>
          </w:p>
          <w:p>
            <w:pPr>
              <w:keepNext w:val="0"/>
              <w:keepLines w:val="0"/>
              <w:widowControl/>
              <w:suppressLineNumbers w:val="0"/>
              <w:jc w:val="left"/>
              <w:rPr>
                <w:rFonts w:cs="Times New Roman"/>
                <w:color w:val="auto"/>
                <w:kern w:val="0"/>
                <w:sz w:val="24"/>
                <w:szCs w:val="24"/>
                <w:lang w:val="en-US" w:eastAsia="zh-CN"/>
              </w:rPr>
            </w:pPr>
            <w:r>
              <w:rPr>
                <w:rFonts w:cs="Times New Roman" w:hint="eastAsia"/>
                <w:color w:val="auto"/>
                <w:kern w:val="0"/>
                <w:sz w:val="24"/>
                <w:szCs w:val="24"/>
                <w:lang w:val="en-US" w:eastAsia="zh-CN"/>
              </w:rPr>
              <w:t>硫酸雾：</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化验室废气硫酸雾无组织排放量为0.000075t，排放速率为0.000075kg/h。</w:t>
            </w:r>
          </w:p>
          <w:p>
            <w:pPr>
              <w:keepNext w:val="0"/>
              <w:keepLines w:val="0"/>
              <w:widowControl/>
              <w:suppressLineNumbers w:val="0"/>
              <w:jc w:val="left"/>
              <w:rPr>
                <w:rFonts w:cs="Times New Roman" w:hint="eastAsia"/>
                <w:color w:val="auto"/>
                <w:kern w:val="0"/>
                <w:sz w:val="24"/>
                <w:szCs w:val="24"/>
                <w:lang w:val="en-US" w:eastAsia="zh-CN"/>
              </w:rPr>
            </w:pPr>
            <w:r>
              <w:rPr>
                <w:rFonts w:cs="Times New Roman" w:hint="eastAsia"/>
                <w:color w:val="auto"/>
                <w:kern w:val="0"/>
                <w:sz w:val="24"/>
                <w:szCs w:val="24"/>
                <w:lang w:val="en-US" w:eastAsia="zh-CN"/>
              </w:rPr>
              <w:t>氮氧化物：</w:t>
            </w:r>
          </w:p>
          <w:p>
            <w:pPr>
              <w:keepNext w:val="0"/>
              <w:keepLines w:val="0"/>
              <w:widowControl/>
              <w:suppressLineNumbers w:val="0"/>
              <w:jc w:val="left"/>
              <w:rPr>
                <w:rFonts w:ascii="Times New Roman" w:eastAsia="宋体" w:cs="Times New Roman" w:hAnsi="Times New Roman" w:hint="eastAsia"/>
                <w:color w:val="auto"/>
                <w:kern w:val="0"/>
                <w:sz w:val="24"/>
                <w:szCs w:val="24"/>
                <w:lang w:val="en-US" w:eastAsia="zh-CN"/>
              </w:rPr>
            </w:pPr>
            <w:r>
              <w:rPr>
                <w:rFonts w:cs="Times New Roman"/>
                <w:color w:val="auto"/>
                <w:kern w:val="0"/>
                <w:sz w:val="24"/>
                <w:szCs w:val="24"/>
                <w:lang w:val="en-US" w:eastAsia="zh-CN"/>
              </w:rPr>
              <w:t>化验室废气</w:t>
            </w:r>
            <w:r>
              <w:rPr>
                <w:rFonts w:cs="Times New Roman" w:hint="eastAsia"/>
                <w:color w:val="auto"/>
                <w:kern w:val="0"/>
                <w:sz w:val="24"/>
                <w:szCs w:val="24"/>
                <w:lang w:val="en-US" w:eastAsia="zh-CN"/>
              </w:rPr>
              <w:t>氮氧化物</w:t>
            </w:r>
            <w:r>
              <w:rPr>
                <w:rFonts w:cs="Times New Roman"/>
                <w:color w:val="auto"/>
                <w:kern w:val="0"/>
                <w:sz w:val="24"/>
                <w:szCs w:val="24"/>
                <w:lang w:val="en-US" w:eastAsia="zh-CN"/>
              </w:rPr>
              <w:t>无组织排放量为0.000</w:t>
            </w:r>
            <w:r>
              <w:rPr>
                <w:rFonts w:cs="Times New Roman" w:hint="eastAsia"/>
                <w:color w:val="auto"/>
                <w:kern w:val="0"/>
                <w:sz w:val="24"/>
                <w:szCs w:val="24"/>
                <w:lang w:val="en-US" w:eastAsia="zh-CN"/>
              </w:rPr>
              <w:t>05</w:t>
            </w:r>
            <w:r>
              <w:rPr>
                <w:rFonts w:cs="Times New Roman"/>
                <w:color w:val="auto"/>
                <w:kern w:val="0"/>
                <w:sz w:val="24"/>
                <w:szCs w:val="24"/>
                <w:lang w:val="en-US" w:eastAsia="zh-CN"/>
              </w:rPr>
              <w:t>t</w:t>
            </w:r>
            <w:r>
              <w:rPr>
                <w:rFonts w:cs="Times New Roman" w:hint="eastAsia"/>
                <w:color w:val="auto"/>
                <w:kern w:val="0"/>
                <w:sz w:val="24"/>
                <w:szCs w:val="24"/>
                <w:lang w:val="en-US" w:eastAsia="zh-CN"/>
              </w:rPr>
              <w:t>，排放速率为0.00005kg/h</w:t>
            </w:r>
            <w:r>
              <w:rPr>
                <w:rFonts w:cs="Times New Roman"/>
                <w:color w:val="auto"/>
                <w:kern w:val="0"/>
                <w:sz w:val="24"/>
                <w:szCs w:val="24"/>
                <w:lang w:val="en-US" w:eastAsia="zh-CN"/>
              </w:rPr>
              <w:t>。</w:t>
            </w:r>
          </w:p>
          <w:p>
            <w:pPr>
              <w:keepNext w:val="0"/>
              <w:keepLines w:val="0"/>
              <w:widowControl/>
              <w:suppressLineNumbers w:val="0"/>
              <w:jc w:val="left"/>
              <w:rPr>
                <w:rFonts w:ascii="Times New Roman" w:eastAsia="宋体" w:cs="Times New Roman" w:hAnsi="Times New Roman"/>
                <w:color w:val="auto"/>
                <w:kern w:val="0"/>
                <w:sz w:val="24"/>
                <w:szCs w:val="24"/>
                <w:vertAlign w:val="baseline"/>
                <w:lang w:val="en-US" w:eastAsia="zh-CN"/>
              </w:rPr>
            </w:pPr>
            <w:r>
              <w:rPr>
                <w:rFonts w:ascii="Times New Roman" w:eastAsia="宋体" w:cs="Times New Roman" w:hAnsi="Times New Roman" w:hint="eastAsia"/>
                <w:color w:val="auto"/>
                <w:kern w:val="0"/>
                <w:sz w:val="24"/>
                <w:szCs w:val="24"/>
                <w:lang w:val="en-US" w:eastAsia="zh-CN"/>
              </w:rPr>
              <w:t>根据《环境影响评价技术导则-大气环境》(HJ2.2-2018)中附录A推荐模型中的AERSCREEN模式对无组织排放源厂界浓度进行估算，经估算，</w:t>
            </w:r>
            <w:r>
              <w:rPr>
                <w:rFonts w:cs="Times New Roman" w:hint="eastAsia"/>
                <w:color w:val="auto"/>
                <w:kern w:val="0"/>
                <w:sz w:val="24"/>
                <w:szCs w:val="24"/>
                <w:lang w:val="en-US" w:eastAsia="zh-CN"/>
                <w:highlight w:val="none"/>
              </w:rPr>
              <w:t>颗粒物</w:t>
            </w:r>
            <w:r>
              <w:rPr>
                <w:rFonts w:ascii="Times New Roman" w:eastAsia="宋体" w:cs="Times New Roman" w:hAnsi="Times New Roman" w:hint="eastAsia"/>
                <w:color w:val="auto"/>
                <w:kern w:val="0"/>
                <w:sz w:val="24"/>
                <w:szCs w:val="24"/>
                <w:lang w:val="en-US" w:eastAsia="zh-CN"/>
                <w:highlight w:val="none"/>
              </w:rPr>
              <w:t>厂界估算贡献浓度最大值为</w:t>
            </w:r>
            <w:r>
              <w:rPr>
                <w:rFonts w:cs="Times New Roman" w:hint="eastAsia"/>
                <w:color w:val="auto"/>
                <w:kern w:val="0"/>
                <w:sz w:val="24"/>
                <w:szCs w:val="24"/>
                <w:lang w:val="en-US" w:eastAsia="zh-CN"/>
                <w:highlight w:val="none"/>
              </w:rPr>
              <w:t>0.457m</w:t>
            </w:r>
            <w:r>
              <w:rPr>
                <w:rFonts w:ascii="Times New Roman" w:eastAsia="宋体" w:cs="Times New Roman" w:hAnsi="Times New Roman"/>
                <w:color w:val="auto"/>
                <w:kern w:val="0"/>
                <w:sz w:val="24"/>
                <w:szCs w:val="24"/>
                <w:lang w:val="en-US" w:eastAsia="zh-CN"/>
                <w:highlight w:val="none"/>
              </w:rPr>
              <w:t>g/m</w:t>
            </w:r>
            <w:r>
              <w:rPr>
                <w:rFonts w:ascii="Times New Roman" w:eastAsia="宋体" w:cs="Times New Roman" w:hAnsi="Times New Roman"/>
                <w:color w:val="auto"/>
                <w:kern w:val="0"/>
                <w:sz w:val="24"/>
                <w:szCs w:val="24"/>
                <w:vertAlign w:val="superscript"/>
                <w:lang w:val="en-US" w:eastAsia="zh-CN"/>
                <w:highlight w:val="none"/>
              </w:rPr>
              <w:t>3</w:t>
            </w:r>
            <w:r>
              <w:rPr>
                <w:rFonts w:ascii="Times New Roman" w:eastAsia="宋体" w:cs="Times New Roman" w:hAnsi="Times New Roman" w:hint="eastAsia"/>
                <w:color w:val="auto"/>
                <w:kern w:val="0"/>
                <w:sz w:val="24"/>
                <w:szCs w:val="24"/>
                <w:lang w:val="en-US" w:eastAsia="zh-CN"/>
                <w:highlight w:val="none"/>
              </w:rPr>
              <w:t>，</w:t>
            </w:r>
            <w:r>
              <w:rPr>
                <w:rFonts w:cs="Times New Roman" w:hint="eastAsia"/>
                <w:color w:val="auto"/>
                <w:kern w:val="0"/>
                <w:sz w:val="24"/>
                <w:szCs w:val="24"/>
                <w:lang w:val="en-US" w:eastAsia="zh-CN"/>
                <w:highlight w:val="none"/>
              </w:rPr>
              <w:t>氨厂界估算贡献浓度最大值为0.151</w:t>
            </w:r>
            <w:r>
              <w:rPr>
                <w:rFonts w:ascii="Times New Roman" w:eastAsia="宋体" w:cs="Times New Roman" w:hAnsi="Times New Roman"/>
                <w:color w:val="auto"/>
                <w:kern w:val="0"/>
                <w:sz w:val="24"/>
                <w:szCs w:val="24"/>
                <w:lang w:val="en-US" w:eastAsia="zh-CN"/>
                <w:highlight w:val="none"/>
              </w:rPr>
              <w:t>μ</w:t>
            </w:r>
            <w:r>
              <w:rPr>
                <w:rFonts w:cs="Times New Roman" w:hint="eastAsia"/>
                <w:color w:val="auto"/>
                <w:kern w:val="0"/>
                <w:sz w:val="24"/>
                <w:szCs w:val="24"/>
                <w:lang w:val="en-US" w:eastAsia="zh-CN"/>
                <w:highlight w:val="none"/>
              </w:rPr>
              <w:t>g/m</w:t>
            </w:r>
            <w:r>
              <w:rPr>
                <w:rFonts w:cs="Times New Roman" w:hint="eastAsia"/>
                <w:color w:val="auto"/>
                <w:kern w:val="0"/>
                <w:sz w:val="24"/>
                <w:szCs w:val="24"/>
                <w:vertAlign w:val="superscript"/>
                <w:lang w:val="en-US" w:eastAsia="zh-CN"/>
                <w:highlight w:val="none"/>
              </w:rPr>
              <w:t>3</w:t>
            </w:r>
            <w:r>
              <w:rPr>
                <w:rFonts w:cs="Times New Roman" w:hint="eastAsia"/>
                <w:color w:val="auto"/>
                <w:kern w:val="0"/>
                <w:sz w:val="24"/>
                <w:szCs w:val="24"/>
                <w:lang w:val="en-US" w:eastAsia="zh-CN"/>
                <w:highlight w:val="none"/>
              </w:rPr>
              <w:t>，</w:t>
            </w:r>
            <w:r>
              <w:rPr>
                <w:rFonts w:ascii="Times New Roman" w:eastAsia="宋体" w:cs="Times New Roman" w:hAnsi="Times New Roman" w:hint="eastAsia"/>
                <w:color w:val="auto"/>
                <w:kern w:val="0"/>
                <w:sz w:val="24"/>
                <w:szCs w:val="24"/>
                <w:lang w:val="en-US" w:eastAsia="zh-CN"/>
                <w:highlight w:val="none"/>
              </w:rPr>
              <w:t>甲醛厂界估算贡献浓度最大值为</w:t>
            </w:r>
            <w:r>
              <w:rPr>
                <w:rFonts w:cs="Times New Roman" w:hint="eastAsia"/>
                <w:color w:val="auto"/>
                <w:kern w:val="0"/>
                <w:sz w:val="24"/>
                <w:szCs w:val="24"/>
                <w:lang w:val="en-US" w:eastAsia="zh-CN"/>
                <w:highlight w:val="none"/>
              </w:rPr>
              <w:t>0.001</w:t>
            </w:r>
            <w:r>
              <w:rPr>
                <w:rFonts w:ascii="Times New Roman" w:eastAsia="宋体" w:cs="Times New Roman" w:hAnsi="Times New Roman"/>
                <w:color w:val="auto"/>
                <w:kern w:val="0"/>
                <w:sz w:val="24"/>
                <w:szCs w:val="24"/>
                <w:lang w:val="en-US" w:eastAsia="zh-CN"/>
                <w:highlight w:val="none"/>
              </w:rPr>
              <w:t>μg/m</w:t>
            </w:r>
            <w:r>
              <w:rPr>
                <w:rFonts w:ascii="Times New Roman" w:eastAsia="宋体" w:cs="Times New Roman" w:hAnsi="Times New Roman"/>
                <w:color w:val="auto"/>
                <w:kern w:val="0"/>
                <w:sz w:val="24"/>
                <w:szCs w:val="24"/>
                <w:vertAlign w:val="superscript"/>
                <w:lang w:val="en-US" w:eastAsia="zh-CN"/>
                <w:highlight w:val="none"/>
              </w:rPr>
              <w:t>3</w:t>
            </w:r>
            <w:r>
              <w:rPr>
                <w:rFonts w:ascii="Times New Roman" w:eastAsia="宋体" w:cs="Times New Roman" w:hAnsi="Times New Roman" w:hint="eastAsia"/>
                <w:color w:val="auto"/>
                <w:kern w:val="0"/>
                <w:sz w:val="24"/>
                <w:szCs w:val="24"/>
                <w:lang w:val="en-US" w:eastAsia="zh-CN"/>
                <w:highlight w:val="none"/>
              </w:rPr>
              <w:t>，氯化氢厂界估算贡献浓度最大值为</w:t>
            </w:r>
            <w:r>
              <w:rPr>
                <w:rFonts w:cs="Times New Roman" w:hint="eastAsia"/>
                <w:color w:val="auto"/>
                <w:kern w:val="0"/>
                <w:sz w:val="24"/>
                <w:szCs w:val="24"/>
                <w:lang w:val="en-US" w:eastAsia="zh-CN"/>
                <w:highlight w:val="none"/>
              </w:rPr>
              <w:t>0.001</w:t>
            </w:r>
            <w:r>
              <w:rPr>
                <w:rFonts w:ascii="Times New Roman" w:eastAsia="宋体" w:cs="Times New Roman" w:hAnsi="Times New Roman"/>
                <w:color w:val="auto"/>
                <w:kern w:val="0"/>
                <w:sz w:val="24"/>
                <w:szCs w:val="24"/>
                <w:lang w:val="en-US" w:eastAsia="zh-CN"/>
                <w:highlight w:val="none"/>
              </w:rPr>
              <w:t>μg/m</w:t>
            </w:r>
            <w:r>
              <w:rPr>
                <w:rFonts w:ascii="Times New Roman" w:eastAsia="宋体" w:cs="Times New Roman" w:hAnsi="Times New Roman"/>
                <w:color w:val="auto"/>
                <w:kern w:val="0"/>
                <w:sz w:val="24"/>
                <w:szCs w:val="24"/>
                <w:vertAlign w:val="superscript"/>
                <w:lang w:val="en-US" w:eastAsia="zh-CN"/>
                <w:highlight w:val="none"/>
              </w:rPr>
              <w:t>3</w:t>
            </w:r>
            <w:r>
              <w:rPr>
                <w:rFonts w:ascii="Times New Roman" w:eastAsia="宋体" w:cs="Times New Roman" w:hAnsi="Times New Roman" w:hint="eastAsia"/>
                <w:color w:val="auto"/>
                <w:kern w:val="0"/>
                <w:sz w:val="24"/>
                <w:szCs w:val="24"/>
                <w:lang w:val="en-US" w:eastAsia="zh-CN"/>
                <w:highlight w:val="none"/>
              </w:rPr>
              <w:t>，硫酸雾厂界估算贡献浓度最大值为</w:t>
            </w:r>
            <w:r>
              <w:rPr>
                <w:rFonts w:cs="Times New Roman" w:hint="eastAsia"/>
                <w:color w:val="auto"/>
                <w:kern w:val="0"/>
                <w:sz w:val="24"/>
                <w:szCs w:val="24"/>
                <w:lang w:val="en-US" w:eastAsia="zh-CN"/>
                <w:highlight w:val="none"/>
              </w:rPr>
              <w:t>0.004</w:t>
            </w:r>
            <w:r>
              <w:rPr>
                <w:rFonts w:ascii="Times New Roman" w:eastAsia="宋体" w:cs="Times New Roman" w:hAnsi="Times New Roman"/>
                <w:color w:val="auto"/>
                <w:kern w:val="0"/>
                <w:sz w:val="24"/>
                <w:szCs w:val="24"/>
                <w:lang w:val="en-US" w:eastAsia="zh-CN"/>
                <w:highlight w:val="none"/>
              </w:rPr>
              <w:t>μg/m</w:t>
            </w:r>
            <w:r>
              <w:rPr>
                <w:rFonts w:ascii="Times New Roman" w:eastAsia="宋体" w:cs="Times New Roman" w:hAnsi="Times New Roman"/>
                <w:color w:val="auto"/>
                <w:kern w:val="0"/>
                <w:sz w:val="24"/>
                <w:szCs w:val="24"/>
                <w:vertAlign w:val="superscript"/>
                <w:lang w:val="en-US" w:eastAsia="zh-CN"/>
                <w:highlight w:val="none"/>
              </w:rPr>
              <w:t>3</w:t>
            </w:r>
            <w:r>
              <w:rPr>
                <w:rFonts w:ascii="Times New Roman" w:eastAsia="宋体" w:cs="Times New Roman" w:hAnsi="Times New Roman" w:hint="eastAsia"/>
                <w:color w:val="auto"/>
                <w:kern w:val="0"/>
                <w:sz w:val="24"/>
                <w:szCs w:val="24"/>
                <w:lang w:val="en-US" w:eastAsia="zh-CN"/>
                <w:highlight w:val="none"/>
              </w:rPr>
              <w:t>，氮氧化物厂界估算贡献浓度最大值为</w:t>
            </w:r>
            <w:r>
              <w:rPr>
                <w:rFonts w:cs="Times New Roman" w:hint="eastAsia"/>
                <w:color w:val="auto"/>
                <w:kern w:val="0"/>
                <w:sz w:val="24"/>
                <w:szCs w:val="24"/>
                <w:lang w:val="en-US" w:eastAsia="zh-CN"/>
                <w:highlight w:val="none"/>
              </w:rPr>
              <w:t>0.002</w:t>
            </w:r>
            <w:r>
              <w:rPr>
                <w:rFonts w:ascii="Times New Roman" w:eastAsia="宋体" w:cs="Times New Roman" w:hAnsi="Times New Roman"/>
                <w:color w:val="auto"/>
                <w:kern w:val="0"/>
                <w:sz w:val="24"/>
                <w:szCs w:val="24"/>
                <w:lang w:val="en-US" w:eastAsia="zh-CN"/>
                <w:highlight w:val="none"/>
              </w:rPr>
              <w:t>μg/m</w:t>
            </w:r>
            <w:r>
              <w:rPr>
                <w:rFonts w:ascii="Times New Roman" w:eastAsia="宋体" w:cs="Times New Roman" w:hAnsi="Times New Roman"/>
                <w:color w:val="auto"/>
                <w:kern w:val="0"/>
                <w:sz w:val="24"/>
                <w:szCs w:val="24"/>
                <w:vertAlign w:val="superscript"/>
                <w:lang w:val="en-US" w:eastAsia="zh-CN"/>
                <w:highlight w:val="none"/>
              </w:rPr>
              <w:t>3</w:t>
            </w:r>
            <w:r>
              <w:rPr>
                <w:rFonts w:ascii="Times New Roman" w:eastAsia="宋体" w:cs="Times New Roman" w:hAnsi="Times New Roman" w:hint="eastAsia"/>
                <w:color w:val="auto"/>
                <w:kern w:val="0"/>
                <w:sz w:val="24"/>
                <w:szCs w:val="24"/>
                <w:lang w:val="en-US" w:eastAsia="zh-CN"/>
                <w:highlight w:val="none"/>
              </w:rPr>
              <w:t>，非甲烷总烃厂界估算贡献浓度最大值为</w:t>
            </w:r>
            <w:r>
              <w:rPr>
                <w:rFonts w:cs="Times New Roman" w:hint="eastAsia"/>
                <w:color w:val="auto"/>
                <w:kern w:val="0"/>
                <w:sz w:val="24"/>
                <w:szCs w:val="24"/>
                <w:lang w:val="en-US" w:eastAsia="zh-CN"/>
                <w:highlight w:val="none"/>
              </w:rPr>
              <w:t>1.21</w:t>
            </w:r>
            <w:r>
              <w:rPr>
                <w:rFonts w:ascii="Times New Roman" w:eastAsia="宋体" w:cs="Times New Roman" w:hAnsi="Times New Roman"/>
                <w:color w:val="auto"/>
                <w:kern w:val="0"/>
                <w:sz w:val="24"/>
                <w:szCs w:val="24"/>
                <w:lang w:val="en-US" w:eastAsia="zh-CN"/>
                <w:highlight w:val="none"/>
              </w:rPr>
              <w:t>μg/m</w:t>
            </w:r>
            <w:r>
              <w:rPr>
                <w:rFonts w:ascii="Times New Roman" w:eastAsia="宋体" w:cs="Times New Roman" w:hAnsi="Times New Roman"/>
                <w:color w:val="auto"/>
                <w:kern w:val="0"/>
                <w:sz w:val="24"/>
                <w:szCs w:val="24"/>
                <w:vertAlign w:val="superscript"/>
                <w:lang w:val="en-US" w:eastAsia="zh-CN"/>
                <w:highlight w:val="none"/>
              </w:rPr>
              <w:t>3</w:t>
            </w:r>
            <w:r>
              <w:rPr>
                <w:rFonts w:ascii="Times New Roman" w:eastAsia="宋体" w:cs="Times New Roman" w:hAnsi="Times New Roman" w:hint="eastAsia"/>
                <w:color w:val="auto"/>
                <w:kern w:val="0"/>
                <w:sz w:val="24"/>
                <w:szCs w:val="24"/>
                <w:vertAlign w:val="baseline"/>
                <w:lang w:val="en-US" w:eastAsia="zh-CN"/>
                <w:highlight w:val="none"/>
              </w:rPr>
              <w:t>。</w:t>
            </w:r>
          </w:p>
          <w:p>
            <w:pPr>
              <w:keepNext w:val="0"/>
              <w:keepLines w:val="0"/>
              <w:widowControl/>
              <w:suppressLineNumbers w:val="0"/>
              <w:jc w:val="left"/>
              <w:rPr>
                <w:color w:val="auto"/>
                <w:lang w:val="en-US" w:eastAsia="zh-CN"/>
              </w:rPr>
            </w:pPr>
            <w:r>
              <w:rPr>
                <w:rFonts w:ascii="宋体" w:cs="宋体" w:hAnsi="宋体" w:hint="eastAsia"/>
                <w:color w:val="auto"/>
                <w:kern w:val="0"/>
                <w:sz w:val="24"/>
                <w:szCs w:val="24"/>
                <w:lang w:val="en-US" w:eastAsia="zh-CN"/>
              </w:rPr>
              <w:t>无组织</w:t>
            </w:r>
            <w:r>
              <w:rPr>
                <w:rFonts w:ascii="宋体" w:eastAsia="宋体" w:cs="宋体" w:hAnsi="宋体" w:hint="eastAsia"/>
                <w:color w:val="auto"/>
                <w:kern w:val="0"/>
                <w:sz w:val="24"/>
                <w:szCs w:val="24"/>
                <w:lang w:val="en-US" w:eastAsia="zh-CN"/>
              </w:rPr>
              <w:t>颗粒物、</w:t>
            </w:r>
            <w:r>
              <w:rPr>
                <w:rFonts w:ascii="宋体" w:cs="宋体" w:hAnsi="宋体" w:hint="eastAsia"/>
                <w:color w:val="auto"/>
                <w:kern w:val="0"/>
                <w:sz w:val="24"/>
                <w:szCs w:val="24"/>
                <w:lang w:val="en-US" w:eastAsia="zh-CN"/>
              </w:rPr>
              <w:t>甲醛、</w:t>
            </w:r>
            <w:r>
              <w:rPr>
                <w:rFonts w:ascii="宋体" w:eastAsia="宋体" w:cs="宋体" w:hAnsi="宋体" w:hint="eastAsia"/>
                <w:color w:val="auto"/>
                <w:kern w:val="0"/>
                <w:sz w:val="24"/>
                <w:szCs w:val="24"/>
                <w:lang w:val="en-US" w:eastAsia="zh-CN"/>
              </w:rPr>
              <w:t>氯化氢、硫酸雾和氮氧化物均满足《大气污染物综合排放标准》（</w:t>
            </w:r>
            <w:r>
              <w:rPr>
                <w:rFonts w:ascii="Times New Roman" w:eastAsia="宋体" w:cs="Times New Roman" w:hAnsi="Times New Roman"/>
                <w:color w:val="auto"/>
                <w:kern w:val="0"/>
                <w:sz w:val="24"/>
                <w:szCs w:val="24"/>
                <w:lang w:val="en-US" w:eastAsia="zh-CN"/>
              </w:rPr>
              <w:t>GB16297-1996</w:t>
            </w:r>
            <w:r>
              <w:rPr>
                <w:rFonts w:ascii="宋体" w:eastAsia="宋体" w:cs="宋体" w:hAnsi="宋体" w:hint="eastAsia"/>
                <w:color w:val="auto"/>
                <w:kern w:val="0"/>
                <w:sz w:val="24"/>
                <w:szCs w:val="24"/>
                <w:lang w:val="en-US" w:eastAsia="zh-CN"/>
              </w:rPr>
              <w:t>）表</w:t>
            </w:r>
            <w:r>
              <w:rPr>
                <w:rFonts w:ascii="Times New Roman" w:eastAsia="宋体" w:cs="Times New Roman" w:hAnsi="Times New Roman"/>
                <w:color w:val="auto"/>
                <w:kern w:val="0"/>
                <w:sz w:val="24"/>
                <w:szCs w:val="24"/>
                <w:lang w:val="en-US" w:eastAsia="zh-CN"/>
              </w:rPr>
              <w:t>2</w:t>
            </w:r>
            <w:r>
              <w:rPr>
                <w:rFonts w:ascii="宋体" w:eastAsia="宋体" w:cs="宋体" w:hAnsi="宋体" w:hint="eastAsia"/>
                <w:color w:val="auto"/>
                <w:kern w:val="0"/>
                <w:sz w:val="24"/>
                <w:szCs w:val="24"/>
                <w:lang w:val="en-US" w:eastAsia="zh-CN"/>
              </w:rPr>
              <w:t>无组织排放浓度限值。</w:t>
            </w:r>
            <w:r>
              <w:rPr>
                <w:rFonts w:ascii="宋体" w:cs="宋体" w:hAnsi="宋体" w:hint="eastAsia"/>
                <w:color w:val="auto"/>
                <w:kern w:val="0"/>
                <w:sz w:val="24"/>
                <w:szCs w:val="24"/>
                <w:lang w:val="en-US" w:eastAsia="zh-CN"/>
              </w:rPr>
              <w:t>无组织</w:t>
            </w:r>
            <w:r>
              <w:rPr>
                <w:rFonts w:ascii="宋体" w:eastAsia="宋体" w:cs="宋体" w:hAnsi="宋体" w:hint="eastAsia"/>
                <w:color w:val="auto"/>
                <w:kern w:val="0"/>
                <w:sz w:val="24"/>
                <w:szCs w:val="24"/>
                <w:lang w:val="en-US" w:eastAsia="zh-CN"/>
              </w:rPr>
              <w:t>氨和臭气浓度均排放满足《恶臭污染物排放标准》</w:t>
            </w:r>
            <w:r>
              <w:rPr>
                <w:rFonts w:ascii="Times New Roman" w:eastAsia="宋体" w:cs="Times New Roman" w:hAnsi="Times New Roman"/>
                <w:color w:val="auto"/>
                <w:kern w:val="0"/>
                <w:sz w:val="24"/>
                <w:szCs w:val="24"/>
                <w:lang w:val="en-US" w:eastAsia="zh-CN"/>
              </w:rPr>
              <w:t>(GB14554-93)</w:t>
            </w:r>
            <w:r>
              <w:rPr>
                <w:rFonts w:ascii="宋体" w:eastAsia="宋体" w:cs="宋体" w:hAnsi="宋体" w:hint="eastAsia"/>
                <w:color w:val="auto"/>
                <w:kern w:val="0"/>
                <w:sz w:val="24"/>
                <w:szCs w:val="24"/>
                <w:lang w:val="en-US" w:eastAsia="zh-CN"/>
              </w:rPr>
              <w:t>表</w:t>
            </w:r>
            <w:r>
              <w:rPr>
                <w:rFonts w:ascii="Times New Roman" w:eastAsia="宋体" w:cs="Times New Roman" w:hAnsi="Times New Roman"/>
                <w:color w:val="auto"/>
                <w:kern w:val="0"/>
                <w:sz w:val="24"/>
                <w:szCs w:val="24"/>
                <w:lang w:val="en-US" w:eastAsia="zh-CN"/>
              </w:rPr>
              <w:t>1</w:t>
            </w:r>
            <w:r>
              <w:rPr>
                <w:rFonts w:ascii="宋体" w:eastAsia="宋体" w:cs="宋体" w:hAnsi="宋体" w:hint="eastAsia"/>
                <w:color w:val="auto"/>
                <w:kern w:val="0"/>
                <w:sz w:val="24"/>
                <w:szCs w:val="24"/>
                <w:lang w:val="en-US" w:eastAsia="zh-CN"/>
              </w:rPr>
              <w:t>二级新扩改建标准。</w:t>
            </w:r>
            <w:r>
              <w:rPr>
                <w:rFonts w:ascii="宋体" w:cs="宋体" w:hAnsi="宋体" w:hint="eastAsia"/>
                <w:color w:val="auto"/>
                <w:kern w:val="0"/>
                <w:sz w:val="24"/>
                <w:szCs w:val="24"/>
                <w:lang w:val="en-US" w:eastAsia="zh-CN"/>
              </w:rPr>
              <w:t>无组织</w:t>
            </w:r>
            <w:r>
              <w:rPr>
                <w:rFonts w:ascii="Times New Roman" w:cs="Times New Roman" w:hAnsi="Times New Roman"/>
                <w:color w:val="auto"/>
                <w:sz w:val="24"/>
                <w:szCs w:val="24"/>
                <w:lang w:val="en-US" w:eastAsia="zh-CN"/>
                <w:highlight w:val="none"/>
              </w:rPr>
              <w:t>非甲烷总烃</w:t>
            </w:r>
            <w:r>
              <w:rPr>
                <w:rFonts w:ascii="Times New Roman" w:cs="Times New Roman" w:hAnsi="Times New Roman"/>
                <w:color w:val="auto"/>
                <w:sz w:val="24"/>
                <w:highlight w:val="none"/>
              </w:rPr>
              <w:t>满足</w:t>
            </w:r>
            <w:r>
              <w:rPr>
                <w:rFonts w:ascii="Times New Roman" w:eastAsia="宋体" w:cs="Times New Roman" w:hAnsi="Times New Roman"/>
                <w:color w:val="auto"/>
                <w:kern w:val="0"/>
                <w:sz w:val="24"/>
                <w:szCs w:val="24"/>
                <w:lang w:val="en-US" w:eastAsia="zh-CN" w:bidi="ar-SA"/>
                <w:highlight w:val="none"/>
              </w:rPr>
              <w:t>《工业企业</w:t>
            </w:r>
            <w:r>
              <w:rPr>
                <w:rFonts w:cs="Times New Roman" w:hint="eastAsia"/>
                <w:color w:val="auto"/>
                <w:kern w:val="0"/>
                <w:sz w:val="24"/>
                <w:szCs w:val="24"/>
                <w:lang w:val="en-US" w:eastAsia="zh-CN" w:bidi="ar-SA"/>
                <w:highlight w:val="none"/>
              </w:rPr>
              <w:t>挥发性</w:t>
            </w:r>
            <w:r>
              <w:rPr>
                <w:rFonts w:ascii="Times New Roman" w:eastAsia="宋体" w:cs="Times New Roman" w:hAnsi="Times New Roman"/>
                <w:color w:val="auto"/>
                <w:kern w:val="0"/>
                <w:sz w:val="24"/>
                <w:szCs w:val="24"/>
                <w:lang w:val="en-US" w:eastAsia="zh-CN" w:bidi="ar-SA"/>
                <w:highlight w:val="none"/>
              </w:rPr>
              <w:t>有机物排放控制标准》（DB13/2322-2025）表2厂区内排放限值要求和《大气污染物综合排放标准》（GB16297-1996）表2无组织排放监控浓度限值。</w:t>
            </w:r>
          </w:p>
        </w:tc>
      </w:tr>
    </w:tbl>
    <w:p>
      <w:pPr>
        <w:ind w:left="420"/>
        <w:rPr>
          <w:b/>
          <w:color w:val="auto"/>
          <w:kern w:val="0"/>
          <w:szCs w:val="28"/>
        </w:rPr>
        <w:sectPr>
          <w:pgSz w:w="11907" w:h="16840"/>
          <w:pgMar w:top="1417" w:right="1417" w:bottom="1417" w:left="1417" w:header="851" w:footer="851" w:gutter="0"/>
          <w:cols w:num="1" w:space="720"/>
          <w:docGrid w:linePitch="312" w:charSpace="0"/>
        </w:sectPr>
      </w:pPr>
    </w:p>
    <w:tbl>
      <w:tblPr>
        <w:jc w:val="left"/>
        <w:tblInd w:w="0" w:type="dxa"/>
        <w:tblW w:w="13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42"/>
        <w:gridCol w:w="12786"/>
      </w:tblGrid>
      <w:tr>
        <w:tc>
          <w:tcPr>
            <w:tcW w:w="442" w:type="dxa"/>
          </w:tcPr>
          <w:p>
            <w:pPr>
              <w:ind w:left="420"/>
              <w:rPr>
                <w:b/>
                <w:color w:val="auto"/>
                <w:kern w:val="0"/>
                <w:szCs w:val="28"/>
              </w:rPr>
            </w:pPr>
          </w:p>
        </w:tc>
        <w:tc>
          <w:tcPr>
            <w:tcW w:w="12786" w:type="dxa"/>
          </w:tcPr>
          <w:p>
            <w:pPr>
              <w:pStyle w:val="40"/>
              <w:rPr>
                <w:color w:val="auto"/>
              </w:rPr>
            </w:pPr>
            <w:r>
              <w:rPr>
                <w:color w:val="auto"/>
              </w:rPr>
              <w:t>表4-</w:t>
            </w:r>
            <w:r>
              <w:rPr>
                <w:rFonts w:hint="eastAsia"/>
                <w:color w:val="auto"/>
                <w:lang w:val="en-US" w:eastAsia="zh-CN"/>
              </w:rPr>
              <w:t>3</w:t>
            </w:r>
            <w:r>
              <w:rPr>
                <w:rFonts w:hint="eastAsia"/>
                <w:color w:val="auto"/>
              </w:rPr>
              <w:t xml:space="preserve">  本项目</w:t>
            </w:r>
            <w:r>
              <w:rPr>
                <w:rFonts w:hint="eastAsia"/>
                <w:color w:val="auto"/>
                <w:lang w:val="en-US" w:eastAsia="zh-CN"/>
              </w:rPr>
              <w:t>完成后全厂</w:t>
            </w:r>
            <w:r>
              <w:rPr>
                <w:color w:val="auto"/>
              </w:rPr>
              <w:t>废气排放源一览表</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15"/>
              <w:gridCol w:w="760"/>
              <w:gridCol w:w="959"/>
              <w:gridCol w:w="1265"/>
              <w:gridCol w:w="640"/>
              <w:gridCol w:w="1185"/>
              <w:gridCol w:w="762"/>
              <w:gridCol w:w="1150"/>
              <w:gridCol w:w="807"/>
              <w:gridCol w:w="686"/>
              <w:gridCol w:w="1074"/>
              <w:gridCol w:w="1086"/>
              <w:gridCol w:w="1160"/>
            </w:tblGrid>
            <w:tr>
              <w:trPr>
                <w:trHeight w:val="23"/>
              </w:trPr>
              <w:tc>
                <w:tcPr>
                  <w:tcW w:w="1015" w:type="dxa"/>
                  <w:vMerge w:val="restart"/>
                  <w:tcBorders>
                    <w:tl2br w:val="nil"/>
                    <w:tr2bl w:val="nil"/>
                  </w:tcBorders>
                  <w:vAlign w:val="center"/>
                </w:tcPr>
                <w:p>
                  <w:pPr>
                    <w:pStyle w:val="39"/>
                    <w:rPr>
                      <w:color w:val="auto"/>
                    </w:rPr>
                  </w:pPr>
                  <w:r>
                    <w:rPr>
                      <w:color w:val="auto"/>
                    </w:rPr>
                    <w:t>产污</w:t>
                  </w:r>
                </w:p>
                <w:p>
                  <w:pPr>
                    <w:pStyle w:val="39"/>
                    <w:rPr>
                      <w:color w:val="auto"/>
                    </w:rPr>
                  </w:pPr>
                  <w:r>
                    <w:rPr>
                      <w:color w:val="auto"/>
                    </w:rPr>
                    <w:t>环节</w:t>
                  </w:r>
                </w:p>
              </w:tc>
              <w:tc>
                <w:tcPr>
                  <w:tcW w:w="760" w:type="dxa"/>
                  <w:vMerge w:val="restart"/>
                  <w:tcBorders>
                    <w:tl2br w:val="nil"/>
                    <w:tr2bl w:val="nil"/>
                  </w:tcBorders>
                  <w:vAlign w:val="center"/>
                </w:tcPr>
                <w:p>
                  <w:pPr>
                    <w:pStyle w:val="39"/>
                    <w:rPr>
                      <w:color w:val="auto"/>
                    </w:rPr>
                  </w:pPr>
                  <w:r>
                    <w:rPr>
                      <w:color w:val="auto"/>
                    </w:rPr>
                    <w:t>污染物种类</w:t>
                  </w:r>
                </w:p>
              </w:tc>
              <w:tc>
                <w:tcPr>
                  <w:tcW w:w="959" w:type="dxa"/>
                  <w:vMerge w:val="restart"/>
                  <w:tcBorders>
                    <w:tl2br w:val="nil"/>
                    <w:tr2bl w:val="nil"/>
                  </w:tcBorders>
                  <w:vAlign w:val="center"/>
                </w:tcPr>
                <w:p>
                  <w:pPr>
                    <w:pStyle w:val="39"/>
                    <w:rPr>
                      <w:color w:val="auto"/>
                    </w:rPr>
                  </w:pPr>
                  <w:r>
                    <w:rPr>
                      <w:color w:val="auto"/>
                    </w:rPr>
                    <w:t>污染物产生量（t/a）</w:t>
                  </w:r>
                </w:p>
              </w:tc>
              <w:tc>
                <w:tcPr>
                  <w:tcW w:w="1265" w:type="dxa"/>
                  <w:vMerge w:val="restart"/>
                  <w:tcBorders>
                    <w:tl2br w:val="nil"/>
                    <w:tr2bl w:val="nil"/>
                  </w:tcBorders>
                  <w:vAlign w:val="center"/>
                </w:tcPr>
                <w:p>
                  <w:pPr>
                    <w:pStyle w:val="39"/>
                    <w:rPr>
                      <w:color w:val="auto"/>
                    </w:rPr>
                  </w:pPr>
                  <w:r>
                    <w:rPr>
                      <w:color w:val="auto"/>
                    </w:rPr>
                    <w:t>污染物</w:t>
                  </w:r>
                  <w:r>
                    <w:rPr>
                      <w:rFonts w:hint="eastAsia"/>
                      <w:color w:val="auto"/>
                    </w:rPr>
                    <w:t>产生</w:t>
                  </w:r>
                  <w:r>
                    <w:rPr>
                      <w:color w:val="auto"/>
                    </w:rPr>
                    <w:t>浓度（mg/</w:t>
                  </w:r>
                  <w:r>
                    <w:rPr>
                      <w:rFonts w:hint="eastAsia"/>
                      <w:color w:val="auto"/>
                    </w:rPr>
                    <w:t>m</w:t>
                  </w:r>
                  <w:r>
                    <w:rPr>
                      <w:color w:val="auto"/>
                    </w:rPr>
                    <w:t>³）</w:t>
                  </w:r>
                </w:p>
              </w:tc>
              <w:tc>
                <w:tcPr>
                  <w:tcW w:w="640" w:type="dxa"/>
                  <w:vMerge w:val="restart"/>
                  <w:tcBorders>
                    <w:tl2br w:val="nil"/>
                    <w:tr2bl w:val="nil"/>
                  </w:tcBorders>
                  <w:vAlign w:val="center"/>
                </w:tcPr>
                <w:p>
                  <w:pPr>
                    <w:pStyle w:val="39"/>
                    <w:rPr>
                      <w:color w:val="auto"/>
                    </w:rPr>
                  </w:pPr>
                  <w:r>
                    <w:rPr>
                      <w:color w:val="auto"/>
                    </w:rPr>
                    <w:t>排放形式</w:t>
                  </w:r>
                </w:p>
              </w:tc>
              <w:tc>
                <w:tcPr>
                  <w:tcW w:w="4590" w:type="dxa"/>
                  <w:gridSpan w:val="5"/>
                  <w:tcBorders>
                    <w:tl2br w:val="nil"/>
                    <w:tr2bl w:val="nil"/>
                  </w:tcBorders>
                  <w:vAlign w:val="center"/>
                </w:tcPr>
                <w:p>
                  <w:pPr>
                    <w:pStyle w:val="39"/>
                    <w:rPr>
                      <w:color w:val="auto"/>
                    </w:rPr>
                  </w:pPr>
                  <w:r>
                    <w:rPr>
                      <w:color w:val="auto"/>
                    </w:rPr>
                    <w:t>治理设施</w:t>
                  </w:r>
                </w:p>
              </w:tc>
              <w:tc>
                <w:tcPr>
                  <w:tcW w:w="1074" w:type="dxa"/>
                  <w:vMerge w:val="restart"/>
                  <w:tcBorders>
                    <w:tl2br w:val="nil"/>
                    <w:tr2bl w:val="nil"/>
                  </w:tcBorders>
                  <w:vAlign w:val="center"/>
                </w:tcPr>
                <w:p>
                  <w:pPr>
                    <w:pStyle w:val="39"/>
                    <w:rPr>
                      <w:color w:val="auto"/>
                    </w:rPr>
                  </w:pPr>
                  <w:r>
                    <w:rPr>
                      <w:color w:val="auto"/>
                    </w:rPr>
                    <w:t>污染物排放浓度mg/</w:t>
                  </w:r>
                  <w:r>
                    <w:rPr>
                      <w:rFonts w:hint="eastAsia"/>
                      <w:color w:val="auto"/>
                    </w:rPr>
                    <w:t>m</w:t>
                  </w:r>
                  <w:r>
                    <w:rPr>
                      <w:color w:val="auto"/>
                    </w:rPr>
                    <w:t>³</w:t>
                  </w:r>
                </w:p>
              </w:tc>
              <w:tc>
                <w:tcPr>
                  <w:tcW w:w="1086" w:type="dxa"/>
                  <w:vMerge w:val="restart"/>
                  <w:tcBorders>
                    <w:tl2br w:val="nil"/>
                    <w:tr2bl w:val="nil"/>
                  </w:tcBorders>
                  <w:vAlign w:val="center"/>
                </w:tcPr>
                <w:p>
                  <w:pPr>
                    <w:pStyle w:val="39"/>
                    <w:rPr>
                      <w:color w:val="auto"/>
                    </w:rPr>
                  </w:pPr>
                  <w:r>
                    <w:rPr>
                      <w:color w:val="auto"/>
                    </w:rPr>
                    <w:t>污染物排放速率kg/h</w:t>
                  </w:r>
                </w:p>
              </w:tc>
              <w:tc>
                <w:tcPr>
                  <w:tcW w:w="1160" w:type="dxa"/>
                  <w:vMerge w:val="restart"/>
                  <w:tcBorders>
                    <w:tl2br w:val="nil"/>
                    <w:tr2bl w:val="nil"/>
                  </w:tcBorders>
                  <w:vAlign w:val="center"/>
                </w:tcPr>
                <w:p>
                  <w:pPr>
                    <w:pStyle w:val="39"/>
                    <w:rPr>
                      <w:color w:val="auto"/>
                    </w:rPr>
                  </w:pPr>
                  <w:r>
                    <w:rPr>
                      <w:color w:val="auto"/>
                    </w:rPr>
                    <w:t>污染物排放量t/a</w:t>
                  </w:r>
                </w:p>
              </w:tc>
            </w:tr>
            <w:tr>
              <w:trPr>
                <w:trHeight w:val="23"/>
              </w:trPr>
              <w:tc>
                <w:tcPr>
                  <w:tcW w:w="1015" w:type="dxa"/>
                  <w:vMerge/>
                  <w:tcBorders>
                    <w:tl2br w:val="nil"/>
                    <w:tr2bl w:val="nil"/>
                  </w:tcBorders>
                  <w:vAlign w:val="center"/>
                </w:tcPr>
                <w:p/>
              </w:tc>
              <w:tc>
                <w:tcPr>
                  <w:tcW w:w="760" w:type="dxa"/>
                  <w:vMerge/>
                  <w:tcBorders>
                    <w:tl2br w:val="nil"/>
                    <w:tr2bl w:val="nil"/>
                  </w:tcBorders>
                  <w:vAlign w:val="center"/>
                </w:tcPr>
                <w:p/>
              </w:tc>
              <w:tc>
                <w:tcPr>
                  <w:tcW w:w="959" w:type="dxa"/>
                  <w:vMerge/>
                  <w:tcBorders>
                    <w:tl2br w:val="nil"/>
                    <w:tr2bl w:val="nil"/>
                  </w:tcBorders>
                  <w:vAlign w:val="center"/>
                </w:tcPr>
                <w:p/>
              </w:tc>
              <w:tc>
                <w:tcPr>
                  <w:tcW w:w="1265" w:type="dxa"/>
                  <w:vMerge/>
                  <w:tcBorders>
                    <w:tl2br w:val="nil"/>
                    <w:tr2bl w:val="nil"/>
                  </w:tcBorders>
                  <w:vAlign w:val="center"/>
                </w:tcPr>
                <w:p/>
              </w:tc>
              <w:tc>
                <w:tcPr>
                  <w:tcW w:w="640" w:type="dxa"/>
                  <w:vMerge/>
                  <w:tcBorders>
                    <w:tl2br w:val="nil"/>
                    <w:tr2bl w:val="nil"/>
                  </w:tcBorders>
                  <w:vAlign w:val="center"/>
                </w:tcPr>
                <w:p/>
              </w:tc>
              <w:tc>
                <w:tcPr>
                  <w:tcW w:w="1185" w:type="dxa"/>
                  <w:tcBorders>
                    <w:tl2br w:val="nil"/>
                    <w:tr2bl w:val="nil"/>
                  </w:tcBorders>
                  <w:vAlign w:val="center"/>
                </w:tcPr>
                <w:p>
                  <w:pPr>
                    <w:pStyle w:val="39"/>
                    <w:rPr>
                      <w:color w:val="auto"/>
                    </w:rPr>
                  </w:pPr>
                  <w:r>
                    <w:rPr>
                      <w:color w:val="auto"/>
                    </w:rPr>
                    <w:t>污染防治设施名称及工艺</w:t>
                  </w:r>
                </w:p>
              </w:tc>
              <w:tc>
                <w:tcPr>
                  <w:tcW w:w="762" w:type="dxa"/>
                  <w:tcBorders>
                    <w:tl2br w:val="nil"/>
                    <w:tr2bl w:val="nil"/>
                  </w:tcBorders>
                  <w:vAlign w:val="center"/>
                </w:tcPr>
                <w:p>
                  <w:pPr>
                    <w:pStyle w:val="39"/>
                    <w:rPr>
                      <w:color w:val="auto"/>
                    </w:rPr>
                  </w:pPr>
                  <w:r>
                    <w:rPr>
                      <w:rFonts w:hint="eastAsia"/>
                      <w:color w:val="auto"/>
                    </w:rPr>
                    <w:t>风量</w:t>
                  </w:r>
                  <w:r>
                    <w:rPr>
                      <w:color w:val="auto"/>
                    </w:rPr>
                    <w:t>m³/h</w:t>
                  </w:r>
                </w:p>
              </w:tc>
              <w:tc>
                <w:tcPr>
                  <w:tcW w:w="1150" w:type="dxa"/>
                  <w:tcBorders>
                    <w:tl2br w:val="nil"/>
                    <w:tr2bl w:val="nil"/>
                  </w:tcBorders>
                  <w:vAlign w:val="center"/>
                </w:tcPr>
                <w:p>
                  <w:pPr>
                    <w:pStyle w:val="39"/>
                    <w:rPr>
                      <w:color w:val="auto"/>
                    </w:rPr>
                  </w:pPr>
                  <w:r>
                    <w:rPr>
                      <w:color w:val="auto"/>
                    </w:rPr>
                    <w:t>收集效率</w:t>
                  </w:r>
                </w:p>
              </w:tc>
              <w:tc>
                <w:tcPr>
                  <w:tcW w:w="807" w:type="dxa"/>
                  <w:tcBorders>
                    <w:tl2br w:val="nil"/>
                    <w:tr2bl w:val="nil"/>
                  </w:tcBorders>
                  <w:vAlign w:val="center"/>
                </w:tcPr>
                <w:p>
                  <w:pPr>
                    <w:pStyle w:val="39"/>
                    <w:rPr>
                      <w:color w:val="auto"/>
                    </w:rPr>
                  </w:pPr>
                  <w:r>
                    <w:rPr>
                      <w:color w:val="auto"/>
                    </w:rPr>
                    <w:t>治理工艺去除率</w:t>
                  </w:r>
                </w:p>
              </w:tc>
              <w:tc>
                <w:tcPr>
                  <w:tcW w:w="686" w:type="dxa"/>
                  <w:tcBorders>
                    <w:tl2br w:val="nil"/>
                    <w:tr2bl w:val="nil"/>
                  </w:tcBorders>
                  <w:vAlign w:val="center"/>
                </w:tcPr>
                <w:p>
                  <w:pPr>
                    <w:pStyle w:val="39"/>
                    <w:rPr>
                      <w:color w:val="auto"/>
                    </w:rPr>
                  </w:pPr>
                  <w:r>
                    <w:rPr>
                      <w:color w:val="auto"/>
                    </w:rPr>
                    <w:t>是否为可行技术</w:t>
                  </w:r>
                </w:p>
              </w:tc>
              <w:tc>
                <w:tcPr>
                  <w:tcW w:w="1074" w:type="dxa"/>
                  <w:vMerge/>
                  <w:tcBorders>
                    <w:tl2br w:val="nil"/>
                    <w:tr2bl w:val="nil"/>
                  </w:tcBorders>
                  <w:vAlign w:val="center"/>
                </w:tcPr>
                <w:p/>
              </w:tc>
              <w:tc>
                <w:tcPr>
                  <w:tcW w:w="1086" w:type="dxa"/>
                  <w:vMerge/>
                  <w:tcBorders>
                    <w:tl2br w:val="nil"/>
                    <w:tr2bl w:val="nil"/>
                  </w:tcBorders>
                  <w:vAlign w:val="center"/>
                </w:tcPr>
                <w:p/>
              </w:tc>
              <w:tc>
                <w:tcPr>
                  <w:tcW w:w="1160" w:type="dxa"/>
                  <w:vMerge/>
                  <w:tcBorders>
                    <w:tl2br w:val="nil"/>
                    <w:tr2bl w:val="nil"/>
                  </w:tcBorders>
                  <w:vAlign w:val="center"/>
                </w:tcPr>
                <w:p/>
              </w:tc>
            </w:tr>
            <w:tr>
              <w:trPr>
                <w:trHeight w:val="23"/>
              </w:trPr>
              <w:tc>
                <w:tcPr>
                  <w:tcW w:w="1015" w:type="dxa"/>
                  <w:tcBorders>
                    <w:tl2br w:val="nil"/>
                    <w:tr2bl w:val="nil"/>
                  </w:tcBorders>
                  <w:vAlign w:val="center"/>
                </w:tcPr>
                <w:p>
                  <w:pPr>
                    <w:pStyle w:val="39"/>
                    <w:rPr>
                      <w:rFonts w:eastAsia="宋体" w:hint="eastAsia"/>
                      <w:color w:val="auto"/>
                      <w:lang w:eastAsia="zh-CN"/>
                    </w:rPr>
                  </w:pPr>
                  <w:r>
                    <w:rPr>
                      <w:rFonts w:hint="eastAsia"/>
                      <w:color w:val="auto"/>
                      <w:lang w:val="en-US" w:eastAsia="zh-CN"/>
                    </w:rPr>
                    <w:t>中微量元素混合车间废气排气筒P1（依托现有治理设施及排气筒）</w:t>
                  </w:r>
                </w:p>
              </w:tc>
              <w:tc>
                <w:tcPr>
                  <w:tcW w:w="760" w:type="dxa"/>
                  <w:tcBorders>
                    <w:tl2br w:val="nil"/>
                    <w:tr2bl w:val="nil"/>
                  </w:tcBorders>
                  <w:vAlign w:val="center"/>
                </w:tcPr>
                <w:p>
                  <w:pPr>
                    <w:pStyle w:val="39"/>
                    <w:rPr>
                      <w:color w:val="auto"/>
                    </w:rPr>
                  </w:pPr>
                  <w:r>
                    <w:rPr>
                      <w:rFonts w:hint="eastAsia"/>
                      <w:color w:val="auto"/>
                    </w:rPr>
                    <w:t>颗粒物</w:t>
                  </w:r>
                </w:p>
              </w:tc>
              <w:tc>
                <w:tcPr>
                  <w:tcW w:w="959" w:type="dxa"/>
                  <w:tcBorders>
                    <w:tl2br w:val="nil"/>
                    <w:tr2bl w:val="nil"/>
                  </w:tcBorders>
                  <w:vAlign w:val="center"/>
                </w:tcPr>
                <w:p>
                  <w:pPr>
                    <w:pStyle w:val="39"/>
                    <w:rPr>
                      <w:rFonts w:eastAsia="宋体"/>
                      <w:color w:val="auto"/>
                      <w:lang w:val="en-US" w:eastAsia="zh-CN"/>
                    </w:rPr>
                  </w:pPr>
                  <w:r>
                    <w:rPr>
                      <w:rFonts w:hint="eastAsia"/>
                      <w:color w:val="auto"/>
                      <w:lang w:val="en-US" w:eastAsia="zh-CN"/>
                    </w:rPr>
                    <w:t>28</w:t>
                  </w:r>
                </w:p>
              </w:tc>
              <w:tc>
                <w:tcPr>
                  <w:tcW w:w="1265" w:type="dxa"/>
                  <w:tcBorders>
                    <w:tl2br w:val="nil"/>
                    <w:tr2bl w:val="nil"/>
                  </w:tcBorders>
                  <w:vAlign w:val="center"/>
                </w:tcPr>
                <w:p>
                  <w:pPr>
                    <w:pStyle w:val="39"/>
                    <w:rPr>
                      <w:rFonts w:eastAsia="宋体"/>
                      <w:color w:val="auto"/>
                      <w:lang w:val="en-US" w:eastAsia="zh-CN"/>
                    </w:rPr>
                  </w:pPr>
                  <w:r>
                    <w:rPr>
                      <w:rFonts w:hint="eastAsia"/>
                      <w:color w:val="auto"/>
                      <w:lang w:val="en-US" w:eastAsia="zh-CN"/>
                    </w:rPr>
                    <w:t>923.6</w:t>
                  </w:r>
                </w:p>
              </w:tc>
              <w:tc>
                <w:tcPr>
                  <w:tcW w:w="640" w:type="dxa"/>
                  <w:tcBorders>
                    <w:tl2br w:val="nil"/>
                    <w:tr2bl w:val="nil"/>
                  </w:tcBorders>
                  <w:vAlign w:val="center"/>
                </w:tcPr>
                <w:p>
                  <w:pPr>
                    <w:pStyle w:val="39"/>
                    <w:rPr>
                      <w:color w:val="auto"/>
                    </w:rPr>
                  </w:pPr>
                  <w:r>
                    <w:rPr>
                      <w:rFonts w:hint="eastAsia"/>
                      <w:color w:val="auto"/>
                    </w:rPr>
                    <w:t>有组织</w:t>
                  </w:r>
                </w:p>
              </w:tc>
              <w:tc>
                <w:tcPr>
                  <w:tcW w:w="1185" w:type="dxa"/>
                  <w:tcBorders>
                    <w:tl2br w:val="nil"/>
                    <w:tr2bl w:val="nil"/>
                  </w:tcBorders>
                  <w:vAlign w:val="center"/>
                </w:tcPr>
                <w:p>
                  <w:pPr>
                    <w:pStyle w:val="39"/>
                    <w:rPr>
                      <w:rFonts w:eastAsia="宋体"/>
                      <w:color w:val="auto"/>
                      <w:lang w:val="en-US" w:eastAsia="zh-CN"/>
                    </w:rPr>
                  </w:pPr>
                  <w:r>
                    <w:rPr>
                      <w:rFonts w:hint="eastAsia"/>
                      <w:color w:val="auto"/>
                      <w:lang w:val="en-US" w:eastAsia="zh-CN"/>
                    </w:rPr>
                    <w:t>集气罩+软帘/管道+袋式除尘器TA001</w:t>
                  </w:r>
                </w:p>
              </w:tc>
              <w:tc>
                <w:tcPr>
                  <w:tcW w:w="762" w:type="dxa"/>
                  <w:tcBorders>
                    <w:tl2br w:val="nil"/>
                    <w:tr2bl w:val="nil"/>
                  </w:tcBorders>
                  <w:vAlign w:val="center"/>
                </w:tcPr>
                <w:p>
                  <w:pPr>
                    <w:pStyle w:val="39"/>
                    <w:rPr>
                      <w:rFonts w:eastAsia="宋体"/>
                      <w:color w:val="auto"/>
                      <w:lang w:val="en-US" w:eastAsia="zh-CN"/>
                    </w:rPr>
                  </w:pPr>
                  <w:r>
                    <w:rPr>
                      <w:rFonts w:hint="eastAsia"/>
                      <w:color w:val="auto"/>
                      <w:lang w:val="en-US" w:eastAsia="zh-CN"/>
                    </w:rPr>
                    <w:t>6000</w:t>
                  </w:r>
                </w:p>
              </w:tc>
              <w:tc>
                <w:tcPr>
                  <w:tcW w:w="1150" w:type="dxa"/>
                  <w:tcBorders>
                    <w:tl2br w:val="nil"/>
                    <w:tr2bl w:val="nil"/>
                  </w:tcBorders>
                  <w:vAlign w:val="center"/>
                </w:tcPr>
                <w:p>
                  <w:pPr>
                    <w:pStyle w:val="39"/>
                    <w:rPr>
                      <w:color w:val="auto"/>
                    </w:rPr>
                  </w:pPr>
                  <w:r>
                    <w:rPr>
                      <w:rFonts w:hint="eastAsia"/>
                      <w:color w:val="auto"/>
                      <w:lang w:val="en-US" w:eastAsia="zh-CN"/>
                    </w:rPr>
                    <w:t>95</w:t>
                  </w:r>
                  <w:r>
                    <w:rPr>
                      <w:rFonts w:hint="eastAsia"/>
                      <w:color w:val="auto"/>
                    </w:rPr>
                    <w:t>%</w:t>
                  </w:r>
                </w:p>
              </w:tc>
              <w:tc>
                <w:tcPr>
                  <w:tcW w:w="807" w:type="dxa"/>
                  <w:tcBorders>
                    <w:tl2br w:val="nil"/>
                    <w:tr2bl w:val="nil"/>
                  </w:tcBorders>
                  <w:vAlign w:val="center"/>
                </w:tcPr>
                <w:p>
                  <w:pPr>
                    <w:pStyle w:val="39"/>
                    <w:rPr>
                      <w:color w:val="auto"/>
                    </w:rPr>
                  </w:pPr>
                  <w:r>
                    <w:rPr>
                      <w:rFonts w:hint="eastAsia"/>
                      <w:color w:val="auto"/>
                    </w:rPr>
                    <w:t>9</w:t>
                  </w:r>
                  <w:r>
                    <w:rPr>
                      <w:rFonts w:hint="eastAsia"/>
                      <w:color w:val="auto"/>
                      <w:lang w:val="en-US" w:eastAsia="zh-CN"/>
                    </w:rPr>
                    <w:t>9.9</w:t>
                  </w:r>
                  <w:r>
                    <w:rPr>
                      <w:rFonts w:hint="eastAsia"/>
                      <w:color w:val="auto"/>
                    </w:rPr>
                    <w:t>%</w:t>
                  </w:r>
                </w:p>
              </w:tc>
              <w:tc>
                <w:tcPr>
                  <w:tcW w:w="686" w:type="dxa"/>
                  <w:tcBorders>
                    <w:tl2br w:val="nil"/>
                    <w:tr2bl w:val="nil"/>
                  </w:tcBorders>
                  <w:vAlign w:val="center"/>
                </w:tcPr>
                <w:p>
                  <w:pPr>
                    <w:pStyle w:val="39"/>
                    <w:rPr>
                      <w:color w:val="auto"/>
                    </w:rPr>
                  </w:pPr>
                  <w:r>
                    <w:rPr>
                      <w:rFonts w:hint="eastAsia"/>
                      <w:color w:val="auto"/>
                    </w:rPr>
                    <w:t>是</w:t>
                  </w:r>
                </w:p>
              </w:tc>
              <w:tc>
                <w:tcPr>
                  <w:tcW w:w="1074" w:type="dxa"/>
                  <w:tcBorders>
                    <w:tl2br w:val="nil"/>
                    <w:tr2bl w:val="nil"/>
                  </w:tcBorders>
                  <w:vAlign w:val="center"/>
                </w:tcPr>
                <w:p>
                  <w:pPr>
                    <w:pStyle w:val="39"/>
                    <w:rPr>
                      <w:rFonts w:eastAsia="宋体"/>
                      <w:color w:val="auto"/>
                      <w:lang w:val="en-US" w:eastAsia="zh-CN"/>
                    </w:rPr>
                  </w:pPr>
                  <w:r>
                    <w:rPr>
                      <w:rFonts w:hint="eastAsia"/>
                      <w:color w:val="auto"/>
                      <w:lang w:val="en-US" w:eastAsia="zh-CN"/>
                    </w:rPr>
                    <w:t>9.2</w:t>
                  </w:r>
                </w:p>
              </w:tc>
              <w:tc>
                <w:tcPr>
                  <w:tcW w:w="1086" w:type="dxa"/>
                  <w:tcBorders>
                    <w:tl2br w:val="nil"/>
                    <w:tr2bl w:val="nil"/>
                  </w:tcBorders>
                  <w:vAlign w:val="center"/>
                </w:tcPr>
                <w:p>
                  <w:pPr>
                    <w:pStyle w:val="39"/>
                    <w:rPr>
                      <w:rFonts w:eastAsia="宋体"/>
                      <w:color w:val="auto"/>
                      <w:lang w:val="en-US" w:eastAsia="zh-CN"/>
                    </w:rPr>
                  </w:pPr>
                  <w:r>
                    <w:rPr>
                      <w:rFonts w:hint="eastAsia"/>
                      <w:color w:val="auto"/>
                      <w:lang w:val="en-US" w:eastAsia="zh-CN"/>
                    </w:rPr>
                    <w:t>0.055</w:t>
                  </w:r>
                </w:p>
              </w:tc>
              <w:tc>
                <w:tcPr>
                  <w:tcW w:w="1160" w:type="dxa"/>
                  <w:tcBorders>
                    <w:tl2br w:val="nil"/>
                    <w:tr2bl w:val="nil"/>
                  </w:tcBorders>
                  <w:vAlign w:val="center"/>
                </w:tcPr>
                <w:p>
                  <w:pPr>
                    <w:pStyle w:val="39"/>
                    <w:rPr>
                      <w:rFonts w:eastAsia="宋体"/>
                      <w:color w:val="auto"/>
                      <w:lang w:val="en-US" w:eastAsia="zh-CN"/>
                    </w:rPr>
                  </w:pPr>
                  <w:r>
                    <w:rPr>
                      <w:rFonts w:hint="eastAsia"/>
                      <w:color w:val="auto"/>
                      <w:lang w:val="en-US" w:eastAsia="zh-CN"/>
                    </w:rPr>
                    <w:t>0.266</w:t>
                  </w:r>
                </w:p>
              </w:tc>
            </w:tr>
            <w:tr>
              <w:trPr>
                <w:trHeight w:val="90"/>
              </w:trPr>
              <w:tc>
                <w:tcPr>
                  <w:tcW w:w="1015"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挤压造粒生产线车间排气筒P2（依托现有治理设施及排气筒，新增一套二级活性炭吸附装置）</w:t>
                  </w:r>
                </w:p>
              </w:tc>
              <w:tc>
                <w:tcPr>
                  <w:tcW w:w="760" w:type="dxa"/>
                  <w:tcBorders>
                    <w:tl2br w:val="nil"/>
                    <w:tr2bl w:val="nil"/>
                  </w:tcBorders>
                  <w:vAlign w:val="center"/>
                </w:tcPr>
                <w:p>
                  <w:pPr>
                    <w:pStyle w:val="39"/>
                    <w:rPr>
                      <w:color w:val="auto"/>
                    </w:rPr>
                  </w:pPr>
                  <w:r>
                    <w:rPr>
                      <w:color w:val="auto"/>
                    </w:rPr>
                    <w:t>颗粒物</w:t>
                  </w:r>
                </w:p>
              </w:tc>
              <w:tc>
                <w:tcPr>
                  <w:tcW w:w="959" w:type="dxa"/>
                  <w:tcBorders>
                    <w:tl2br w:val="nil"/>
                    <w:tr2bl w:val="nil"/>
                  </w:tcBorders>
                  <w:vAlign w:val="center"/>
                </w:tcPr>
                <w:p>
                  <w:pPr>
                    <w:pStyle w:val="39"/>
                    <w:rPr>
                      <w:rFonts w:eastAsia="宋体"/>
                      <w:color w:val="auto"/>
                      <w:lang w:val="en-US" w:eastAsia="zh-CN"/>
                    </w:rPr>
                  </w:pPr>
                  <w:r>
                    <w:rPr>
                      <w:rFonts w:hint="eastAsia"/>
                      <w:color w:val="auto"/>
                      <w:lang w:val="en-US" w:eastAsia="zh-CN"/>
                    </w:rPr>
                    <w:t>840</w:t>
                  </w:r>
                </w:p>
              </w:tc>
              <w:tc>
                <w:tcPr>
                  <w:tcW w:w="1265" w:type="dxa"/>
                  <w:tcBorders>
                    <w:tl2br w:val="nil"/>
                    <w:tr2bl w:val="nil"/>
                  </w:tcBorders>
                  <w:vAlign w:val="center"/>
                </w:tcPr>
                <w:p>
                  <w:pPr>
                    <w:pStyle w:val="39"/>
                    <w:rPr>
                      <w:rFonts w:eastAsia="宋体"/>
                      <w:color w:val="auto"/>
                      <w:lang w:val="en-US" w:eastAsia="zh-CN"/>
                    </w:rPr>
                  </w:pPr>
                  <w:r>
                    <w:rPr>
                      <w:rFonts w:hint="eastAsia"/>
                      <w:color w:val="auto"/>
                      <w:lang w:val="en-US" w:eastAsia="zh-CN"/>
                    </w:rPr>
                    <w:t>5937.5</w:t>
                  </w:r>
                </w:p>
              </w:tc>
              <w:tc>
                <w:tcPr>
                  <w:tcW w:w="640" w:type="dxa"/>
                  <w:vMerge w:val="restart"/>
                  <w:tcBorders>
                    <w:tl2br w:val="nil"/>
                    <w:tr2bl w:val="nil"/>
                  </w:tcBorders>
                  <w:vAlign w:val="center"/>
                </w:tcPr>
                <w:p>
                  <w:pPr>
                    <w:pStyle w:val="39"/>
                    <w:rPr>
                      <w:color w:val="auto"/>
                    </w:rPr>
                  </w:pPr>
                  <w:r>
                    <w:rPr>
                      <w:rFonts w:hint="eastAsia"/>
                      <w:color w:val="auto"/>
                    </w:rPr>
                    <w:t>有组织</w:t>
                  </w:r>
                </w:p>
              </w:tc>
              <w:tc>
                <w:tcPr>
                  <w:tcW w:w="1185"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集气罩+软帘+管道+旋风除尘器TA001+袋式除尘器TA002+ 二级活性炭吸附装置TA002</w:t>
                  </w:r>
                </w:p>
              </w:tc>
              <w:tc>
                <w:tcPr>
                  <w:tcW w:w="762" w:type="dxa"/>
                  <w:vMerge w:val="restart"/>
                  <w:tcBorders>
                    <w:tl2br w:val="nil"/>
                    <w:tr2bl w:val="nil"/>
                  </w:tcBorders>
                  <w:vAlign w:val="center"/>
                </w:tcPr>
                <w:p>
                  <w:pPr>
                    <w:pStyle w:val="39"/>
                    <w:rPr>
                      <w:color w:val="auto"/>
                    </w:rPr>
                  </w:pPr>
                  <w:r>
                    <w:rPr>
                      <w:rFonts w:hint="eastAsia"/>
                      <w:color w:val="auto"/>
                      <w:lang w:val="en-US" w:eastAsia="zh-CN"/>
                    </w:rPr>
                    <w:t>28</w:t>
                  </w:r>
                  <w:r>
                    <w:rPr>
                      <w:rFonts w:hint="eastAsia"/>
                      <w:color w:val="auto"/>
                    </w:rPr>
                    <w:t>000</w:t>
                  </w:r>
                </w:p>
              </w:tc>
              <w:tc>
                <w:tcPr>
                  <w:tcW w:w="1150" w:type="dxa"/>
                  <w:vMerge w:val="restart"/>
                  <w:tcBorders>
                    <w:tl2br w:val="nil"/>
                    <w:tr2bl w:val="nil"/>
                  </w:tcBorders>
                  <w:vAlign w:val="center"/>
                </w:tcPr>
                <w:p>
                  <w:pPr>
                    <w:pStyle w:val="39"/>
                    <w:rPr>
                      <w:color w:val="auto"/>
                      <w:lang w:val="en-US" w:eastAsia="zh-CN"/>
                    </w:rPr>
                  </w:pPr>
                  <w:r>
                    <w:rPr>
                      <w:rFonts w:hint="eastAsia"/>
                      <w:color w:val="auto"/>
                      <w:lang w:val="en-US" w:eastAsia="zh-CN"/>
                    </w:rPr>
                    <w:t>95</w:t>
                  </w:r>
                  <w:r>
                    <w:rPr>
                      <w:color w:val="auto"/>
                    </w:rPr>
                    <w:t>%</w:t>
                  </w:r>
                </w:p>
              </w:tc>
              <w:tc>
                <w:tcPr>
                  <w:tcW w:w="807" w:type="dxa"/>
                  <w:tcBorders>
                    <w:tl2br w:val="nil"/>
                    <w:tr2bl w:val="nil"/>
                  </w:tcBorders>
                  <w:vAlign w:val="center"/>
                </w:tcPr>
                <w:p>
                  <w:pPr>
                    <w:pStyle w:val="39"/>
                    <w:rPr>
                      <w:color w:val="auto"/>
                    </w:rPr>
                  </w:pPr>
                  <w:r>
                    <w:rPr>
                      <w:color w:val="auto"/>
                    </w:rPr>
                    <w:t>9</w:t>
                  </w:r>
                  <w:r>
                    <w:rPr>
                      <w:rFonts w:hint="eastAsia"/>
                      <w:color w:val="auto"/>
                      <w:lang w:val="en-US" w:eastAsia="zh-CN"/>
                    </w:rPr>
                    <w:t>9.9</w:t>
                  </w:r>
                  <w:r>
                    <w:rPr>
                      <w:color w:val="auto"/>
                    </w:rPr>
                    <w:t>%</w:t>
                  </w:r>
                </w:p>
              </w:tc>
              <w:tc>
                <w:tcPr>
                  <w:tcW w:w="686" w:type="dxa"/>
                  <w:tcBorders>
                    <w:tl2br w:val="nil"/>
                    <w:tr2bl w:val="nil"/>
                  </w:tcBorders>
                  <w:vAlign w:val="center"/>
                </w:tcPr>
                <w:p>
                  <w:pPr>
                    <w:pStyle w:val="39"/>
                    <w:rPr>
                      <w:color w:val="auto"/>
                    </w:rPr>
                  </w:pPr>
                  <w:r>
                    <w:rPr>
                      <w:rFonts w:hint="eastAsia"/>
                      <w:color w:val="auto"/>
                    </w:rPr>
                    <w:t>是</w:t>
                  </w:r>
                </w:p>
              </w:tc>
              <w:tc>
                <w:tcPr>
                  <w:tcW w:w="1074" w:type="dxa"/>
                  <w:tcBorders>
                    <w:tl2br w:val="nil"/>
                    <w:tr2bl w:val="nil"/>
                  </w:tcBorders>
                  <w:vAlign w:val="center"/>
                </w:tcPr>
                <w:p>
                  <w:pPr>
                    <w:pStyle w:val="39"/>
                    <w:rPr>
                      <w:rFonts w:eastAsia="宋体"/>
                      <w:color w:val="auto"/>
                      <w:lang w:val="en-US" w:eastAsia="zh-CN"/>
                    </w:rPr>
                  </w:pPr>
                  <w:r>
                    <w:rPr>
                      <w:rFonts w:hint="eastAsia"/>
                      <w:color w:val="auto"/>
                      <w:lang w:val="en-US" w:eastAsia="zh-CN"/>
                    </w:rPr>
                    <w:t>5.9</w:t>
                  </w:r>
                </w:p>
              </w:tc>
              <w:tc>
                <w:tcPr>
                  <w:tcW w:w="1086" w:type="dxa"/>
                  <w:tcBorders>
                    <w:tl2br w:val="nil"/>
                    <w:tr2bl w:val="nil"/>
                  </w:tcBorders>
                  <w:vAlign w:val="center"/>
                </w:tcPr>
                <w:p>
                  <w:pPr>
                    <w:pStyle w:val="39"/>
                    <w:rPr>
                      <w:rFonts w:eastAsia="宋体"/>
                      <w:color w:val="auto"/>
                      <w:lang w:val="en-US" w:eastAsia="zh-CN"/>
                    </w:rPr>
                  </w:pPr>
                  <w:r>
                    <w:rPr>
                      <w:rFonts w:hint="eastAsia"/>
                      <w:color w:val="auto"/>
                      <w:lang w:val="en-US" w:eastAsia="zh-CN"/>
                    </w:rPr>
                    <w:t>0.166</w:t>
                  </w:r>
                </w:p>
              </w:tc>
              <w:tc>
                <w:tcPr>
                  <w:tcW w:w="1160" w:type="dxa"/>
                  <w:tcBorders>
                    <w:tl2br w:val="nil"/>
                    <w:tr2bl w:val="nil"/>
                  </w:tcBorders>
                  <w:vAlign w:val="center"/>
                </w:tcPr>
                <w:p>
                  <w:pPr>
                    <w:pStyle w:val="39"/>
                    <w:rPr>
                      <w:rFonts w:eastAsia="宋体"/>
                      <w:color w:val="auto"/>
                      <w:lang w:val="en-US" w:eastAsia="zh-CN"/>
                    </w:rPr>
                  </w:pPr>
                  <w:r>
                    <w:rPr>
                      <w:rFonts w:hint="eastAsia"/>
                      <w:color w:val="auto"/>
                      <w:lang w:val="en-US" w:eastAsia="zh-CN"/>
                    </w:rPr>
                    <w:t>0.798</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氨</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0.154</w:t>
                  </w:r>
                </w:p>
              </w:tc>
              <w:tc>
                <w:tcPr>
                  <w:tcW w:w="1265" w:type="dxa"/>
                  <w:tcBorders>
                    <w:tl2br w:val="nil"/>
                    <w:tr2bl w:val="nil"/>
                  </w:tcBorders>
                  <w:vAlign w:val="center"/>
                </w:tcPr>
                <w:p>
                  <w:pPr>
                    <w:pStyle w:val="39"/>
                    <w:rPr>
                      <w:rFonts w:eastAsia="宋体"/>
                      <w:color w:val="auto"/>
                      <w:lang w:val="en-US" w:eastAsia="zh-CN"/>
                    </w:rPr>
                  </w:pPr>
                  <w:r>
                    <w:rPr>
                      <w:rFonts w:hint="eastAsia"/>
                      <w:color w:val="auto"/>
                      <w:lang w:val="en-US" w:eastAsia="zh-CN"/>
                    </w:rPr>
                    <w:t>1.14</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val="restart"/>
                  <w:tcBorders>
                    <w:tl2br w:val="nil"/>
                    <w:tr2bl w:val="nil"/>
                  </w:tcBorders>
                  <w:vAlign w:val="center"/>
                </w:tcPr>
                <w:p>
                  <w:pPr>
                    <w:pStyle w:val="39"/>
                    <w:ind w:firstLine="0"/>
                    <w:rPr>
                      <w:color w:val="auto"/>
                    </w:rPr>
                  </w:pPr>
                  <w:r>
                    <w:rPr>
                      <w:rFonts w:hint="eastAsia"/>
                      <w:color w:val="auto"/>
                      <w:lang w:val="en-US" w:eastAsia="zh-CN"/>
                    </w:rPr>
                    <w:t>50%</w:t>
                  </w:r>
                </w:p>
              </w:tc>
              <w:tc>
                <w:tcPr>
                  <w:tcW w:w="686" w:type="dxa"/>
                  <w:vMerge w:val="restart"/>
                  <w:tcBorders>
                    <w:tl2br w:val="nil"/>
                    <w:tr2bl w:val="nil"/>
                  </w:tcBorders>
                  <w:vAlign w:val="center"/>
                </w:tcPr>
                <w:p>
                  <w:pPr>
                    <w:pStyle w:val="39"/>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是</w:t>
                  </w:r>
                </w:p>
              </w:tc>
              <w:tc>
                <w:tcPr>
                  <w:tcW w:w="1074" w:type="dxa"/>
                  <w:tcBorders>
                    <w:tl2br w:val="nil"/>
                    <w:tr2bl w:val="nil"/>
                  </w:tcBorders>
                  <w:vAlign w:val="center"/>
                </w:tcPr>
                <w:p>
                  <w:pPr>
                    <w:pStyle w:val="39"/>
                    <w:rPr>
                      <w:color w:val="auto"/>
                      <w:lang w:val="en-US" w:eastAsia="zh-CN"/>
                    </w:rPr>
                  </w:pPr>
                  <w:r>
                    <w:rPr>
                      <w:rFonts w:hint="eastAsia"/>
                      <w:color w:val="auto"/>
                      <w:lang w:val="en-US" w:eastAsia="zh-CN"/>
                    </w:rPr>
                    <w:t>0.54</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0.015</w:t>
                  </w:r>
                </w:p>
              </w:tc>
              <w:tc>
                <w:tcPr>
                  <w:tcW w:w="1160" w:type="dxa"/>
                  <w:tcBorders>
                    <w:tl2br w:val="nil"/>
                    <w:tr2bl w:val="nil"/>
                  </w:tcBorders>
                  <w:vAlign w:val="center"/>
                </w:tcPr>
                <w:p>
                  <w:pPr>
                    <w:pStyle w:val="39"/>
                    <w:rPr>
                      <w:color w:val="auto"/>
                      <w:lang w:val="en-US" w:eastAsia="zh-CN"/>
                    </w:rPr>
                  </w:pPr>
                  <w:r>
                    <w:rPr>
                      <w:rFonts w:hint="eastAsia"/>
                      <w:color w:val="auto"/>
                      <w:lang w:val="en-US" w:eastAsia="zh-CN"/>
                    </w:rPr>
                    <w:t>0.073</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hint="eastAsia"/>
                      <w:color w:val="auto"/>
                      <w:lang w:val="en-US" w:eastAsia="zh-CN"/>
                    </w:rPr>
                  </w:pPr>
                  <w:r>
                    <w:rPr>
                      <w:rFonts w:hint="eastAsia"/>
                      <w:color w:val="auto"/>
                      <w:lang w:val="en-US" w:eastAsia="zh-CN"/>
                    </w:rPr>
                    <w:t>臭气浓度</w:t>
                  </w:r>
                </w:p>
              </w:tc>
              <w:tc>
                <w:tcPr>
                  <w:tcW w:w="959"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tcW w:w="1265"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shd w:val="clear" w:color="auto" w:fill="auto"/>
                  <w:vAlign w:val="center"/>
                </w:tcPr>
                <w:p/>
              </w:tc>
              <w:tc>
                <w:tcPr>
                  <w:tcW w:w="686" w:type="dxa"/>
                  <w:vMerge/>
                  <w:tcBorders>
                    <w:tl2br w:val="nil"/>
                    <w:tr2bl w:val="nil"/>
                  </w:tcBorders>
                  <w:shd w:val="clear" w:color="auto" w:fill="auto"/>
                  <w:vAlign w:val="center"/>
                </w:tcPr>
                <w:p/>
              </w:tc>
              <w:tc>
                <w:tcPr>
                  <w:tcW w:w="1074"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977无量纲</w:t>
                  </w:r>
                </w:p>
              </w:tc>
              <w:tc>
                <w:tcPr>
                  <w:tcW w:w="1086"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c>
                <w:tcPr>
                  <w:tcW w:w="1160"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color w:val="auto"/>
                      <w:lang w:val="en-US" w:eastAsia="zh-CN"/>
                    </w:rPr>
                  </w:pPr>
                  <w:r>
                    <w:rPr>
                      <w:rFonts w:hint="eastAsia"/>
                      <w:color w:val="auto"/>
                      <w:lang w:val="en-US" w:eastAsia="zh-CN"/>
                    </w:rPr>
                    <w:t>甲醛</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0.002</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0.014</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tcBorders>
                    <w:tl2br w:val="nil"/>
                    <w:tr2bl w:val="nil"/>
                  </w:tcBorders>
                  <w:vAlign w:val="center"/>
                </w:tcPr>
                <w:p>
                  <w:pPr>
                    <w:pStyle w:val="39"/>
                    <w:ind w:firstLine="0"/>
                    <w:rPr>
                      <w:color w:val="auto"/>
                      <w:lang w:val="en-US" w:eastAsia="zh-CN"/>
                    </w:rPr>
                  </w:pPr>
                  <w:r>
                    <w:rPr>
                      <w:rFonts w:hint="eastAsia"/>
                      <w:color w:val="auto"/>
                      <w:lang w:val="en-US" w:eastAsia="zh-CN"/>
                    </w:rPr>
                    <w:t>90%</w:t>
                  </w:r>
                </w:p>
              </w:tc>
              <w:tc>
                <w:tcPr>
                  <w:tcW w:w="686" w:type="dxa"/>
                  <w:tcBorders>
                    <w:tl2br w:val="nil"/>
                    <w:tr2bl w:val="nil"/>
                  </w:tcBorders>
                  <w:vAlign w:val="center"/>
                </w:tcPr>
                <w:p>
                  <w:pPr>
                    <w:pStyle w:val="39"/>
                    <w:rPr>
                      <w:color w:val="auto"/>
                      <w:lang w:val="en-US" w:eastAsia="zh-CN"/>
                    </w:rPr>
                  </w:pPr>
                  <w:r>
                    <w:rPr>
                      <w:rFonts w:hint="eastAsia"/>
                      <w:color w:val="auto"/>
                      <w:lang w:val="en-US" w:eastAsia="zh-CN"/>
                    </w:rPr>
                    <w:t>是</w:t>
                  </w:r>
                </w:p>
              </w:tc>
              <w:tc>
                <w:tcPr>
                  <w:tcW w:w="1074" w:type="dxa"/>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0.0014</w:t>
                  </w:r>
                </w:p>
              </w:tc>
              <w:tc>
                <w:tcPr>
                  <w:tcW w:w="1086" w:type="dxa"/>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0.00004</w:t>
                  </w:r>
                </w:p>
              </w:tc>
              <w:tc>
                <w:tcPr>
                  <w:tcW w:w="1160" w:type="dxa"/>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0.00019</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color w:val="auto"/>
                      <w:lang w:val="en-US" w:eastAsia="zh-CN"/>
                    </w:rPr>
                  </w:pPr>
                  <w:r>
                    <w:rPr>
                      <w:rFonts w:hint="eastAsia"/>
                      <w:color w:val="auto"/>
                      <w:lang w:val="en-US" w:eastAsia="zh-CN"/>
                    </w:rPr>
                    <w:t>非甲烷总烃</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2.25</w:t>
                  </w:r>
                </w:p>
              </w:tc>
              <w:tc>
                <w:tcPr>
                  <w:tcW w:w="1265" w:type="dxa"/>
                  <w:tcBorders>
                    <w:tl2br w:val="nil"/>
                    <w:tr2bl w:val="nil"/>
                  </w:tcBorders>
                  <w:vAlign w:val="center"/>
                </w:tcPr>
                <w:p>
                  <w:pPr>
                    <w:pStyle w:val="39"/>
                    <w:rPr>
                      <w:rFonts w:eastAsia="宋体"/>
                      <w:color w:val="auto"/>
                      <w:lang w:val="en-US" w:eastAsia="zh-CN"/>
                    </w:rPr>
                  </w:pPr>
                  <w:r>
                    <w:rPr>
                      <w:rFonts w:hint="eastAsia"/>
                      <w:color w:val="auto"/>
                      <w:lang w:val="en-US" w:eastAsia="zh-CN"/>
                    </w:rPr>
                    <w:t>15.9</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tcBorders>
                    <w:tl2br w:val="nil"/>
                    <w:tr2bl w:val="nil"/>
                  </w:tcBorders>
                  <w:vAlign w:val="center"/>
                </w:tcPr>
                <w:p>
                  <w:pPr>
                    <w:pStyle w:val="39"/>
                    <w:ind w:firstLine="0"/>
                    <w:rPr>
                      <w:color w:val="auto"/>
                    </w:rPr>
                  </w:pPr>
                  <w:r>
                    <w:rPr>
                      <w:rFonts w:hint="eastAsia"/>
                      <w:color w:val="auto"/>
                      <w:lang w:val="en-US" w:eastAsia="zh-CN"/>
                    </w:rPr>
                    <w:t>90%</w:t>
                  </w:r>
                </w:p>
              </w:tc>
              <w:tc>
                <w:tcPr>
                  <w:tcW w:w="686" w:type="dxa"/>
                  <w:tcBorders>
                    <w:tl2br w:val="nil"/>
                    <w:tr2bl w:val="nil"/>
                  </w:tcBorders>
                  <w:vAlign w:val="center"/>
                </w:tcPr>
                <w:p>
                  <w:pPr>
                    <w:pStyle w:val="39"/>
                    <w:rPr>
                      <w:rFonts w:eastAsia="宋体"/>
                      <w:color w:val="auto"/>
                      <w:lang w:val="en-US" w:eastAsia="zh-CN"/>
                    </w:rPr>
                  </w:pPr>
                  <w:r>
                    <w:rPr>
                      <w:rFonts w:hint="eastAsia"/>
                      <w:color w:val="auto"/>
                      <w:lang w:val="en-US" w:eastAsia="zh-CN"/>
                    </w:rPr>
                    <w:t>是</w:t>
                  </w:r>
                </w:p>
              </w:tc>
              <w:tc>
                <w:tcPr>
                  <w:tcW w:w="1074" w:type="dxa"/>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1.59</w:t>
                  </w:r>
                </w:p>
              </w:tc>
              <w:tc>
                <w:tcPr>
                  <w:tcW w:w="1086" w:type="dxa"/>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0.045</w:t>
                  </w:r>
                </w:p>
              </w:tc>
              <w:tc>
                <w:tcPr>
                  <w:tcW w:w="1160" w:type="dxa"/>
                  <w:tcBorders>
                    <w:tl2br w:val="nil"/>
                    <w:tr2bl w:val="nil"/>
                  </w:tcBorders>
                  <w:vAlign w:val="center"/>
                </w:tcPr>
                <w:p>
                  <w:pPr>
                    <w:pStyle w:val="39"/>
                    <w:rPr>
                      <w:color w:val="auto"/>
                      <w:lang w:val="en-US" w:eastAsia="zh-CN"/>
                      <w:highlight w:val="none"/>
                    </w:rPr>
                  </w:pPr>
                  <w:r>
                    <w:rPr>
                      <w:rFonts w:hint="eastAsia"/>
                      <w:color w:val="auto"/>
                      <w:lang w:val="en-US" w:eastAsia="zh-CN"/>
                      <w:highlight w:val="none"/>
                    </w:rPr>
                    <w:t>0.214</w:t>
                  </w:r>
                </w:p>
              </w:tc>
            </w:tr>
            <w:tr>
              <w:trPr>
                <w:trHeight w:val="23"/>
              </w:trPr>
              <w:tc>
                <w:tcPr>
                  <w:tcW w:w="1015" w:type="dxa"/>
                  <w:vMerge w:val="restart"/>
                  <w:tcBorders>
                    <w:tl2br w:val="nil"/>
                    <w:tr2bl w:val="nil"/>
                  </w:tcBorders>
                  <w:vAlign w:val="center"/>
                </w:tcPr>
                <w:p>
                  <w:pPr>
                    <w:pStyle w:val="39"/>
                    <w:rPr>
                      <w:color w:val="auto"/>
                      <w:lang w:val="en-US" w:eastAsia="zh-CN"/>
                    </w:rPr>
                  </w:pPr>
                  <w:r>
                    <w:rPr>
                      <w:rFonts w:hint="eastAsia"/>
                      <w:color w:val="auto"/>
                      <w:lang w:val="en-US" w:eastAsia="zh-CN"/>
                    </w:rPr>
                    <w:t>排气筒P3烘干工序废气（依托现有治理设施及排气筒）</w:t>
                  </w:r>
                </w:p>
              </w:tc>
              <w:tc>
                <w:tcPr>
                  <w:tcW w:w="760" w:type="dxa"/>
                  <w:tcBorders>
                    <w:tl2br w:val="nil"/>
                    <w:tr2bl w:val="nil"/>
                  </w:tcBorders>
                  <w:vAlign w:val="center"/>
                </w:tcPr>
                <w:p>
                  <w:pPr>
                    <w:pStyle w:val="39"/>
                    <w:rPr>
                      <w:color w:val="auto"/>
                    </w:rPr>
                  </w:pPr>
                  <w:r>
                    <w:rPr>
                      <w:color w:val="auto"/>
                    </w:rPr>
                    <w:t>颗粒物</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279.6</w:t>
                  </w:r>
                </w:p>
              </w:tc>
              <w:tc>
                <w:tcPr>
                  <w:tcW w:w="1265" w:type="dxa"/>
                  <w:tcBorders>
                    <w:tl2br w:val="nil"/>
                    <w:tr2bl w:val="nil"/>
                  </w:tcBorders>
                  <w:vAlign w:val="center"/>
                </w:tcPr>
                <w:p>
                  <w:pPr>
                    <w:pStyle w:val="39"/>
                    <w:rPr>
                      <w:rFonts w:eastAsia="宋体"/>
                      <w:color w:val="auto"/>
                      <w:lang w:val="en-US" w:eastAsia="zh-CN"/>
                    </w:rPr>
                  </w:pPr>
                  <w:r>
                    <w:rPr>
                      <w:rFonts w:hint="eastAsia"/>
                      <w:color w:val="auto"/>
                      <w:lang w:val="en-US" w:eastAsia="zh-CN"/>
                    </w:rPr>
                    <w:t>3883.3</w:t>
                  </w:r>
                </w:p>
              </w:tc>
              <w:tc>
                <w:tcPr>
                  <w:tcW w:w="640" w:type="dxa"/>
                  <w:vMerge w:val="restart"/>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有组织</w:t>
                  </w:r>
                </w:p>
              </w:tc>
              <w:tc>
                <w:tcPr>
                  <w:tcW w:w="1185" w:type="dxa"/>
                  <w:vMerge w:val="restart"/>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管道+旋风除尘器（TA002）+袋式除尘器（TA003）+旋转吸附机+水喷淋塔</w:t>
                  </w:r>
                </w:p>
              </w:tc>
              <w:tc>
                <w:tcPr>
                  <w:tcW w:w="762" w:type="dxa"/>
                  <w:vMerge w:val="restart"/>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15000</w:t>
                  </w:r>
                </w:p>
              </w:tc>
              <w:tc>
                <w:tcPr>
                  <w:tcW w:w="1150" w:type="dxa"/>
                  <w:vMerge w:val="restart"/>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10</w:t>
                  </w:r>
                  <w:r>
                    <w:rPr>
                      <w:color w:val="auto"/>
                    </w:rPr>
                    <w:t>0%</w:t>
                  </w:r>
                </w:p>
              </w:tc>
              <w:tc>
                <w:tcPr>
                  <w:tcW w:w="807"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99.9</w:t>
                  </w:r>
                  <w:r>
                    <w:rPr>
                      <w:color w:val="auto"/>
                    </w:rPr>
                    <w:t>%</w:t>
                  </w:r>
                </w:p>
              </w:tc>
              <w:tc>
                <w:tcPr>
                  <w:tcW w:w="686" w:type="dxa"/>
                  <w:vMerge w:val="restart"/>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是</w:t>
                  </w:r>
                </w:p>
              </w:tc>
              <w:tc>
                <w:tcPr>
                  <w:tcW w:w="1074" w:type="dxa"/>
                  <w:tcBorders>
                    <w:tl2br w:val="nil"/>
                    <w:tr2bl w:val="nil"/>
                  </w:tcBorders>
                  <w:vAlign w:val="center"/>
                </w:tcPr>
                <w:p>
                  <w:pPr>
                    <w:pStyle w:val="39"/>
                    <w:rPr>
                      <w:color w:val="auto"/>
                      <w:lang w:val="en-US" w:eastAsia="zh-CN"/>
                    </w:rPr>
                  </w:pPr>
                  <w:r>
                    <w:rPr>
                      <w:rFonts w:hint="eastAsia"/>
                      <w:color w:val="auto"/>
                      <w:lang w:val="en-US" w:eastAsia="zh-CN"/>
                    </w:rPr>
                    <w:t>3.9</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0.058</w:t>
                  </w:r>
                </w:p>
              </w:tc>
              <w:tc>
                <w:tcPr>
                  <w:tcW w:w="1160" w:type="dxa"/>
                  <w:tcBorders>
                    <w:tl2br w:val="nil"/>
                    <w:tr2bl w:val="nil"/>
                  </w:tcBorders>
                  <w:vAlign w:val="center"/>
                </w:tcPr>
                <w:p>
                  <w:pPr>
                    <w:pStyle w:val="39"/>
                    <w:rPr>
                      <w:color w:val="auto"/>
                      <w:lang w:val="en-US" w:eastAsia="zh-CN"/>
                    </w:rPr>
                  </w:pPr>
                  <w:r>
                    <w:rPr>
                      <w:rFonts w:hint="eastAsia"/>
                      <w:color w:val="auto"/>
                      <w:lang w:val="en-US" w:eastAsia="zh-CN"/>
                    </w:rPr>
                    <w:t>0.280</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氨</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0.450</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6.25</w:t>
                  </w:r>
                </w:p>
              </w:tc>
              <w:tc>
                <w:tcPr>
                  <w:tcW w:w="640" w:type="dxa"/>
                  <w:vMerge/>
                  <w:tcBorders>
                    <w:tl2br w:val="nil"/>
                    <w:tr2bl w:val="nil"/>
                  </w:tcBorders>
                  <w:shd w:val="clear" w:color="auto" w:fill="auto"/>
                  <w:vAlign w:val="center"/>
                </w:tcPr>
                <w:p/>
              </w:tc>
              <w:tc>
                <w:tcPr>
                  <w:tcW w:w="1185" w:type="dxa"/>
                  <w:vMerge/>
                  <w:tcBorders>
                    <w:tl2br w:val="nil"/>
                    <w:tr2bl w:val="nil"/>
                  </w:tcBorders>
                  <w:shd w:val="clear" w:color="auto" w:fill="auto"/>
                  <w:vAlign w:val="center"/>
                </w:tcPr>
                <w:p/>
              </w:tc>
              <w:tc>
                <w:tcPr>
                  <w:tcW w:w="762" w:type="dxa"/>
                  <w:vMerge/>
                  <w:tcBorders>
                    <w:tl2br w:val="nil"/>
                    <w:tr2bl w:val="nil"/>
                  </w:tcBorders>
                  <w:shd w:val="clear" w:color="auto" w:fill="auto"/>
                  <w:vAlign w:val="center"/>
                </w:tcPr>
                <w:p/>
              </w:tc>
              <w:tc>
                <w:tcPr>
                  <w:tcW w:w="1150" w:type="dxa"/>
                  <w:vMerge/>
                  <w:tcBorders>
                    <w:tl2br w:val="nil"/>
                    <w:tr2bl w:val="nil"/>
                  </w:tcBorders>
                  <w:shd w:val="clear" w:color="auto" w:fill="auto"/>
                  <w:vAlign w:val="center"/>
                </w:tcPr>
                <w:p/>
              </w:tc>
              <w:tc>
                <w:tcPr>
                  <w:tcW w:w="807" w:type="dxa"/>
                  <w:vMerge w:val="restart"/>
                  <w:tcBorders>
                    <w:tl2br w:val="nil"/>
                    <w:tr2bl w:val="nil"/>
                  </w:tcBorders>
                  <w:shd w:val="clear" w:color="auto" w:fill="auto"/>
                  <w:vAlign w:val="center"/>
                </w:tcPr>
                <w:p>
                  <w:pPr>
                    <w:pStyle w:val="39"/>
                    <w:ind w:firstLine="0"/>
                    <w:rPr>
                      <w:rFonts w:eastAsia="宋体"/>
                      <w:color w:val="auto"/>
                      <w:lang w:val="en-US" w:eastAsia="zh-CN"/>
                    </w:rPr>
                  </w:pPr>
                  <w:r>
                    <w:rPr>
                      <w:rFonts w:hint="eastAsia"/>
                      <w:color w:val="auto"/>
                      <w:lang w:val="en-US" w:eastAsia="zh-CN"/>
                    </w:rPr>
                    <w:t>73.6%</w:t>
                  </w:r>
                </w:p>
              </w:tc>
              <w:tc>
                <w:tcPr>
                  <w:tcW w:w="686" w:type="dxa"/>
                  <w:vMerge/>
                  <w:tcBorders>
                    <w:tl2br w:val="nil"/>
                    <w:tr2bl w:val="nil"/>
                  </w:tcBorders>
                  <w:shd w:val="clear" w:color="auto" w:fill="auto"/>
                  <w:vAlign w:val="center"/>
                </w:tcPr>
                <w:p/>
              </w:tc>
              <w:tc>
                <w:tcPr>
                  <w:tcW w:w="1074" w:type="dxa"/>
                  <w:tcBorders>
                    <w:tl2br w:val="nil"/>
                    <w:tr2bl w:val="nil"/>
                  </w:tcBorders>
                  <w:vAlign w:val="center"/>
                </w:tcPr>
                <w:p>
                  <w:pPr>
                    <w:pStyle w:val="39"/>
                    <w:rPr>
                      <w:color w:val="auto"/>
                      <w:lang w:val="en-US" w:eastAsia="zh-CN"/>
                    </w:rPr>
                  </w:pPr>
                  <w:r>
                    <w:rPr>
                      <w:rFonts w:hint="eastAsia"/>
                      <w:color w:val="auto"/>
                      <w:lang w:val="en-US" w:eastAsia="zh-CN"/>
                    </w:rPr>
                    <w:t>1.65</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0.025</w:t>
                  </w:r>
                </w:p>
              </w:tc>
              <w:tc>
                <w:tcPr>
                  <w:tcW w:w="1160" w:type="dxa"/>
                  <w:tcBorders>
                    <w:tl2br w:val="nil"/>
                    <w:tr2bl w:val="nil"/>
                  </w:tcBorders>
                  <w:vAlign w:val="center"/>
                </w:tcPr>
                <w:p>
                  <w:pPr>
                    <w:pStyle w:val="39"/>
                    <w:rPr>
                      <w:color w:val="auto"/>
                      <w:lang w:val="en-US" w:eastAsia="zh-CN"/>
                    </w:rPr>
                  </w:pPr>
                  <w:r>
                    <w:rPr>
                      <w:rFonts w:hint="eastAsia"/>
                      <w:color w:val="auto"/>
                      <w:lang w:val="en-US" w:eastAsia="zh-CN"/>
                    </w:rPr>
                    <w:t>0.119</w:t>
                  </w:r>
                </w:p>
              </w:tc>
            </w:tr>
            <w:tr>
              <w:trPr>
                <w:trHeight w:val="23"/>
              </w:trPr>
              <w:tc>
                <w:tcPr>
                  <w:tcW w:w="1015" w:type="dxa"/>
                  <w:vMerge/>
                  <w:tcBorders>
                    <w:tl2br w:val="nil"/>
                    <w:tr2bl w:val="nil"/>
                  </w:tcBorders>
                  <w:vAlign w:val="center"/>
                </w:tcPr>
                <w:p/>
              </w:tc>
              <w:tc>
                <w:tcPr>
                  <w:tcW w:w="760"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臭气浓度</w:t>
                  </w:r>
                </w:p>
              </w:tc>
              <w:tc>
                <w:tcPr>
                  <w:tcW w:w="959"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w:t>
                  </w:r>
                </w:p>
              </w:tc>
              <w:tc>
                <w:tcPr>
                  <w:tcW w:w="640" w:type="dxa"/>
                  <w:vMerge/>
                  <w:tcBorders>
                    <w:tl2br w:val="nil"/>
                    <w:tr2bl w:val="nil"/>
                  </w:tcBorders>
                  <w:shd w:val="clear" w:color="auto" w:fill="auto"/>
                  <w:vAlign w:val="center"/>
                </w:tcPr>
                <w:p/>
              </w:tc>
              <w:tc>
                <w:tcPr>
                  <w:tcW w:w="1185" w:type="dxa"/>
                  <w:vMerge/>
                  <w:tcBorders>
                    <w:tl2br w:val="nil"/>
                    <w:tr2bl w:val="nil"/>
                  </w:tcBorders>
                  <w:shd w:val="clear" w:color="auto" w:fill="auto"/>
                  <w:vAlign w:val="center"/>
                </w:tcPr>
                <w:p/>
              </w:tc>
              <w:tc>
                <w:tcPr>
                  <w:tcW w:w="762" w:type="dxa"/>
                  <w:vMerge/>
                  <w:tcBorders>
                    <w:tl2br w:val="nil"/>
                    <w:tr2bl w:val="nil"/>
                  </w:tcBorders>
                  <w:shd w:val="clear" w:color="auto" w:fill="auto"/>
                  <w:vAlign w:val="center"/>
                </w:tcPr>
                <w:p/>
              </w:tc>
              <w:tc>
                <w:tcPr>
                  <w:tcW w:w="1150" w:type="dxa"/>
                  <w:vMerge/>
                  <w:tcBorders>
                    <w:tl2br w:val="nil"/>
                    <w:tr2bl w:val="nil"/>
                  </w:tcBorders>
                  <w:shd w:val="clear" w:color="auto" w:fill="auto"/>
                  <w:vAlign w:val="center"/>
                </w:tcPr>
                <w:p/>
              </w:tc>
              <w:tc>
                <w:tcPr>
                  <w:tcW w:w="807" w:type="dxa"/>
                  <w:vMerge/>
                  <w:tcBorders>
                    <w:tl2br w:val="nil"/>
                    <w:tr2bl w:val="nil"/>
                  </w:tcBorders>
                  <w:shd w:val="clear" w:color="auto" w:fill="auto"/>
                  <w:vAlign w:val="center"/>
                </w:tcPr>
                <w:p/>
              </w:tc>
              <w:tc>
                <w:tcPr>
                  <w:tcW w:w="686" w:type="dxa"/>
                  <w:vMerge/>
                  <w:tcBorders>
                    <w:tl2br w:val="nil"/>
                    <w:tr2bl w:val="nil"/>
                  </w:tcBorders>
                  <w:shd w:val="clear" w:color="auto" w:fill="auto"/>
                  <w:vAlign w:val="center"/>
                </w:tcPr>
                <w:p/>
              </w:tc>
              <w:tc>
                <w:tcPr>
                  <w:tcW w:w="1074" w:type="dxa"/>
                  <w:tcBorders>
                    <w:tl2br w:val="nil"/>
                    <w:tr2bl w:val="nil"/>
                  </w:tcBorders>
                  <w:vAlign w:val="center"/>
                </w:tcPr>
                <w:p>
                  <w:pPr>
                    <w:pStyle w:val="39"/>
                    <w:rPr>
                      <w:color w:val="auto"/>
                      <w:lang w:val="en-US" w:eastAsia="zh-CN"/>
                    </w:rPr>
                  </w:pPr>
                  <w:r>
                    <w:rPr>
                      <w:rFonts w:hint="eastAsia"/>
                      <w:color w:val="auto"/>
                      <w:lang w:val="en-US" w:eastAsia="zh-CN"/>
                    </w:rPr>
                    <w:t>977无量纲</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w:t>
                  </w:r>
                </w:p>
              </w:tc>
              <w:tc>
                <w:tcPr>
                  <w:tcW w:w="1160" w:type="dxa"/>
                  <w:tcBorders>
                    <w:tl2br w:val="nil"/>
                    <w:tr2bl w:val="nil"/>
                  </w:tcBorders>
                  <w:vAlign w:val="center"/>
                </w:tcPr>
                <w:p>
                  <w:pPr>
                    <w:pStyle w:val="39"/>
                    <w:rPr>
                      <w:color w:val="auto"/>
                      <w:lang w:val="en-US" w:eastAsia="zh-CN"/>
                    </w:rPr>
                  </w:pPr>
                  <w:r>
                    <w:rPr>
                      <w:rFonts w:hint="eastAsia"/>
                      <w:color w:val="auto"/>
                      <w:lang w:val="en-US" w:eastAsia="zh-CN"/>
                    </w:rPr>
                    <w:t>/</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color w:val="auto"/>
                      <w:lang w:val="en-US" w:eastAsia="zh-CN"/>
                    </w:rPr>
                  </w:pPr>
                  <w:r>
                    <w:rPr>
                      <w:rFonts w:hint="eastAsia"/>
                      <w:color w:val="auto"/>
                      <w:lang w:val="en-US" w:eastAsia="zh-CN"/>
                    </w:rPr>
                    <w:t>甲醛</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0.002</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0.028</w:t>
                  </w:r>
                </w:p>
              </w:tc>
              <w:tc>
                <w:tcPr>
                  <w:tcW w:w="640" w:type="dxa"/>
                  <w:vMerge/>
                  <w:tcBorders>
                    <w:tl2br w:val="nil"/>
                    <w:tr2bl w:val="nil"/>
                  </w:tcBorders>
                  <w:shd w:val="clear" w:color="auto" w:fill="auto"/>
                  <w:vAlign w:val="center"/>
                </w:tcPr>
                <w:p/>
              </w:tc>
              <w:tc>
                <w:tcPr>
                  <w:tcW w:w="1185" w:type="dxa"/>
                  <w:vMerge/>
                  <w:tcBorders>
                    <w:tl2br w:val="nil"/>
                    <w:tr2bl w:val="nil"/>
                  </w:tcBorders>
                  <w:shd w:val="clear" w:color="auto" w:fill="auto"/>
                  <w:vAlign w:val="center"/>
                </w:tcPr>
                <w:p/>
              </w:tc>
              <w:tc>
                <w:tcPr>
                  <w:tcW w:w="762" w:type="dxa"/>
                  <w:vMerge/>
                  <w:tcBorders>
                    <w:tl2br w:val="nil"/>
                    <w:tr2bl w:val="nil"/>
                  </w:tcBorders>
                  <w:shd w:val="clear" w:color="auto" w:fill="auto"/>
                  <w:vAlign w:val="center"/>
                </w:tcPr>
                <w:p/>
              </w:tc>
              <w:tc>
                <w:tcPr>
                  <w:tcW w:w="1150" w:type="dxa"/>
                  <w:vMerge/>
                  <w:tcBorders>
                    <w:tl2br w:val="nil"/>
                    <w:tr2bl w:val="nil"/>
                  </w:tcBorders>
                  <w:shd w:val="clear" w:color="auto" w:fill="auto"/>
                  <w:vAlign w:val="center"/>
                </w:tcPr>
                <w:p/>
              </w:tc>
              <w:tc>
                <w:tcPr>
                  <w:tcW w:w="807" w:type="dxa"/>
                  <w:tcBorders>
                    <w:tl2br w:val="nil"/>
                    <w:tr2bl w:val="nil"/>
                  </w:tcBorders>
                  <w:shd w:val="clear" w:color="auto" w:fill="auto"/>
                  <w:vAlign w:val="center"/>
                </w:tcPr>
                <w:p>
                  <w:pPr>
                    <w:pStyle w:val="39"/>
                    <w:ind w:firstLine="0"/>
                    <w:rPr>
                      <w:rFonts w:eastAsia="宋体"/>
                      <w:color w:val="auto"/>
                      <w:lang w:val="en-US" w:eastAsia="zh-CN"/>
                    </w:rPr>
                  </w:pPr>
                  <w:r>
                    <w:rPr>
                      <w:rFonts w:hint="eastAsia"/>
                      <w:color w:val="auto"/>
                      <w:lang w:val="en-US" w:eastAsia="zh-CN"/>
                    </w:rPr>
                    <w:t>30%</w:t>
                  </w:r>
                </w:p>
              </w:tc>
              <w:tc>
                <w:tcPr>
                  <w:tcW w:w="686" w:type="dxa"/>
                  <w:tcBorders>
                    <w:tl2br w:val="nil"/>
                    <w:tr2bl w:val="nil"/>
                  </w:tcBorders>
                  <w:shd w:val="clear" w:color="auto" w:fill="auto"/>
                  <w:vAlign w:val="center"/>
                </w:tcPr>
                <w:p>
                  <w:pPr>
                    <w:pStyle w:val="39"/>
                    <w:ind w:firstLine="0"/>
                    <w:rPr>
                      <w:rFonts w:eastAsia="宋体"/>
                      <w:color w:val="auto"/>
                      <w:lang w:val="en-US" w:eastAsia="zh-CN"/>
                    </w:rPr>
                  </w:pPr>
                  <w:r>
                    <w:rPr>
                      <w:rFonts w:hint="eastAsia"/>
                      <w:color w:val="auto"/>
                      <w:lang w:val="en-US" w:eastAsia="zh-CN"/>
                    </w:rPr>
                    <w:t>是</w:t>
                  </w:r>
                </w:p>
              </w:tc>
              <w:tc>
                <w:tcPr>
                  <w:tcW w:w="1074" w:type="dxa"/>
                  <w:tcBorders>
                    <w:tl2br w:val="nil"/>
                    <w:tr2bl w:val="nil"/>
                  </w:tcBorders>
                  <w:vAlign w:val="center"/>
                </w:tcPr>
                <w:p>
                  <w:pPr>
                    <w:pStyle w:val="39"/>
                    <w:rPr>
                      <w:color w:val="auto"/>
                      <w:lang w:val="en-US" w:eastAsia="zh-CN"/>
                    </w:rPr>
                  </w:pPr>
                  <w:r>
                    <w:rPr>
                      <w:rFonts w:hint="eastAsia"/>
                      <w:color w:val="auto"/>
                      <w:lang w:val="en-US" w:eastAsia="zh-CN"/>
                    </w:rPr>
                    <w:t>0.020</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0.0003</w:t>
                  </w:r>
                </w:p>
              </w:tc>
              <w:tc>
                <w:tcPr>
                  <w:tcW w:w="1160" w:type="dxa"/>
                  <w:tcBorders>
                    <w:tl2br w:val="nil"/>
                    <w:tr2bl w:val="nil"/>
                  </w:tcBorders>
                  <w:vAlign w:val="center"/>
                </w:tcPr>
                <w:p>
                  <w:pPr>
                    <w:pStyle w:val="39"/>
                    <w:rPr>
                      <w:color w:val="auto"/>
                      <w:lang w:val="en-US" w:eastAsia="zh-CN"/>
                    </w:rPr>
                  </w:pPr>
                  <w:r>
                    <w:rPr>
                      <w:rFonts w:hint="eastAsia"/>
                      <w:color w:val="auto"/>
                      <w:lang w:val="en-US" w:eastAsia="zh-CN"/>
                    </w:rPr>
                    <w:t>0.0014</w:t>
                  </w:r>
                </w:p>
              </w:tc>
            </w:tr>
            <w:tr>
              <w:trPr>
                <w:trHeight w:val="23"/>
              </w:trPr>
              <w:tc>
                <w:tcPr>
                  <w:tcW w:w="1015"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天然气燃烧废气（依托现有天然气燃烧机后进入密闭烘干机前管道检测点位）</w:t>
                  </w: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颗粒物</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0.050</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12.3</w:t>
                  </w:r>
                </w:p>
              </w:tc>
              <w:tc>
                <w:tcPr>
                  <w:tcW w:w="640" w:type="dxa"/>
                  <w:vMerge w:val="restar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有组织</w:t>
                  </w:r>
                </w:p>
              </w:tc>
              <w:tc>
                <w:tcPr>
                  <w:tcW w:w="1185"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管道+旋风除尘器（TA002）+袋式除尘器（TA003）+旋转吸附机+水喷淋塔</w:t>
                  </w:r>
                </w:p>
              </w:tc>
              <w:tc>
                <w:tcPr>
                  <w:tcW w:w="762"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15000</w:t>
                  </w:r>
                </w:p>
              </w:tc>
              <w:tc>
                <w:tcPr>
                  <w:tcW w:w="1150"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100%</w:t>
                  </w:r>
                </w:p>
              </w:tc>
              <w:tc>
                <w:tcPr>
                  <w:tcW w:w="807"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99.9%</w:t>
                  </w:r>
                </w:p>
              </w:tc>
              <w:tc>
                <w:tcPr>
                  <w:tcW w:w="686"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是</w:t>
                  </w:r>
                </w:p>
              </w:tc>
              <w:tc>
                <w:tcPr>
                  <w:tcW w:w="1074"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0.01</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0.00001</w:t>
                  </w:r>
                </w:p>
              </w:tc>
              <w:tc>
                <w:tcPr>
                  <w:tcW w:w="1160"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0.00005</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二氧化硫</w:t>
                  </w:r>
                </w:p>
              </w:tc>
              <w:tc>
                <w:tcPr>
                  <w:tcW w:w="959" w:type="dxa"/>
                  <w:tcBorders>
                    <w:tl2br w:val="nil"/>
                    <w:tr2bl w:val="nil"/>
                  </w:tcBorders>
                  <w:vAlign w:val="center"/>
                </w:tcPr>
                <w:p>
                  <w:pPr>
                    <w:pStyle w:val="39"/>
                    <w:ind w:firstLine="0"/>
                    <w:rPr>
                      <w:color w:val="auto"/>
                      <w:lang w:val="en-US" w:eastAsia="zh-CN"/>
                    </w:rPr>
                  </w:pPr>
                  <w:r>
                    <w:rPr>
                      <w:rFonts w:hint="eastAsia"/>
                      <w:color w:val="auto"/>
                      <w:lang w:val="en-US" w:eastAsia="zh-CN"/>
                    </w:rPr>
                    <w:t>0.050</w:t>
                  </w:r>
                </w:p>
              </w:tc>
              <w:tc>
                <w:tcPr>
                  <w:tcW w:w="1265" w:type="dxa"/>
                  <w:tcBorders>
                    <w:tl2br w:val="nil"/>
                    <w:tr2bl w:val="nil"/>
                  </w:tcBorders>
                  <w:vAlign w:val="center"/>
                </w:tcPr>
                <w:p>
                  <w:pPr>
                    <w:pStyle w:val="39"/>
                    <w:ind w:firstLine="0"/>
                    <w:rPr>
                      <w:color w:val="auto"/>
                      <w:lang w:val="en-US" w:eastAsia="zh-CN"/>
                    </w:rPr>
                  </w:pPr>
                  <w:r>
                    <w:rPr>
                      <w:rFonts w:hint="eastAsia"/>
                      <w:color w:val="auto"/>
                      <w:lang w:val="en-US" w:eastAsia="zh-CN"/>
                    </w:rPr>
                    <w:t>12.3</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val="restart"/>
                  <w:tcBorders>
                    <w:tl2br w:val="nil"/>
                    <w:tr2bl w:val="nil"/>
                  </w:tcBorders>
                  <w:vAlign w:val="center"/>
                </w:tcPr>
                <w:p>
                  <w:pPr>
                    <w:pStyle w:val="39"/>
                    <w:ind w:firstLine="0"/>
                    <w:rPr>
                      <w:color w:val="auto"/>
                    </w:rPr>
                  </w:pPr>
                  <w:r>
                    <w:rPr>
                      <w:rFonts w:hint="eastAsia"/>
                      <w:color w:val="auto"/>
                      <w:lang w:val="en-US" w:eastAsia="zh-CN"/>
                    </w:rPr>
                    <w:t>/</w:t>
                  </w:r>
                </w:p>
              </w:tc>
              <w:tc>
                <w:tcPr>
                  <w:tcW w:w="686" w:type="dxa"/>
                  <w:vMerge w:val="restart"/>
                  <w:tcBorders>
                    <w:tl2br w:val="nil"/>
                    <w:tr2bl w:val="nil"/>
                  </w:tcBorders>
                  <w:vAlign w:val="center"/>
                </w:tcPr>
                <w:p>
                  <w:pPr>
                    <w:pStyle w:val="39"/>
                    <w:ind w:firstLine="0"/>
                    <w:rPr>
                      <w:color w:val="auto"/>
                    </w:rPr>
                  </w:pPr>
                  <w:r>
                    <w:rPr>
                      <w:rFonts w:hint="eastAsia"/>
                      <w:color w:val="auto"/>
                      <w:lang w:val="en-US" w:eastAsia="zh-CN"/>
                    </w:rPr>
                    <w:t>/</w:t>
                  </w:r>
                </w:p>
              </w:tc>
              <w:tc>
                <w:tcPr>
                  <w:tcW w:w="1074"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0.69</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0.010</w:t>
                  </w:r>
                </w:p>
              </w:tc>
              <w:tc>
                <w:tcPr>
                  <w:tcW w:w="1160"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0.05</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氮氧化物</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0.757</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185.5</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10.51</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0.158</w:t>
                  </w:r>
                </w:p>
              </w:tc>
              <w:tc>
                <w:tcPr>
                  <w:tcW w:w="1160"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0.757</w:t>
                  </w:r>
                </w:p>
              </w:tc>
            </w:tr>
            <w:tr>
              <w:trPr>
                <w:trHeight w:val="23"/>
              </w:trPr>
              <w:tc>
                <w:tcPr>
                  <w:tcW w:w="1015" w:type="dxa"/>
                  <w:vMerge w:val="restart"/>
                  <w:tcBorders>
                    <w:tl2br w:val="nil"/>
                    <w:tr2bl w:val="nil"/>
                  </w:tcBorders>
                  <w:vAlign w:val="center"/>
                </w:tcPr>
                <w:p>
                  <w:pPr>
                    <w:pStyle w:val="39"/>
                    <w:rPr>
                      <w:color w:val="auto"/>
                      <w:lang w:val="en-US" w:eastAsia="zh-CN"/>
                    </w:rPr>
                  </w:pPr>
                  <w:r>
                    <w:rPr>
                      <w:rFonts w:hint="eastAsia"/>
                      <w:color w:val="auto"/>
                      <w:lang w:val="en-US" w:eastAsia="zh-CN"/>
                    </w:rPr>
                    <w:t>化验室废气排气筒P4</w:t>
                  </w:r>
                </w:p>
              </w:tc>
              <w:tc>
                <w:tcPr>
                  <w:tcW w:w="760" w:type="dxa"/>
                  <w:tcBorders>
                    <w:tl2br w:val="nil"/>
                    <w:tr2bl w:val="nil"/>
                  </w:tcBorders>
                  <w:vAlign w:val="center"/>
                </w:tcPr>
                <w:p>
                  <w:pPr>
                    <w:pStyle w:val="39"/>
                    <w:rPr>
                      <w:color w:val="auto"/>
                      <w:lang w:val="en-US" w:eastAsia="zh-CN"/>
                    </w:rPr>
                  </w:pPr>
                  <w:r>
                    <w:rPr>
                      <w:rFonts w:hint="eastAsia"/>
                      <w:color w:val="auto"/>
                      <w:lang w:val="en-US" w:eastAsia="zh-CN"/>
                    </w:rPr>
                    <w:t>氯化氢</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0.00025</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0.23</w:t>
                  </w:r>
                </w:p>
              </w:tc>
              <w:tc>
                <w:tcPr>
                  <w:tcW w:w="640" w:type="dxa"/>
                  <w:vMerge w:val="restart"/>
                  <w:tcBorders>
                    <w:tl2br w:val="nil"/>
                    <w:tr2bl w:val="nil"/>
                  </w:tcBorders>
                  <w:vAlign w:val="center"/>
                </w:tcPr>
                <w:p>
                  <w:pPr>
                    <w:pStyle w:val="39"/>
                    <w:rPr>
                      <w:color w:val="auto"/>
                    </w:rPr>
                  </w:pPr>
                  <w:r>
                    <w:rPr>
                      <w:rFonts w:hint="eastAsia"/>
                      <w:color w:val="auto"/>
                      <w:lang w:val="en-US" w:eastAsia="zh-CN"/>
                    </w:rPr>
                    <w:t>有组织</w:t>
                  </w:r>
                </w:p>
              </w:tc>
              <w:tc>
                <w:tcPr>
                  <w:tcW w:w="1185"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集气罩+二级活性炭吸附装置TA001+干式酸雾净化器</w:t>
                  </w:r>
                </w:p>
              </w:tc>
              <w:tc>
                <w:tcPr>
                  <w:tcW w:w="762"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1000</w:t>
                  </w:r>
                </w:p>
              </w:tc>
              <w:tc>
                <w:tcPr>
                  <w:tcW w:w="1150" w:type="dxa"/>
                  <w:vMerge w:val="restart"/>
                  <w:tcBorders>
                    <w:tl2br w:val="nil"/>
                    <w:tr2bl w:val="nil"/>
                  </w:tcBorders>
                  <w:vAlign w:val="center"/>
                </w:tcPr>
                <w:p>
                  <w:pPr>
                    <w:pStyle w:val="39"/>
                    <w:rPr>
                      <w:color w:val="auto"/>
                    </w:rPr>
                  </w:pPr>
                  <w:r>
                    <w:rPr>
                      <w:rFonts w:hint="eastAsia"/>
                      <w:color w:val="auto"/>
                      <w:lang w:val="en-US" w:eastAsia="zh-CN"/>
                    </w:rPr>
                    <w:t>90%</w:t>
                  </w:r>
                </w:p>
              </w:tc>
              <w:tc>
                <w:tcPr>
                  <w:tcW w:w="807" w:type="dxa"/>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85%</w:t>
                  </w:r>
                </w:p>
              </w:tc>
              <w:tc>
                <w:tcPr>
                  <w:tcW w:w="686" w:type="dxa"/>
                  <w:vMerge w:val="restar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是</w:t>
                  </w:r>
                </w:p>
              </w:tc>
              <w:tc>
                <w:tcPr>
                  <w:tcW w:w="1074"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0.034</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0.00003</w:t>
                  </w:r>
                </w:p>
              </w:tc>
              <w:tc>
                <w:tcPr>
                  <w:tcW w:w="1160"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0.00003</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color w:val="auto"/>
                      <w:lang w:val="en-US" w:eastAsia="zh-CN"/>
                    </w:rPr>
                  </w:pPr>
                  <w:r>
                    <w:rPr>
                      <w:rFonts w:hint="eastAsia"/>
                      <w:color w:val="auto"/>
                      <w:lang w:val="en-US" w:eastAsia="zh-CN"/>
                    </w:rPr>
                    <w:t>硫酸雾</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0.00075</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0.68</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0.102</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0.0001</w:t>
                  </w:r>
                </w:p>
              </w:tc>
              <w:tc>
                <w:tcPr>
                  <w:tcW w:w="1160"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0.0001</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color w:val="auto"/>
                      <w:lang w:val="en-US" w:eastAsia="zh-CN"/>
                    </w:rPr>
                  </w:pPr>
                  <w:r>
                    <w:rPr>
                      <w:rFonts w:hint="eastAsia"/>
                      <w:color w:val="auto"/>
                      <w:lang w:val="en-US" w:eastAsia="zh-CN"/>
                    </w:rPr>
                    <w:t>氮氧化物</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0.0005</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0.45</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0.068</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0.00007</w:t>
                  </w:r>
                </w:p>
              </w:tc>
              <w:tc>
                <w:tcPr>
                  <w:tcW w:w="1160"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0.00007</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color w:val="auto"/>
                      <w:lang w:val="en-US" w:eastAsia="zh-CN"/>
                    </w:rPr>
                  </w:pPr>
                  <w:r>
                    <w:rPr>
                      <w:rFonts w:hint="eastAsia"/>
                      <w:color w:val="auto"/>
                      <w:lang w:val="en-US" w:eastAsia="zh-CN"/>
                    </w:rPr>
                    <w:t>非甲烷总烃（丙酮）</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0.0125</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11.25</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tcBorders>
                    <w:tl2br w:val="nil"/>
                    <w:tr2bl w:val="nil"/>
                  </w:tcBorders>
                  <w:vAlign w:val="center"/>
                </w:tcPr>
                <w:p>
                  <w:pPr>
                    <w:pStyle w:val="39"/>
                    <w:rPr>
                      <w:rFonts w:eastAsia="宋体"/>
                      <w:color w:val="auto"/>
                      <w:lang w:val="en-US" w:eastAsia="zh-CN"/>
                    </w:rPr>
                  </w:pPr>
                  <w:r>
                    <w:rPr>
                      <w:rFonts w:hint="eastAsia"/>
                      <w:color w:val="auto"/>
                      <w:lang w:val="en-US" w:eastAsia="zh-CN"/>
                    </w:rPr>
                    <w:t>90%</w:t>
                  </w:r>
                </w:p>
              </w:tc>
              <w:tc>
                <w:tcPr>
                  <w:tcW w:w="686" w:type="dxa"/>
                  <w:tcBorders>
                    <w:tl2br w:val="nil"/>
                    <w:tr2bl w:val="nil"/>
                  </w:tcBorders>
                  <w:vAlign w:val="center"/>
                </w:tcPr>
                <w:p>
                  <w:pPr>
                    <w:pStyle w:val="39"/>
                    <w:rPr>
                      <w:rFonts w:eastAsia="宋体"/>
                      <w:color w:val="auto"/>
                      <w:lang w:val="en-US" w:eastAsia="zh-CN"/>
                    </w:rPr>
                  </w:pPr>
                  <w:r>
                    <w:rPr>
                      <w:rFonts w:hint="eastAsia"/>
                      <w:color w:val="auto"/>
                      <w:lang w:val="en-US" w:eastAsia="zh-CN"/>
                    </w:rPr>
                    <w:t>是</w:t>
                  </w:r>
                </w:p>
              </w:tc>
              <w:tc>
                <w:tcPr>
                  <w:tcW w:w="1074"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1.125</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0.001</w:t>
                  </w:r>
                </w:p>
              </w:tc>
              <w:tc>
                <w:tcPr>
                  <w:tcW w:w="1160" w:type="dxa"/>
                  <w:tcBorders>
                    <w:tl2br w:val="nil"/>
                    <w:tr2bl w:val="nil"/>
                  </w:tcBorders>
                  <w:shd w:val="clear" w:color="auto" w:fill="auto"/>
                  <w:vAlign w:val="center"/>
                </w:tcPr>
                <w:p>
                  <w:pPr>
                    <w:pStyle w:val="39"/>
                    <w:ind w:firstLine="0"/>
                    <w:rPr>
                      <w:color w:val="auto"/>
                      <w:lang w:val="en-US" w:eastAsia="zh-CN"/>
                    </w:rPr>
                  </w:pPr>
                  <w:r>
                    <w:rPr>
                      <w:rFonts w:hint="eastAsia"/>
                      <w:color w:val="auto"/>
                      <w:lang w:val="en-US" w:eastAsia="zh-CN"/>
                    </w:rPr>
                    <w:t>0.001</w:t>
                  </w:r>
                </w:p>
              </w:tc>
            </w:tr>
            <w:tr>
              <w:trPr>
                <w:trHeight w:val="23"/>
              </w:trPr>
              <w:tc>
                <w:tcPr>
                  <w:tcW w:w="1015" w:type="dxa"/>
                  <w:vMerge w:val="restart"/>
                  <w:tcBorders>
                    <w:tl2br w:val="nil"/>
                    <w:tr2bl w:val="nil"/>
                  </w:tcBorders>
                  <w:vAlign w:val="center"/>
                </w:tcPr>
                <w:p>
                  <w:pPr>
                    <w:pStyle w:val="39"/>
                    <w:rPr>
                      <w:color w:val="auto"/>
                    </w:rPr>
                  </w:pPr>
                  <w:r>
                    <w:rPr>
                      <w:rFonts w:hint="eastAsia"/>
                      <w:color w:val="auto"/>
                    </w:rPr>
                    <w:t>厂界</w:t>
                  </w:r>
                </w:p>
              </w:tc>
              <w:tc>
                <w:tcPr>
                  <w:tcW w:w="760" w:type="dxa"/>
                  <w:tcBorders>
                    <w:tl2br w:val="nil"/>
                    <w:tr2bl w:val="nil"/>
                  </w:tcBorders>
                  <w:vAlign w:val="center"/>
                </w:tcPr>
                <w:p>
                  <w:pPr>
                    <w:pStyle w:val="39"/>
                    <w:rPr>
                      <w:color w:val="auto"/>
                    </w:rPr>
                  </w:pPr>
                  <w:r>
                    <w:rPr>
                      <w:rFonts w:hint="eastAsia"/>
                      <w:color w:val="auto"/>
                    </w:rPr>
                    <w:t>颗粒物</w:t>
                  </w:r>
                </w:p>
              </w:tc>
              <w:tc>
                <w:tcPr>
                  <w:tcW w:w="959" w:type="dxa"/>
                  <w:tcBorders>
                    <w:tl2br w:val="nil"/>
                    <w:tr2bl w:val="nil"/>
                  </w:tcBorders>
                  <w:vAlign w:val="center"/>
                </w:tcPr>
                <w:p>
                  <w:pPr>
                    <w:pStyle w:val="39"/>
                    <w:rPr>
                      <w:rFonts w:eastAsia="宋体"/>
                      <w:color w:val="auto"/>
                      <w:lang w:val="en-US" w:eastAsia="zh-CN"/>
                    </w:rPr>
                  </w:pPr>
                  <w:r>
                    <w:rPr>
                      <w:rFonts w:hint="eastAsia"/>
                      <w:color w:val="auto"/>
                      <w:lang w:val="en-US" w:eastAsia="zh-CN"/>
                    </w:rPr>
                    <w:t>43.4</w:t>
                  </w:r>
                </w:p>
              </w:tc>
              <w:tc>
                <w:tcPr>
                  <w:tcW w:w="1265" w:type="dxa"/>
                  <w:tcBorders>
                    <w:tl2br w:val="nil"/>
                    <w:tr2bl w:val="nil"/>
                  </w:tcBorders>
                  <w:vAlign w:val="center"/>
                </w:tcPr>
                <w:p>
                  <w:pPr>
                    <w:pStyle w:val="39"/>
                    <w:rPr>
                      <w:color w:val="auto"/>
                    </w:rPr>
                  </w:pPr>
                </w:p>
              </w:tc>
              <w:tc>
                <w:tcPr>
                  <w:tcW w:w="640" w:type="dxa"/>
                  <w:vMerge w:val="restart"/>
                  <w:tcBorders>
                    <w:tl2br w:val="nil"/>
                    <w:tr2bl w:val="nil"/>
                  </w:tcBorders>
                  <w:vAlign w:val="center"/>
                </w:tcPr>
                <w:p>
                  <w:pPr>
                    <w:pStyle w:val="39"/>
                    <w:rPr>
                      <w:color w:val="auto"/>
                    </w:rPr>
                  </w:pPr>
                  <w:r>
                    <w:rPr>
                      <w:color w:val="auto"/>
                    </w:rPr>
                    <w:t>无组织</w:t>
                  </w:r>
                </w:p>
              </w:tc>
              <w:tc>
                <w:tcPr>
                  <w:tcW w:w="1185" w:type="dxa"/>
                  <w:vMerge w:val="restart"/>
                  <w:tcBorders>
                    <w:tl2br w:val="nil"/>
                    <w:tr2bl w:val="nil"/>
                  </w:tcBorders>
                  <w:vAlign w:val="center"/>
                </w:tcPr>
                <w:p>
                  <w:pPr>
                    <w:pStyle w:val="39"/>
                    <w:rPr>
                      <w:color w:val="auto"/>
                    </w:rPr>
                  </w:pPr>
                  <w:r>
                    <w:rPr>
                      <w:rFonts w:hint="eastAsia"/>
                      <w:color w:val="auto"/>
                    </w:rPr>
                    <w:t>车间密闭</w:t>
                  </w:r>
                </w:p>
              </w:tc>
              <w:tc>
                <w:tcPr>
                  <w:tcW w:w="762" w:type="dxa"/>
                  <w:vMerge w:val="restart"/>
                  <w:tcBorders>
                    <w:tl2br w:val="nil"/>
                    <w:tr2bl w:val="nil"/>
                  </w:tcBorders>
                  <w:vAlign w:val="center"/>
                </w:tcPr>
                <w:p>
                  <w:pPr>
                    <w:pStyle w:val="39"/>
                    <w:rPr>
                      <w:color w:val="auto"/>
                    </w:rPr>
                  </w:pPr>
                  <w:r>
                    <w:rPr>
                      <w:color w:val="auto"/>
                    </w:rPr>
                    <w:t>/</w:t>
                  </w:r>
                </w:p>
              </w:tc>
              <w:tc>
                <w:tcPr>
                  <w:tcW w:w="1150" w:type="dxa"/>
                  <w:vMerge w:val="restart"/>
                  <w:tcBorders>
                    <w:tl2br w:val="nil"/>
                    <w:tr2bl w:val="nil"/>
                  </w:tcBorders>
                  <w:vAlign w:val="center"/>
                </w:tcPr>
                <w:p>
                  <w:pPr>
                    <w:pStyle w:val="39"/>
                    <w:rPr>
                      <w:color w:val="auto"/>
                    </w:rPr>
                  </w:pPr>
                  <w:r>
                    <w:rPr>
                      <w:color w:val="auto"/>
                    </w:rPr>
                    <w:t>/</w:t>
                  </w:r>
                </w:p>
              </w:tc>
              <w:tc>
                <w:tcPr>
                  <w:tcW w:w="807" w:type="dxa"/>
                  <w:vMerge w:val="restart"/>
                  <w:tcBorders>
                    <w:tl2br w:val="nil"/>
                    <w:tr2bl w:val="nil"/>
                  </w:tcBorders>
                  <w:vAlign w:val="center"/>
                </w:tcPr>
                <w:p>
                  <w:pPr>
                    <w:pStyle w:val="39"/>
                    <w:rPr>
                      <w:color w:val="auto"/>
                    </w:rPr>
                  </w:pPr>
                  <w:r>
                    <w:rPr>
                      <w:color w:val="auto"/>
                    </w:rPr>
                    <w:t>/</w:t>
                  </w:r>
                </w:p>
              </w:tc>
              <w:tc>
                <w:tcPr>
                  <w:tcW w:w="686" w:type="dxa"/>
                  <w:vMerge w:val="restar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w:t>
                  </w:r>
                </w:p>
              </w:tc>
              <w:tc>
                <w:tcPr>
                  <w:tcW w:w="1074" w:type="dxa"/>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0.457</w:t>
                  </w:r>
                </w:p>
              </w:tc>
              <w:tc>
                <w:tcPr>
                  <w:tcW w:w="1086" w:type="dxa"/>
                  <w:tcBorders>
                    <w:tl2br w:val="nil"/>
                    <w:tr2bl w:val="nil"/>
                  </w:tcBorders>
                  <w:vAlign w:val="center"/>
                </w:tcPr>
                <w:p>
                  <w:pPr>
                    <w:pStyle w:val="39"/>
                    <w:rPr>
                      <w:rFonts w:eastAsia="宋体"/>
                      <w:color w:val="auto"/>
                      <w:lang w:val="en-US" w:eastAsia="zh-CN"/>
                    </w:rPr>
                  </w:pPr>
                  <w:r>
                    <w:rPr>
                      <w:rFonts w:hint="eastAsia"/>
                      <w:color w:val="auto"/>
                      <w:lang w:val="en-US" w:eastAsia="zh-CN"/>
                    </w:rPr>
                    <w:t>9.042</w:t>
                  </w:r>
                </w:p>
              </w:tc>
              <w:tc>
                <w:tcPr>
                  <w:tcW w:w="1160" w:type="dxa"/>
                  <w:tcBorders>
                    <w:tl2br w:val="nil"/>
                    <w:tr2bl w:val="nil"/>
                  </w:tcBorders>
                  <w:vAlign w:val="center"/>
                </w:tcPr>
                <w:p>
                  <w:pPr>
                    <w:pStyle w:val="39"/>
                    <w:rPr>
                      <w:rFonts w:eastAsia="宋体"/>
                      <w:color w:val="auto"/>
                      <w:lang w:val="en-US" w:eastAsia="zh-CN"/>
                    </w:rPr>
                  </w:pPr>
                  <w:r>
                    <w:rPr>
                      <w:rFonts w:hint="eastAsia"/>
                      <w:color w:val="auto"/>
                      <w:lang w:val="en-US" w:eastAsia="zh-CN"/>
                    </w:rPr>
                    <w:t>434</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color w:val="auto"/>
                      <w:lang w:val="en-US" w:eastAsia="zh-CN"/>
                    </w:rPr>
                  </w:pPr>
                  <w:r>
                    <w:rPr>
                      <w:rFonts w:hint="eastAsia"/>
                      <w:color w:val="auto"/>
                      <w:lang w:val="en-US" w:eastAsia="zh-CN"/>
                    </w:rPr>
                    <w:t>氨</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0.008</w:t>
                  </w:r>
                </w:p>
              </w:tc>
              <w:tc>
                <w:tcPr>
                  <w:tcW w:w="1265"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0.000151</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0.002</w:t>
                  </w:r>
                </w:p>
              </w:tc>
              <w:tc>
                <w:tcPr>
                  <w:tcW w:w="1160" w:type="dxa"/>
                  <w:tcBorders>
                    <w:tl2br w:val="nil"/>
                    <w:tr2bl w:val="nil"/>
                  </w:tcBorders>
                  <w:vAlign w:val="center"/>
                </w:tcPr>
                <w:p>
                  <w:pPr>
                    <w:pStyle w:val="39"/>
                    <w:rPr>
                      <w:color w:val="auto"/>
                      <w:lang w:val="en-US" w:eastAsia="zh-CN"/>
                    </w:rPr>
                  </w:pPr>
                  <w:r>
                    <w:rPr>
                      <w:rFonts w:hint="eastAsia"/>
                      <w:color w:val="auto"/>
                      <w:lang w:val="en-US" w:eastAsia="zh-CN"/>
                    </w:rPr>
                    <w:t>0.008</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color w:val="auto"/>
                      <w:lang w:val="en-US" w:eastAsia="zh-CN"/>
                    </w:rPr>
                  </w:pPr>
                  <w:r>
                    <w:rPr>
                      <w:rFonts w:hint="eastAsia"/>
                      <w:color w:val="auto"/>
                      <w:lang w:val="en-US" w:eastAsia="zh-CN"/>
                    </w:rPr>
                    <w:t>甲醛</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0.001</w:t>
                  </w:r>
                </w:p>
              </w:tc>
              <w:tc>
                <w:tcPr>
                  <w:tcW w:w="1265" w:type="dxa"/>
                  <w:tcBorders>
                    <w:tl2br w:val="nil"/>
                    <w:tr2bl w:val="nil"/>
                  </w:tcBorders>
                  <w:vAlign w:val="center"/>
                </w:tcPr>
                <w:p>
                  <w:pPr>
                    <w:pStyle w:val="39"/>
                    <w:rPr>
                      <w:color w:val="auto"/>
                      <w:lang w:val="en-US" w:eastAsia="zh-CN"/>
                    </w:rPr>
                  </w:pPr>
                  <w:r>
                    <w:rPr>
                      <w:rFonts w:hint="eastAsia"/>
                      <w:color w:val="auto"/>
                      <w:lang w:val="en-US" w:eastAsia="zh-CN"/>
                    </w:rPr>
                    <w:t>/</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vAlign w:val="center"/>
                </w:tcPr>
                <w:p>
                  <w:pPr>
                    <w:pStyle w:val="39"/>
                    <w:ind w:firstLine="0"/>
                    <w:rPr>
                      <w:rFonts w:eastAsia="宋体"/>
                      <w:color w:val="auto"/>
                      <w:lang w:val="en-US" w:eastAsia="zh-CN"/>
                      <w:highlight w:val="none"/>
                    </w:rPr>
                  </w:pPr>
                  <w:r>
                    <w:rPr>
                      <w:rFonts w:hint="eastAsia"/>
                      <w:color w:val="auto"/>
                      <w:lang w:val="en-US" w:eastAsia="zh-CN"/>
                      <w:highlight w:val="none"/>
                    </w:rPr>
                    <w:t>0.000001</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0.00002</w:t>
                  </w:r>
                </w:p>
              </w:tc>
              <w:tc>
                <w:tcPr>
                  <w:tcW w:w="1160" w:type="dxa"/>
                  <w:tcBorders>
                    <w:tl2br w:val="nil"/>
                    <w:tr2bl w:val="nil"/>
                  </w:tcBorders>
                  <w:vAlign w:val="center"/>
                </w:tcPr>
                <w:p>
                  <w:pPr>
                    <w:pStyle w:val="39"/>
                    <w:rPr>
                      <w:color w:val="auto"/>
                      <w:lang w:val="en-US" w:eastAsia="zh-CN"/>
                    </w:rPr>
                  </w:pPr>
                  <w:r>
                    <w:rPr>
                      <w:rFonts w:hint="eastAsia"/>
                      <w:color w:val="auto"/>
                      <w:lang w:val="en-US" w:eastAsia="zh-CN"/>
                    </w:rPr>
                    <w:t>0.001</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color w:val="auto"/>
                      <w:lang w:val="en-US" w:eastAsia="zh-CN"/>
                    </w:rPr>
                  </w:pPr>
                  <w:r>
                    <w:rPr>
                      <w:rFonts w:hint="eastAsia"/>
                      <w:color w:val="auto"/>
                      <w:lang w:val="en-US" w:eastAsia="zh-CN"/>
                    </w:rPr>
                    <w:t>氯化氢</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0.000025</w:t>
                  </w:r>
                </w:p>
              </w:tc>
              <w:tc>
                <w:tcPr>
                  <w:tcW w:w="1265"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0.000001</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0.000025</w:t>
                  </w:r>
                </w:p>
              </w:tc>
              <w:tc>
                <w:tcPr>
                  <w:tcW w:w="1160" w:type="dxa"/>
                  <w:tcBorders>
                    <w:tl2br w:val="nil"/>
                    <w:tr2bl w:val="nil"/>
                  </w:tcBorders>
                  <w:vAlign w:val="center"/>
                </w:tcPr>
                <w:p>
                  <w:pPr>
                    <w:pStyle w:val="39"/>
                    <w:rPr>
                      <w:rFonts w:hint="eastAsia"/>
                      <w:color w:val="auto"/>
                      <w:lang w:val="en-US" w:eastAsia="zh-CN"/>
                    </w:rPr>
                  </w:pPr>
                  <w:r>
                    <w:rPr>
                      <w:rFonts w:hint="eastAsia"/>
                      <w:color w:val="auto"/>
                      <w:lang w:val="en-US" w:eastAsia="zh-CN"/>
                    </w:rPr>
                    <w:t>0.000025</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硫酸雾</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0.000075</w:t>
                  </w:r>
                </w:p>
              </w:tc>
              <w:tc>
                <w:tcPr>
                  <w:tcW w:w="1265"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0.00004</w:t>
                  </w:r>
                </w:p>
              </w:tc>
              <w:tc>
                <w:tcPr>
                  <w:tcW w:w="1086" w:type="dxa"/>
                  <w:tcBorders>
                    <w:tl2br w:val="nil"/>
                    <w:tr2bl w:val="nil"/>
                  </w:tcBorders>
                  <w:vAlign w:val="center"/>
                </w:tcPr>
                <w:p>
                  <w:pPr>
                    <w:pStyle w:val="39"/>
                    <w:rPr>
                      <w:rFonts w:hint="eastAsia"/>
                      <w:color w:val="auto"/>
                      <w:lang w:val="en-US" w:eastAsia="zh-CN"/>
                    </w:rPr>
                  </w:pPr>
                  <w:r>
                    <w:rPr>
                      <w:rFonts w:hint="eastAsia"/>
                      <w:color w:val="auto"/>
                      <w:lang w:val="en-US" w:eastAsia="zh-CN"/>
                    </w:rPr>
                    <w:t>0.000075</w:t>
                  </w:r>
                </w:p>
              </w:tc>
              <w:tc>
                <w:tcPr>
                  <w:tcW w:w="1160" w:type="dxa"/>
                  <w:tcBorders>
                    <w:tl2br w:val="nil"/>
                    <w:tr2bl w:val="nil"/>
                  </w:tcBorders>
                  <w:vAlign w:val="center"/>
                </w:tcPr>
                <w:p>
                  <w:pPr>
                    <w:pStyle w:val="39"/>
                    <w:rPr>
                      <w:rFonts w:hint="eastAsia"/>
                      <w:color w:val="auto"/>
                      <w:lang w:val="en-US" w:eastAsia="zh-CN"/>
                    </w:rPr>
                  </w:pPr>
                  <w:r>
                    <w:rPr>
                      <w:rFonts w:hint="eastAsia"/>
                      <w:color w:val="auto"/>
                      <w:lang w:val="en-US" w:eastAsia="zh-CN"/>
                    </w:rPr>
                    <w:t>0.000075</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氮氧化物</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0.00005</w:t>
                  </w:r>
                </w:p>
              </w:tc>
              <w:tc>
                <w:tcPr>
                  <w:tcW w:w="1265"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0.000002</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0.00005</w:t>
                  </w:r>
                </w:p>
              </w:tc>
              <w:tc>
                <w:tcPr>
                  <w:tcW w:w="1160" w:type="dxa"/>
                  <w:tcBorders>
                    <w:tl2br w:val="nil"/>
                    <w:tr2bl w:val="nil"/>
                  </w:tcBorders>
                  <w:vAlign w:val="center"/>
                </w:tcPr>
                <w:p>
                  <w:pPr>
                    <w:pStyle w:val="39"/>
                    <w:ind w:firstLine="0"/>
                    <w:rPr>
                      <w:rFonts w:hint="eastAsia"/>
                      <w:color w:val="auto"/>
                      <w:lang w:val="en-US" w:eastAsia="zh-CN"/>
                    </w:rPr>
                  </w:pPr>
                  <w:r>
                    <w:rPr>
                      <w:rFonts w:hint="eastAsia"/>
                      <w:color w:val="auto"/>
                      <w:lang w:val="en-US" w:eastAsia="zh-CN"/>
                    </w:rPr>
                    <w:t>0.00005</w:t>
                  </w:r>
                </w:p>
              </w:tc>
            </w:tr>
            <w:tr>
              <w:trPr>
                <w:trHeight w:val="23"/>
              </w:trPr>
              <w:tc>
                <w:tcPr>
                  <w:tcW w:w="1015" w:type="dxa"/>
                  <w:vMerge/>
                  <w:tcBorders>
                    <w:tl2br w:val="nil"/>
                    <w:tr2bl w:val="nil"/>
                  </w:tcBorders>
                  <w:vAlign w:val="center"/>
                </w:tcPr>
                <w:p/>
              </w:tc>
              <w:tc>
                <w:tcPr>
                  <w:tcW w:w="760"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非甲烷总烃</w:t>
                  </w:r>
                </w:p>
              </w:tc>
              <w:tc>
                <w:tcPr>
                  <w:tcW w:w="959" w:type="dxa"/>
                  <w:tcBorders>
                    <w:tl2br w:val="nil"/>
                    <w:tr2bl w:val="nil"/>
                  </w:tcBorders>
                  <w:vAlign w:val="center"/>
                </w:tcPr>
                <w:p>
                  <w:pPr>
                    <w:pStyle w:val="39"/>
                    <w:rPr>
                      <w:color w:val="auto"/>
                      <w:lang w:val="en-US" w:eastAsia="zh-CN"/>
                    </w:rPr>
                  </w:pPr>
                  <w:r>
                    <w:rPr>
                      <w:rFonts w:hint="eastAsia"/>
                      <w:color w:val="auto"/>
                      <w:lang w:val="en-US" w:eastAsia="zh-CN"/>
                    </w:rPr>
                    <w:t>0.113</w:t>
                  </w:r>
                </w:p>
              </w:tc>
              <w:tc>
                <w:tcPr>
                  <w:tcW w:w="1265" w:type="dxa"/>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w:t>
                  </w:r>
                </w:p>
              </w:tc>
              <w:tc>
                <w:tcPr>
                  <w:tcW w:w="640" w:type="dxa"/>
                  <w:vMerge/>
                  <w:tcBorders>
                    <w:tl2br w:val="nil"/>
                    <w:tr2bl w:val="nil"/>
                  </w:tcBorders>
                  <w:vAlign w:val="center"/>
                </w:tcPr>
                <w:p/>
              </w:tc>
              <w:tc>
                <w:tcPr>
                  <w:tcW w:w="1185" w:type="dxa"/>
                  <w:vMerge/>
                  <w:tcBorders>
                    <w:tl2br w:val="nil"/>
                    <w:tr2bl w:val="nil"/>
                  </w:tcBorders>
                  <w:vAlign w:val="center"/>
                </w:tcPr>
                <w:p/>
              </w:tc>
              <w:tc>
                <w:tcPr>
                  <w:tcW w:w="762" w:type="dxa"/>
                  <w:vMerge/>
                  <w:tcBorders>
                    <w:tl2br w:val="nil"/>
                    <w:tr2bl w:val="nil"/>
                  </w:tcBorders>
                  <w:vAlign w:val="center"/>
                </w:tcPr>
                <w:p/>
              </w:tc>
              <w:tc>
                <w:tcPr>
                  <w:tcW w:w="1150" w:type="dxa"/>
                  <w:vMerge/>
                  <w:tcBorders>
                    <w:tl2br w:val="nil"/>
                    <w:tr2bl w:val="nil"/>
                  </w:tcBorders>
                  <w:vAlign w:val="center"/>
                </w:tcPr>
                <w:p/>
              </w:tc>
              <w:tc>
                <w:tcPr>
                  <w:tcW w:w="807" w:type="dxa"/>
                  <w:vMerge/>
                  <w:tcBorders>
                    <w:tl2br w:val="nil"/>
                    <w:tr2bl w:val="nil"/>
                  </w:tcBorders>
                  <w:vAlign w:val="center"/>
                </w:tcPr>
                <w:p/>
              </w:tc>
              <w:tc>
                <w:tcPr>
                  <w:tcW w:w="686" w:type="dxa"/>
                  <w:vMerge/>
                  <w:tcBorders>
                    <w:tl2br w:val="nil"/>
                    <w:tr2bl w:val="nil"/>
                  </w:tcBorders>
                  <w:vAlign w:val="center"/>
                </w:tcPr>
                <w:p/>
              </w:tc>
              <w:tc>
                <w:tcPr>
                  <w:tcW w:w="1074" w:type="dxa"/>
                  <w:tcBorders>
                    <w:tl2br w:val="nil"/>
                    <w:tr2bl w:val="nil"/>
                  </w:tcBorders>
                  <w:vAlign w:val="center"/>
                </w:tcPr>
                <w:p>
                  <w:pPr>
                    <w:pStyle w:val="39"/>
                    <w:rPr>
                      <w:rFonts w:eastAsia="宋体"/>
                      <w:color w:val="auto"/>
                      <w:lang w:val="en-US" w:eastAsia="zh-CN"/>
                      <w:highlight w:val="none"/>
                    </w:rPr>
                  </w:pPr>
                  <w:r>
                    <w:rPr>
                      <w:rFonts w:hint="eastAsia"/>
                      <w:color w:val="auto"/>
                      <w:lang w:val="en-US" w:eastAsia="zh-CN"/>
                      <w:highlight w:val="none"/>
                    </w:rPr>
                    <w:t>0.00121</w:t>
                  </w:r>
                </w:p>
              </w:tc>
              <w:tc>
                <w:tcPr>
                  <w:tcW w:w="1086" w:type="dxa"/>
                  <w:tcBorders>
                    <w:tl2br w:val="nil"/>
                    <w:tr2bl w:val="nil"/>
                  </w:tcBorders>
                  <w:vAlign w:val="center"/>
                </w:tcPr>
                <w:p>
                  <w:pPr>
                    <w:pStyle w:val="39"/>
                    <w:rPr>
                      <w:color w:val="auto"/>
                      <w:lang w:val="en-US" w:eastAsia="zh-CN"/>
                    </w:rPr>
                  </w:pPr>
                  <w:r>
                    <w:rPr>
                      <w:rFonts w:hint="eastAsia"/>
                      <w:color w:val="auto"/>
                      <w:lang w:val="en-US" w:eastAsia="zh-CN"/>
                    </w:rPr>
                    <w:t>0.024</w:t>
                  </w:r>
                </w:p>
              </w:tc>
              <w:tc>
                <w:tcPr>
                  <w:tcW w:w="1160" w:type="dxa"/>
                  <w:tcBorders>
                    <w:tl2br w:val="nil"/>
                    <w:tr2bl w:val="nil"/>
                  </w:tcBorders>
                  <w:vAlign w:val="center"/>
                </w:tcPr>
                <w:p>
                  <w:pPr>
                    <w:pStyle w:val="39"/>
                    <w:ind w:firstLine="0"/>
                    <w:rPr>
                      <w:color w:val="auto"/>
                      <w:lang w:val="en-US" w:eastAsia="zh-CN"/>
                    </w:rPr>
                  </w:pPr>
                  <w:r>
                    <w:rPr>
                      <w:rFonts w:hint="eastAsia"/>
                      <w:color w:val="auto"/>
                      <w:lang w:val="en-US" w:eastAsia="zh-CN"/>
                    </w:rPr>
                    <w:t>0.113</w:t>
                  </w:r>
                </w:p>
              </w:tc>
            </w:tr>
          </w:tbl>
          <w:p>
            <w:pPr>
              <w:ind w:firstLineChars="0" w:firstLine="0"/>
              <w:rPr>
                <w:b/>
                <w:color w:val="auto"/>
                <w:kern w:val="0"/>
                <w:szCs w:val="28"/>
              </w:rPr>
            </w:pPr>
          </w:p>
          <w:p>
            <w:pPr>
              <w:ind w:firstLineChars="0" w:firstLine="0"/>
              <w:rPr>
                <w:b/>
                <w:color w:val="auto"/>
                <w:kern w:val="0"/>
                <w:szCs w:val="28"/>
              </w:rPr>
            </w:pPr>
          </w:p>
          <w:p>
            <w:pPr>
              <w:ind w:firstLineChars="0" w:firstLine="0"/>
              <w:rPr>
                <w:b/>
                <w:color w:val="auto"/>
                <w:kern w:val="0"/>
                <w:szCs w:val="28"/>
              </w:rPr>
            </w:pPr>
          </w:p>
        </w:tc>
      </w:tr>
      <w:tr>
        <w:tc>
          <w:tcPr>
            <w:tcW w:w="442" w:type="dxa"/>
          </w:tcPr>
          <w:p>
            <w:pPr>
              <w:ind w:left="420"/>
              <w:rPr>
                <w:b/>
                <w:color w:val="auto"/>
                <w:kern w:val="0"/>
                <w:szCs w:val="28"/>
              </w:rPr>
            </w:pPr>
          </w:p>
        </w:tc>
        <w:tc>
          <w:tcPr>
            <w:tcW w:w="12786" w:type="dxa"/>
            <w:tcBorders>
              <w:left w:val="single" w:sz="4" w:space="0" w:color="auto"/>
            </w:tcBorders>
          </w:tcPr>
          <w:p>
            <w:pPr>
              <w:ind w:firstLineChars="0" w:firstLine="0"/>
              <w:rPr>
                <w:b/>
                <w:color w:val="auto"/>
                <w:kern w:val="0"/>
                <w:szCs w:val="28"/>
              </w:rPr>
            </w:pPr>
          </w:p>
        </w:tc>
      </w:tr>
    </w:tbl>
    <w:p>
      <w:pPr>
        <w:ind w:left="420"/>
        <w:rPr>
          <w:b/>
          <w:color w:val="auto"/>
          <w:kern w:val="0"/>
          <w:szCs w:val="28"/>
        </w:rPr>
        <w:sectPr>
          <w:pgSz w:w="16840" w:h="11907" w:orient="landscape"/>
          <w:pgMar w:top="1417" w:right="1417" w:bottom="1417" w:left="1417" w:header="851" w:footer="851" w:gutter="0"/>
          <w:cols w:num="1" w:space="720"/>
          <w:docGrid w:linePitch="312" w:charSpace="0"/>
        </w:sectPr>
      </w:pP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98"/>
        <w:gridCol w:w="8563"/>
      </w:tblGrid>
      <w:tr>
        <w:tc>
          <w:tcPr>
            <w:tcW w:w="275" w:type="pct"/>
          </w:tcPr>
          <w:p>
            <w:pPr>
              <w:ind w:left="420"/>
              <w:rPr>
                <w:b/>
                <w:color w:val="auto"/>
                <w:kern w:val="0"/>
                <w:szCs w:val="28"/>
              </w:rPr>
            </w:pPr>
          </w:p>
        </w:tc>
        <w:tc>
          <w:tcPr>
            <w:tcW w:w="4724" w:type="pct"/>
          </w:tcPr>
          <w:p>
            <w:pPr>
              <w:rPr>
                <w:color w:val="auto"/>
              </w:rPr>
            </w:pPr>
            <w:r>
              <w:rPr>
                <w:rFonts w:hint="eastAsia"/>
                <w:color w:val="auto"/>
              </w:rPr>
              <w:t>2</w:t>
            </w:r>
            <w:r>
              <w:rPr>
                <w:color w:val="auto"/>
              </w:rPr>
              <w:t>、措施可行性及其分析</w:t>
            </w:r>
          </w:p>
          <w:p>
            <w:pPr>
              <w:rPr>
                <w:color w:val="auto"/>
              </w:rPr>
            </w:pPr>
            <w:r>
              <w:rPr>
                <w:rFonts w:hint="eastAsia"/>
                <w:color w:val="auto"/>
              </w:rPr>
              <w:t>①废气治理措施</w:t>
            </w:r>
          </w:p>
          <w:p>
            <w:pPr>
              <w:widowControl/>
              <w:tabs>
                <w:tab w:val="left" w:pos="1305"/>
              </w:tabs>
              <w:rPr>
                <w:color w:val="auto"/>
              </w:rPr>
            </w:pPr>
            <w:r>
              <w:rPr>
                <w:color w:val="auto"/>
              </w:rPr>
              <w:t>项目废气污染源及治理措施见下表。</w:t>
            </w:r>
          </w:p>
          <w:p>
            <w:pPr>
              <w:pStyle w:val="40"/>
              <w:rPr>
                <w:color w:val="auto"/>
              </w:rPr>
            </w:pPr>
            <w:r>
              <w:rPr>
                <w:color w:val="auto"/>
              </w:rPr>
              <w:t>表4-</w:t>
            </w:r>
            <w:r>
              <w:rPr>
                <w:rFonts w:hint="eastAsia"/>
                <w:color w:val="auto"/>
                <w:lang w:val="en-US" w:eastAsia="zh-CN"/>
              </w:rPr>
              <w:t>4</w:t>
            </w:r>
            <w:r>
              <w:rPr>
                <w:rFonts w:hint="eastAsia"/>
                <w:color w:val="auto"/>
              </w:rPr>
              <w:t xml:space="preserve">   </w:t>
            </w:r>
            <w:r>
              <w:rPr>
                <w:rFonts w:hint="eastAsia"/>
                <w:color w:val="auto"/>
                <w:lang w:val="en-US" w:eastAsia="zh-CN"/>
              </w:rPr>
              <w:t>本</w:t>
            </w:r>
            <w:r>
              <w:rPr>
                <w:color w:val="auto"/>
              </w:rPr>
              <w:t>项目废气污染源及其治理措施一览表</w:t>
            </w:r>
          </w:p>
          <w:tbl>
            <w:tblPr>
              <w:jc w:val="cente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Look w:val="0600" w:firstRow="0" w:lastRow="0" w:firstColumn="0" w:lastColumn="0" w:noHBand="1" w:noVBand="1"/>
            </w:tblPr>
            <w:tblGrid>
              <w:gridCol w:w="478"/>
              <w:gridCol w:w="1700"/>
              <w:gridCol w:w="1528"/>
              <w:gridCol w:w="1187"/>
              <w:gridCol w:w="1668"/>
              <w:gridCol w:w="1770"/>
            </w:tblGrid>
            <w:tr>
              <w:trPr>
                <w:trHeight w:val="23"/>
              </w:trPr>
              <w:tc>
                <w:tcPr>
                  <w:tcW w:w="287" w:type="pct"/>
                  <w:vMerge w:val="restart"/>
                  <w:tcBorders>
                    <w:tl2br w:val="nil"/>
                    <w:tr2bl w:val="nil"/>
                  </w:tcBorders>
                  <w:vAlign w:val="center"/>
                </w:tcPr>
                <w:p>
                  <w:pPr>
                    <w:pStyle w:val="39"/>
                    <w:rPr>
                      <w:color w:val="auto"/>
                    </w:rPr>
                  </w:pPr>
                  <w:r>
                    <w:rPr>
                      <w:color w:val="auto"/>
                    </w:rPr>
                    <w:t>序号</w:t>
                  </w:r>
                </w:p>
              </w:tc>
              <w:tc>
                <w:tcPr>
                  <w:tcW w:w="1020" w:type="pct"/>
                  <w:vMerge w:val="restart"/>
                  <w:tcBorders>
                    <w:tl2br w:val="nil"/>
                    <w:tr2bl w:val="nil"/>
                  </w:tcBorders>
                  <w:vAlign w:val="center"/>
                </w:tcPr>
                <w:p>
                  <w:pPr>
                    <w:pStyle w:val="39"/>
                    <w:rPr>
                      <w:color w:val="auto"/>
                    </w:rPr>
                  </w:pPr>
                  <w:r>
                    <w:rPr>
                      <w:color w:val="auto"/>
                    </w:rPr>
                    <w:t>污染源名称</w:t>
                  </w:r>
                </w:p>
              </w:tc>
              <w:tc>
                <w:tcPr>
                  <w:tcW w:w="917" w:type="pct"/>
                  <w:vMerge w:val="restart"/>
                  <w:tcBorders>
                    <w:tl2br w:val="nil"/>
                    <w:tr2bl w:val="nil"/>
                  </w:tcBorders>
                  <w:vAlign w:val="center"/>
                </w:tcPr>
                <w:p>
                  <w:pPr>
                    <w:pStyle w:val="39"/>
                    <w:rPr>
                      <w:color w:val="auto"/>
                    </w:rPr>
                  </w:pPr>
                  <w:r>
                    <w:rPr>
                      <w:color w:val="auto"/>
                    </w:rPr>
                    <w:t>主要污染因子</w:t>
                  </w:r>
                </w:p>
              </w:tc>
              <w:tc>
                <w:tcPr>
                  <w:tcW w:w="2775" w:type="pct"/>
                  <w:gridSpan w:val="3"/>
                  <w:tcBorders>
                    <w:tl2br w:val="nil"/>
                    <w:tr2bl w:val="nil"/>
                  </w:tcBorders>
                  <w:vAlign w:val="center"/>
                </w:tcPr>
                <w:p>
                  <w:pPr>
                    <w:pStyle w:val="39"/>
                    <w:rPr>
                      <w:color w:val="auto"/>
                    </w:rPr>
                  </w:pPr>
                  <w:r>
                    <w:rPr>
                      <w:color w:val="auto"/>
                    </w:rPr>
                    <w:t>治理措施</w:t>
                  </w:r>
                </w:p>
              </w:tc>
            </w:tr>
            <w:tr>
              <w:trPr>
                <w:trHeight w:val="23"/>
              </w:trPr>
              <w:tc>
                <w:tcPr>
                  <w:tcW w:w="287" w:type="pct"/>
                  <w:vMerge/>
                  <w:tcBorders>
                    <w:tl2br w:val="nil"/>
                    <w:tr2bl w:val="nil"/>
                  </w:tcBorders>
                  <w:vAlign w:val="center"/>
                </w:tcPr>
                <w:p/>
              </w:tc>
              <w:tc>
                <w:tcPr>
                  <w:tcW w:w="1020" w:type="pct"/>
                  <w:vMerge/>
                  <w:tcBorders>
                    <w:tl2br w:val="nil"/>
                    <w:tr2bl w:val="nil"/>
                  </w:tcBorders>
                  <w:vAlign w:val="center"/>
                </w:tcPr>
                <w:p/>
              </w:tc>
              <w:tc>
                <w:tcPr>
                  <w:tcW w:w="917" w:type="pct"/>
                  <w:vMerge/>
                  <w:tcBorders>
                    <w:tl2br w:val="nil"/>
                    <w:tr2bl w:val="nil"/>
                  </w:tcBorders>
                  <w:vAlign w:val="center"/>
                </w:tcPr>
                <w:p/>
              </w:tc>
              <w:tc>
                <w:tcPr>
                  <w:tcW w:w="712" w:type="pct"/>
                  <w:tcBorders>
                    <w:tl2br w:val="nil"/>
                    <w:tr2bl w:val="nil"/>
                  </w:tcBorders>
                  <w:vAlign w:val="center"/>
                </w:tcPr>
                <w:p>
                  <w:pPr>
                    <w:pStyle w:val="39"/>
                    <w:rPr>
                      <w:color w:val="auto"/>
                    </w:rPr>
                  </w:pPr>
                  <w:r>
                    <w:rPr>
                      <w:color w:val="auto"/>
                    </w:rPr>
                    <w:t>收集措施</w:t>
                  </w:r>
                </w:p>
              </w:tc>
              <w:tc>
                <w:tcPr>
                  <w:tcW w:w="1001" w:type="pct"/>
                  <w:tcBorders>
                    <w:tl2br w:val="nil"/>
                    <w:tr2bl w:val="nil"/>
                  </w:tcBorders>
                  <w:vAlign w:val="center"/>
                </w:tcPr>
                <w:p>
                  <w:pPr>
                    <w:pStyle w:val="39"/>
                    <w:rPr>
                      <w:color w:val="auto"/>
                    </w:rPr>
                  </w:pPr>
                  <w:r>
                    <w:rPr>
                      <w:color w:val="auto"/>
                    </w:rPr>
                    <w:t>净化措施</w:t>
                  </w:r>
                </w:p>
              </w:tc>
              <w:tc>
                <w:tcPr>
                  <w:tcW w:w="1062" w:type="pct"/>
                  <w:tcBorders>
                    <w:tl2br w:val="nil"/>
                    <w:tr2bl w:val="nil"/>
                  </w:tcBorders>
                  <w:vAlign w:val="center"/>
                </w:tcPr>
                <w:p>
                  <w:pPr>
                    <w:pStyle w:val="39"/>
                    <w:rPr>
                      <w:color w:val="auto"/>
                    </w:rPr>
                  </w:pPr>
                  <w:r>
                    <w:rPr>
                      <w:color w:val="auto"/>
                    </w:rPr>
                    <w:t>排放措施</w:t>
                  </w:r>
                </w:p>
              </w:tc>
            </w:tr>
            <w:tr>
              <w:trPr>
                <w:trHeight w:val="23"/>
              </w:trPr>
              <w:tc>
                <w:tcPr>
                  <w:tcW w:w="287" w:type="pct"/>
                  <w:tcBorders>
                    <w:tl2br w:val="nil"/>
                    <w:tr2bl w:val="nil"/>
                  </w:tcBorders>
                  <w:vAlign w:val="center"/>
                </w:tcPr>
                <w:p>
                  <w:pPr>
                    <w:pStyle w:val="39"/>
                    <w:rPr>
                      <w:rFonts w:eastAsia="宋体"/>
                      <w:color w:val="auto"/>
                      <w:lang w:val="en-US" w:eastAsia="zh-CN"/>
                    </w:rPr>
                  </w:pPr>
                  <w:r>
                    <w:rPr>
                      <w:rFonts w:hint="eastAsia"/>
                      <w:color w:val="auto"/>
                      <w:lang w:val="en-US" w:eastAsia="zh-CN"/>
                    </w:rPr>
                    <w:t>1</w:t>
                  </w:r>
                </w:p>
              </w:tc>
              <w:tc>
                <w:tcPr>
                  <w:tcW w:w="1020" w:type="pct"/>
                  <w:tcBorders>
                    <w:tl2br w:val="nil"/>
                    <w:tr2bl w:val="nil"/>
                  </w:tcBorders>
                  <w:vAlign w:val="center"/>
                </w:tcPr>
                <w:p>
                  <w:pPr>
                    <w:pStyle w:val="39"/>
                    <w:rPr>
                      <w:rFonts w:hint="eastAsia"/>
                      <w:color w:val="auto"/>
                      <w:lang w:val="en-US" w:eastAsia="zh-CN"/>
                    </w:rPr>
                  </w:pPr>
                  <w:r>
                    <w:rPr>
                      <w:rFonts w:hint="eastAsia"/>
                      <w:color w:val="auto"/>
                      <w:lang w:val="en-US" w:eastAsia="zh-CN"/>
                    </w:rPr>
                    <w:t>挤压造粒生产线投料废气、第一次破碎工序废气、第二次破碎工序废气、挤压造粒工序废气、第一次筛分废气、整形废气、喷脲废气、冷却工序废气、第二次筛分废气、裹油废气、铺粉废气、抛光工序废气、装袋工序废气和复合肥生产线投料废气、包装废气</w:t>
                  </w:r>
                </w:p>
              </w:tc>
              <w:tc>
                <w:tcPr>
                  <w:tcW w:w="917" w:type="pct"/>
                  <w:tcBorders>
                    <w:tl2br w:val="nil"/>
                    <w:tr2bl w:val="nil"/>
                  </w:tcBorders>
                  <w:vAlign w:val="center"/>
                </w:tcPr>
                <w:p>
                  <w:pPr>
                    <w:pStyle w:val="39"/>
                    <w:rPr>
                      <w:color w:val="auto"/>
                      <w:lang w:val="en-US"/>
                    </w:rPr>
                  </w:pPr>
                  <w:r>
                    <w:rPr>
                      <w:rFonts w:hint="eastAsia"/>
                      <w:color w:val="auto"/>
                    </w:rPr>
                    <w:t>颗粒物</w:t>
                  </w:r>
                  <w:r>
                    <w:rPr>
                      <w:rFonts w:hint="eastAsia"/>
                      <w:color w:val="auto"/>
                      <w:lang w:eastAsia="zh-CN"/>
                    </w:rPr>
                    <w:t>、</w:t>
                  </w:r>
                  <w:r>
                    <w:rPr>
                      <w:rFonts w:hint="eastAsia"/>
                      <w:color w:val="auto"/>
                      <w:lang w:val="en-US" w:eastAsia="zh-CN"/>
                    </w:rPr>
                    <w:t>氨、臭气浓度、甲醛、非甲烷总烃</w:t>
                  </w:r>
                </w:p>
              </w:tc>
              <w:tc>
                <w:tcPr>
                  <w:tcW w:w="712" w:type="pct"/>
                  <w:tcBorders>
                    <w:tl2br w:val="nil"/>
                    <w:tr2bl w:val="nil"/>
                  </w:tcBorders>
                  <w:vAlign w:val="center"/>
                </w:tcPr>
                <w:p>
                  <w:pPr>
                    <w:pStyle w:val="39"/>
                    <w:rPr>
                      <w:color w:val="auto"/>
                      <w:lang w:val="en-US"/>
                    </w:rPr>
                  </w:pPr>
                  <w:r>
                    <w:rPr>
                      <w:rFonts w:hint="eastAsia"/>
                      <w:color w:val="auto"/>
                    </w:rPr>
                    <w:t>集气罩</w:t>
                  </w:r>
                  <w:r>
                    <w:rPr>
                      <w:rFonts w:hint="eastAsia"/>
                      <w:color w:val="auto"/>
                      <w:lang w:val="en-US" w:eastAsia="zh-CN"/>
                    </w:rPr>
                    <w:t>+软帘/管道</w:t>
                  </w:r>
                </w:p>
              </w:tc>
              <w:tc>
                <w:tcPr>
                  <w:tcW w:w="1001" w:type="pct"/>
                  <w:tcBorders>
                    <w:tl2br w:val="nil"/>
                    <w:tr2bl w:val="nil"/>
                  </w:tcBorders>
                  <w:vAlign w:val="center"/>
                </w:tcPr>
                <w:p>
                  <w:pPr>
                    <w:pStyle w:val="39"/>
                    <w:rPr>
                      <w:rFonts w:hint="eastAsia"/>
                      <w:color w:val="auto"/>
                      <w:lang w:val="en-US" w:eastAsia="zh-CN"/>
                    </w:rPr>
                  </w:pPr>
                  <w:r>
                    <w:rPr>
                      <w:rFonts w:hint="eastAsia"/>
                      <w:color w:val="auto"/>
                      <w:lang w:val="en-US" w:eastAsia="zh-CN"/>
                    </w:rPr>
                    <w:t>旋风除尘器TA001+袋式除尘器TA002+二级活性炭吸附装置TA002</w:t>
                  </w:r>
                </w:p>
              </w:tc>
              <w:tc>
                <w:tcPr>
                  <w:tcW w:w="1062" w:type="pct"/>
                  <w:tcBorders>
                    <w:tl2br w:val="nil"/>
                    <w:tr2bl w:val="nil"/>
                  </w:tcBorders>
                  <w:vAlign w:val="center"/>
                </w:tcPr>
                <w:p>
                  <w:pPr>
                    <w:pStyle w:val="39"/>
                    <w:rPr>
                      <w:rFonts w:hint="eastAsia"/>
                      <w:color w:val="auto"/>
                      <w:lang w:val="en-US" w:eastAsia="zh-CN"/>
                    </w:rPr>
                  </w:pPr>
                  <w:r>
                    <w:rPr>
                      <w:rFonts w:hint="eastAsia"/>
                      <w:color w:val="auto"/>
                      <w:lang w:val="en-US" w:eastAsia="zh-CN"/>
                    </w:rPr>
                    <w:t>15m排气筒（P2）</w:t>
                  </w:r>
                </w:p>
              </w:tc>
            </w:tr>
            <w:tr>
              <w:trPr>
                <w:trHeight w:val="23"/>
              </w:trPr>
              <w:tc>
                <w:tcPr>
                  <w:tcW w:w="287" w:type="pct"/>
                  <w:tcBorders>
                    <w:tl2br w:val="nil"/>
                    <w:tr2bl w:val="nil"/>
                  </w:tcBorders>
                  <w:vAlign w:val="center"/>
                </w:tcPr>
                <w:p>
                  <w:pPr>
                    <w:pStyle w:val="39"/>
                    <w:rPr>
                      <w:rFonts w:eastAsia="宋体"/>
                      <w:color w:val="auto"/>
                      <w:lang w:val="en-US" w:eastAsia="zh-CN"/>
                    </w:rPr>
                  </w:pPr>
                  <w:r>
                    <w:rPr>
                      <w:rFonts w:hint="eastAsia"/>
                      <w:color w:val="auto"/>
                      <w:lang w:val="en-US" w:eastAsia="zh-CN"/>
                    </w:rPr>
                    <w:t>2</w:t>
                  </w:r>
                </w:p>
              </w:tc>
              <w:tc>
                <w:tcPr>
                  <w:tcW w:w="1020" w:type="pct"/>
                  <w:tcBorders>
                    <w:tl2br w:val="nil"/>
                    <w:tr2bl w:val="nil"/>
                  </w:tcBorders>
                  <w:vAlign w:val="center"/>
                </w:tcPr>
                <w:p>
                  <w:pPr>
                    <w:pStyle w:val="39"/>
                    <w:rPr>
                      <w:color w:val="auto"/>
                      <w:lang w:val="en-US" w:eastAsia="zh-CN"/>
                    </w:rPr>
                  </w:pPr>
                  <w:r>
                    <w:rPr>
                      <w:rFonts w:hint="eastAsia"/>
                      <w:color w:val="auto"/>
                      <w:lang w:val="en-US" w:eastAsia="zh-CN"/>
                    </w:rPr>
                    <w:t>挤压造粒生产线烘干废气</w:t>
                  </w:r>
                </w:p>
              </w:tc>
              <w:tc>
                <w:tcPr>
                  <w:tcW w:w="917" w:type="pct"/>
                  <w:tcBorders>
                    <w:tl2br w:val="nil"/>
                    <w:tr2bl w:val="nil"/>
                  </w:tcBorders>
                  <w:vAlign w:val="center"/>
                </w:tcPr>
                <w:p>
                  <w:pPr>
                    <w:pStyle w:val="39"/>
                    <w:rPr>
                      <w:rFonts w:hint="eastAsia"/>
                      <w:color w:val="auto"/>
                    </w:rPr>
                  </w:pPr>
                  <w:r>
                    <w:rPr>
                      <w:rFonts w:hint="eastAsia"/>
                      <w:color w:val="auto"/>
                    </w:rPr>
                    <w:t>颗粒物</w:t>
                  </w:r>
                  <w:r>
                    <w:rPr>
                      <w:rFonts w:hint="eastAsia"/>
                      <w:color w:val="auto"/>
                      <w:lang w:eastAsia="zh-CN"/>
                    </w:rPr>
                    <w:t>、</w:t>
                  </w:r>
                  <w:r>
                    <w:rPr>
                      <w:rFonts w:hint="eastAsia"/>
                      <w:color w:val="auto"/>
                      <w:lang w:val="en-US" w:eastAsia="zh-CN"/>
                    </w:rPr>
                    <w:t>氨、臭气浓度、甲醛</w:t>
                  </w:r>
                </w:p>
              </w:tc>
              <w:tc>
                <w:tcPr>
                  <w:tcW w:w="712" w:type="pct"/>
                  <w:vMerge w:val="restar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管道</w:t>
                  </w:r>
                </w:p>
              </w:tc>
              <w:tc>
                <w:tcPr>
                  <w:tcW w:w="1001" w:type="pct"/>
                  <w:vMerge w:val="restart"/>
                  <w:tcBorders>
                    <w:tl2br w:val="nil"/>
                    <w:tr2bl w:val="nil"/>
                  </w:tcBorders>
                  <w:vAlign w:val="center"/>
                </w:tcPr>
                <w:p>
                  <w:pPr>
                    <w:pStyle w:val="39"/>
                    <w:rPr>
                      <w:rFonts w:hint="eastAsia"/>
                      <w:color w:val="auto"/>
                      <w:lang w:val="en-US" w:eastAsia="zh-CN"/>
                    </w:rPr>
                  </w:pPr>
                  <w:r>
                    <w:rPr>
                      <w:rFonts w:hint="eastAsia"/>
                      <w:color w:val="auto"/>
                      <w:lang w:val="en-US" w:eastAsia="zh-CN"/>
                    </w:rPr>
                    <w:t>旋风除尘器（TA002）+袋式除尘器（TA003）+旋转吸附机+水喷淋塔</w:t>
                  </w:r>
                </w:p>
              </w:tc>
              <w:tc>
                <w:tcPr>
                  <w:tcW w:w="1062" w:type="pct"/>
                  <w:vMerge w:val="restart"/>
                  <w:tcBorders>
                    <w:tl2br w:val="nil"/>
                    <w:tr2bl w:val="nil"/>
                  </w:tcBorders>
                  <w:vAlign w:val="center"/>
                </w:tcPr>
                <w:p>
                  <w:pPr>
                    <w:pStyle w:val="39"/>
                    <w:rPr>
                      <w:rFonts w:hint="eastAsia"/>
                      <w:color w:val="auto"/>
                      <w:lang w:val="en-US" w:eastAsia="zh-CN"/>
                    </w:rPr>
                  </w:pPr>
                  <w:r>
                    <w:rPr>
                      <w:rFonts w:hint="eastAsia"/>
                      <w:color w:val="auto"/>
                      <w:lang w:val="en-US" w:eastAsia="zh-CN"/>
                    </w:rPr>
                    <w:t>15m排气筒（P3）</w:t>
                  </w:r>
                </w:p>
              </w:tc>
            </w:tr>
            <w:tr>
              <w:trPr>
                <w:trHeight w:val="23"/>
              </w:trPr>
              <w:tc>
                <w:tcPr>
                  <w:tcW w:w="287" w:type="pct"/>
                  <w:tcBorders>
                    <w:tl2br w:val="nil"/>
                    <w:tr2bl w:val="nil"/>
                  </w:tcBorders>
                  <w:vAlign w:val="center"/>
                </w:tcPr>
                <w:p>
                  <w:pPr>
                    <w:pStyle w:val="39"/>
                    <w:rPr>
                      <w:rFonts w:eastAsia="宋体"/>
                      <w:color w:val="auto"/>
                      <w:lang w:val="en-US" w:eastAsia="zh-CN"/>
                    </w:rPr>
                  </w:pPr>
                  <w:r>
                    <w:rPr>
                      <w:rFonts w:hint="eastAsia"/>
                      <w:color w:val="auto"/>
                      <w:lang w:val="en-US" w:eastAsia="zh-CN"/>
                    </w:rPr>
                    <w:t>3</w:t>
                  </w:r>
                </w:p>
              </w:tc>
              <w:tc>
                <w:tcPr>
                  <w:tcW w:w="1020" w:type="pct"/>
                  <w:tcBorders>
                    <w:tl2br w:val="nil"/>
                    <w:tr2bl w:val="nil"/>
                  </w:tcBorders>
                  <w:vAlign w:val="center"/>
                </w:tcPr>
                <w:p>
                  <w:pPr>
                    <w:pStyle w:val="39"/>
                    <w:rPr>
                      <w:color w:val="auto"/>
                      <w:lang w:val="en-US" w:eastAsia="zh-CN"/>
                    </w:rPr>
                  </w:pPr>
                  <w:r>
                    <w:rPr>
                      <w:rFonts w:hint="eastAsia"/>
                      <w:color w:val="auto"/>
                      <w:lang w:val="en-US" w:eastAsia="zh-CN"/>
                    </w:rPr>
                    <w:t>燃烧烟气</w:t>
                  </w:r>
                </w:p>
              </w:tc>
              <w:tc>
                <w:tcPr>
                  <w:tcW w:w="917" w:type="pct"/>
                  <w:tcBorders>
                    <w:tl2br w:val="nil"/>
                    <w:tr2bl w:val="nil"/>
                  </w:tcBorders>
                  <w:vAlign w:val="center"/>
                </w:tcPr>
                <w:p>
                  <w:pPr>
                    <w:pStyle w:val="39"/>
                    <w:rPr>
                      <w:rFonts w:eastAsia="宋体"/>
                      <w:color w:val="auto"/>
                      <w:lang w:val="en-US" w:eastAsia="zh-CN"/>
                    </w:rPr>
                  </w:pPr>
                  <w:r>
                    <w:rPr>
                      <w:rFonts w:hint="eastAsia"/>
                      <w:color w:val="auto"/>
                      <w:lang w:val="en-US" w:eastAsia="zh-CN"/>
                    </w:rPr>
                    <w:t>颗粒物、二氧化硫、氮氧化物、烟气黑度</w:t>
                  </w:r>
                </w:p>
              </w:tc>
              <w:tc>
                <w:tcPr>
                  <w:tcW w:w="712" w:type="pct"/>
                  <w:vMerge/>
                  <w:tcBorders>
                    <w:tl2br w:val="nil"/>
                    <w:tr2bl w:val="nil"/>
                  </w:tcBorders>
                  <w:vAlign w:val="center"/>
                </w:tcPr>
                <w:p/>
              </w:tc>
              <w:tc>
                <w:tcPr>
                  <w:tcW w:w="1001" w:type="pct"/>
                  <w:vMerge/>
                  <w:tcBorders>
                    <w:tl2br w:val="nil"/>
                    <w:tr2bl w:val="nil"/>
                  </w:tcBorders>
                  <w:vAlign w:val="center"/>
                </w:tcPr>
                <w:p/>
              </w:tc>
              <w:tc>
                <w:tcPr>
                  <w:tcW w:w="1062" w:type="pct"/>
                  <w:vMerge/>
                  <w:tcBorders>
                    <w:tl2br w:val="nil"/>
                    <w:tr2bl w:val="nil"/>
                  </w:tcBorders>
                  <w:vAlign w:val="center"/>
                </w:tcPr>
                <w:p/>
              </w:tc>
            </w:tr>
            <w:tr>
              <w:trPr>
                <w:trHeight w:val="23"/>
              </w:trPr>
              <w:tc>
                <w:tcPr>
                  <w:tcW w:w="287" w:type="pct"/>
                  <w:tcBorders>
                    <w:tl2br w:val="nil"/>
                    <w:tr2bl w:val="nil"/>
                  </w:tcBorders>
                  <w:vAlign w:val="center"/>
                </w:tcPr>
                <w:p>
                  <w:pPr>
                    <w:pStyle w:val="39"/>
                    <w:rPr>
                      <w:rFonts w:eastAsia="宋体"/>
                      <w:color w:val="auto"/>
                      <w:lang w:val="en-US" w:eastAsia="zh-CN"/>
                    </w:rPr>
                  </w:pPr>
                  <w:r>
                    <w:rPr>
                      <w:rFonts w:hint="eastAsia"/>
                      <w:color w:val="auto"/>
                      <w:lang w:val="en-US" w:eastAsia="zh-CN"/>
                    </w:rPr>
                    <w:t>4</w:t>
                  </w:r>
                </w:p>
              </w:tc>
              <w:tc>
                <w:tcPr>
                  <w:tcW w:w="1020" w:type="pct"/>
                  <w:tcBorders>
                    <w:tl2br w:val="nil"/>
                    <w:tr2bl w:val="nil"/>
                  </w:tcBorders>
                  <w:vAlign w:val="center"/>
                </w:tcPr>
                <w:p>
                  <w:pPr>
                    <w:pStyle w:val="39"/>
                    <w:rPr>
                      <w:color w:val="auto"/>
                      <w:lang w:val="en-US" w:eastAsia="zh-CN"/>
                    </w:rPr>
                  </w:pPr>
                  <w:r>
                    <w:rPr>
                      <w:rFonts w:hint="eastAsia"/>
                      <w:color w:val="auto"/>
                      <w:lang w:val="en-US" w:eastAsia="zh-CN"/>
                    </w:rPr>
                    <w:t>化验室废气</w:t>
                  </w:r>
                </w:p>
              </w:tc>
              <w:tc>
                <w:tcPr>
                  <w:tcW w:w="917" w:type="pct"/>
                  <w:tcBorders>
                    <w:tl2br w:val="nil"/>
                    <w:tr2bl w:val="nil"/>
                  </w:tcBorders>
                  <w:vAlign w:val="center"/>
                </w:tcPr>
                <w:p>
                  <w:pPr>
                    <w:pStyle w:val="39"/>
                    <w:rPr>
                      <w:color w:val="auto"/>
                      <w:lang w:val="en-US"/>
                    </w:rPr>
                  </w:pPr>
                  <w:r>
                    <w:rPr>
                      <w:rFonts w:hint="eastAsia"/>
                      <w:color w:val="auto"/>
                      <w:lang w:val="en-US" w:eastAsia="zh-CN"/>
                    </w:rPr>
                    <w:t>氯化氢、硫酸雾、氮氧化物排、非甲烷总烃</w:t>
                  </w:r>
                </w:p>
              </w:tc>
              <w:tc>
                <w:tcPr>
                  <w:tcW w:w="712" w:type="pc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集气罩</w:t>
                  </w:r>
                </w:p>
              </w:tc>
              <w:tc>
                <w:tcPr>
                  <w:tcW w:w="1001" w:type="pct"/>
                  <w:tcBorders>
                    <w:tl2br w:val="nil"/>
                    <w:tr2bl w:val="nil"/>
                  </w:tcBorders>
                  <w:vAlign w:val="center"/>
                </w:tcPr>
                <w:p>
                  <w:pPr>
                    <w:pStyle w:val="39"/>
                    <w:rPr>
                      <w:rFonts w:hint="eastAsia"/>
                      <w:color w:val="auto"/>
                      <w:lang w:val="en-US" w:eastAsia="zh-CN"/>
                    </w:rPr>
                  </w:pPr>
                  <w:r>
                    <w:rPr>
                      <w:rFonts w:hint="eastAsia"/>
                      <w:color w:val="auto"/>
                      <w:lang w:val="en-US" w:eastAsia="zh-CN"/>
                    </w:rPr>
                    <w:t>二级活性炭吸附装置TA001+干式酸雾净化器</w:t>
                  </w:r>
                </w:p>
              </w:tc>
              <w:tc>
                <w:tcPr>
                  <w:tcW w:w="1062" w:type="pct"/>
                  <w:tcBorders>
                    <w:tl2br w:val="nil"/>
                    <w:tr2bl w:val="nil"/>
                  </w:tcBorders>
                  <w:vAlign w:val="center"/>
                </w:tcPr>
                <w:p>
                  <w:pPr>
                    <w:pStyle w:val="39"/>
                    <w:rPr>
                      <w:rFonts w:hint="eastAsia"/>
                      <w:color w:val="auto"/>
                      <w:lang w:val="en-US" w:eastAsia="zh-CN"/>
                    </w:rPr>
                  </w:pPr>
                  <w:r>
                    <w:rPr>
                      <w:rFonts w:hint="eastAsia"/>
                      <w:color w:val="auto"/>
                      <w:lang w:val="en-US" w:eastAsia="zh-CN"/>
                    </w:rPr>
                    <w:t>15m排气筒（P4）</w:t>
                  </w:r>
                </w:p>
              </w:tc>
            </w:tr>
          </w:tbl>
          <w:p>
            <w:pPr>
              <w:widowControl/>
              <w:adjustRightInd w:val="0"/>
              <w:snapToGrid w:val="0"/>
              <w:outlineLvl w:val="2"/>
              <w:rPr>
                <w:rFonts w:hint="eastAsia"/>
                <w:color w:val="auto"/>
              </w:rPr>
            </w:pPr>
            <w:r>
              <w:rPr>
                <w:color w:val="auto"/>
                <w:kern w:val="0"/>
              </w:rPr>
              <w:t>②废气治理措施可行性论证</w:t>
            </w:r>
          </w:p>
          <w:p>
            <w:pPr>
              <w:adjustRightInd w:val="0"/>
              <w:snapToGrid w:val="0"/>
              <w:rPr>
                <w:color w:val="auto"/>
              </w:rPr>
            </w:pPr>
            <w:r>
              <w:rPr>
                <w:rFonts w:ascii="Times New Roman" w:eastAsia="宋体" w:cs="Times New Roman" w:hAnsi="Times New Roman"/>
                <w:color w:val="auto"/>
                <w:kern w:val="2"/>
                <w:sz w:val="24"/>
                <w:szCs w:val="24"/>
                <w:lang w:val="en-US" w:eastAsia="zh-CN" w:bidi="ar-SA"/>
                <w:highlight w:val="none"/>
              </w:rPr>
              <w:t>本项目参考</w:t>
            </w:r>
            <w:r>
              <w:rPr>
                <w:rFonts w:ascii="Times New Roman" w:eastAsia="宋体" w:cs="Times New Roman" w:hAnsi="Times New Roman"/>
                <w:color w:val="auto"/>
                <w:sz w:val="24"/>
                <w:highlight w:val="none"/>
              </w:rPr>
              <w:t>《排污许可证申请与核发技术规范 磷肥、钾肥、复混肥料、有机肥料及微生物肥料工业》</w:t>
            </w:r>
            <w:r>
              <w:rPr>
                <w:rFonts w:ascii="Times New Roman" w:eastAsia="宋体" w:cs="Times New Roman" w:hAnsi="Times New Roman"/>
                <w:color w:val="auto"/>
                <w:sz w:val="24"/>
                <w:szCs w:val="24"/>
                <w:lang w:val="en-US" w:eastAsia="zh-CN"/>
                <w:highlight w:val="none"/>
              </w:rPr>
              <w:t>（HJ 864.2-2018）</w:t>
            </w:r>
            <w:r>
              <w:rPr>
                <w:rFonts w:cs="Times New Roman" w:hint="eastAsia"/>
                <w:color w:val="auto"/>
                <w:sz w:val="24"/>
                <w:szCs w:val="24"/>
                <w:lang w:val="en-US" w:eastAsia="zh-CN"/>
                <w:highlight w:val="none"/>
              </w:rPr>
              <w:t>和《排污许可证申请与核发技术规范 总则》（HJ942-2018），颗粒物防治可行技术为袋式除尘；有机废气推荐可行技术包括：焚烧、吸附、催化分解、其他等；其他废气处理设施包括活性炭吸附、生物滤塔、洗涤、吸收、燃烧、氧化、过滤、其他等。本项目采用袋式除尘器处理含尘废气、采用干式酸雾净化器吸附酸性废气、采用 二级活性炭吸附装置处理有机废气，为推荐治理措施</w:t>
            </w:r>
            <w:r>
              <w:rPr>
                <w:rFonts w:ascii="Times New Roman" w:eastAsia="宋体" w:cs="Times New Roman" w:hAnsi="Times New Roman"/>
                <w:color w:val="auto"/>
                <w:kern w:val="2"/>
                <w:sz w:val="24"/>
                <w:szCs w:val="24"/>
                <w:lang w:val="en-US" w:eastAsia="zh-CN" w:bidi="ar-SA"/>
                <w:highlight w:val="none"/>
              </w:rPr>
              <w:t>，属于可行性技术，废气治理措施可行。</w:t>
            </w:r>
          </w:p>
          <w:p>
            <w:pPr>
              <w:keepNext w:val="0"/>
              <w:keepLines w:val="0"/>
              <w:pageBreakBefore w:val="0"/>
              <w:widowControl/>
              <w:kinsoku/>
              <w:wordWrap/>
              <w:overflowPunct/>
              <w:topLinePunct w:val="0"/>
              <w:autoSpaceDE/>
              <w:autoSpaceDN/>
              <w:bidi w:val="0"/>
              <w:adjustRightInd w:val="0"/>
              <w:snapToGrid w:val="0"/>
              <w:spacing w:line="360" w:lineRule="auto"/>
              <w:ind w:firstLineChars="200" w:firstLine="480"/>
              <w:jc w:val="both"/>
              <w:textAlignment w:val="auto"/>
              <w:outlineLvl w:val="2"/>
              <w:rPr>
                <w:rFonts w:ascii="Times New Roman" w:cs="Times New Roman" w:hAnsi="Times New Roman" w:hint="eastAsia"/>
                <w:color w:val="auto"/>
                <w:kern w:val="0"/>
                <w:sz w:val="24"/>
                <w:szCs w:val="24"/>
                <w:lang w:val="en-US" w:eastAsia="zh-CN"/>
                <w:highlight w:val="none"/>
              </w:rPr>
            </w:pPr>
            <w:r>
              <w:rPr>
                <w:rFonts w:cs="Times New Roman" w:hint="eastAsia"/>
                <w:color w:val="auto"/>
                <w:kern w:val="0"/>
                <w:sz w:val="24"/>
                <w:szCs w:val="24"/>
                <w:lang w:val="en-US" w:eastAsia="zh-CN"/>
                <w:highlight w:val="none"/>
              </w:rPr>
              <w:t>③</w:t>
            </w:r>
            <w:r>
              <w:rPr>
                <w:rFonts w:ascii="Times New Roman" w:cs="Times New Roman" w:hAnsi="Times New Roman"/>
                <w:color w:val="auto"/>
                <w:kern w:val="0"/>
                <w:sz w:val="24"/>
                <w:szCs w:val="24"/>
                <w:highlight w:val="none"/>
              </w:rPr>
              <w:t>废气治理措施</w:t>
            </w:r>
            <w:r>
              <w:rPr>
                <w:rFonts w:ascii="Times New Roman" w:cs="Times New Roman" w:hAnsi="Times New Roman" w:hint="eastAsia"/>
                <w:color w:val="auto"/>
                <w:kern w:val="0"/>
                <w:sz w:val="24"/>
                <w:szCs w:val="24"/>
                <w:lang w:val="en-US" w:eastAsia="zh-CN"/>
                <w:highlight w:val="none"/>
              </w:rPr>
              <w:t>依托</w:t>
            </w:r>
            <w:r>
              <w:rPr>
                <w:rFonts w:ascii="Times New Roman" w:cs="Times New Roman" w:hAnsi="Times New Roman"/>
                <w:color w:val="auto"/>
                <w:kern w:val="0"/>
                <w:sz w:val="24"/>
                <w:szCs w:val="24"/>
                <w:highlight w:val="none"/>
              </w:rPr>
              <w:t>可行性</w:t>
            </w:r>
            <w:r>
              <w:rPr>
                <w:rFonts w:ascii="Times New Roman" w:cs="Times New Roman" w:hAnsi="Times New Roman" w:hint="eastAsia"/>
                <w:color w:val="auto"/>
                <w:kern w:val="0"/>
                <w:sz w:val="24"/>
                <w:szCs w:val="24"/>
                <w:lang w:val="en-US" w:eastAsia="zh-CN"/>
                <w:highlight w:val="none"/>
              </w:rPr>
              <w:t>分析</w:t>
            </w:r>
          </w:p>
          <w:p>
            <w:pPr>
              <w:keepNext w:val="0"/>
              <w:keepLines w:val="0"/>
              <w:pageBreakBefore w:val="0"/>
              <w:widowControl w:val="0"/>
              <w:kinsoku/>
              <w:wordWrap/>
              <w:overflowPunct/>
              <w:topLinePunct w:val="0"/>
              <w:autoSpaceDE/>
              <w:autoSpaceDN/>
              <w:bidi w:val="0"/>
              <w:adjustRightInd w:val="0"/>
              <w:snapToGrid w:val="0"/>
              <w:spacing w:line="360" w:lineRule="auto"/>
              <w:ind w:left="0" w:firstLineChars="200" w:firstLine="480"/>
              <w:jc w:val="left"/>
              <w:textAlignment w:val="auto"/>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本项目投料工序废气、袋装工序废气由集气罩+软帘收集，第一次破碎工序废气、第二次破碎工序废气、挤压造粒工序废气、第一次筛分废气、整形废气、喷脲废气、冷却工序废气、第二次筛分废气、裹油废气、铺粉废气、抛光工序废气、装袋工序废气和复合肥生产线的投料废气由密闭管道负压收集，收集后的废气经旋风除尘器（TA001）+袋式除尘器（TA002）+15m高排气筒（P2）排放（依托现有治理设施及排气筒）。</w:t>
            </w:r>
          </w:p>
          <w:p>
            <w:pPr>
              <w:pStyle w:val="15"/>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kern w:val="2"/>
                <w:sz w:val="24"/>
                <w:szCs w:val="24"/>
                <w:lang w:val="en-US" w:eastAsia="zh-CN" w:bidi="ar-SA"/>
                <w:highlight w:val="none"/>
              </w:rPr>
              <w:t>根据河北欣蓝环境科技有限公司2022年12月为河北卓峰化肥有限公司出具的检测报告（XLKJ检字（2022）第10172号）可知：</w:t>
            </w:r>
          </w:p>
          <w:p>
            <w:pPr>
              <w:keepNext w:val="0"/>
              <w:keepLines w:val="0"/>
              <w:pageBreakBefore w:val="0"/>
              <w:widowControl w:val="0"/>
              <w:kinsoku/>
              <w:wordWrap/>
              <w:overflowPunct/>
              <w:topLinePunct w:val="0"/>
              <w:autoSpaceDE/>
              <w:autoSpaceDN/>
              <w:bidi w:val="0"/>
              <w:adjustRightInd w:val="0"/>
              <w:snapToGrid w:val="0"/>
              <w:spacing w:line="360" w:lineRule="auto"/>
              <w:ind w:left="0" w:firstLineChars="0" w:firstLine="420"/>
              <w:jc w:val="center"/>
              <w:textAlignment w:val="auto"/>
              <w:rPr>
                <w:rFonts w:ascii="Times New Roman" w:eastAsia="宋体" w:cs="Times New Roman" w:hAnsi="Times New Roman"/>
                <w:b/>
                <w:bCs/>
                <w:color w:val="auto"/>
                <w:kern w:val="2"/>
                <w:sz w:val="24"/>
                <w:szCs w:val="24"/>
                <w:lang w:val="en-US" w:eastAsia="zh-CN" w:bidi="ar-SA"/>
                <w:highlight w:val="none"/>
              </w:rPr>
            </w:pPr>
            <w:r>
              <w:rPr>
                <w:rFonts w:ascii="Times New Roman" w:eastAsia="宋体" w:cs="Times New Roman" w:hAnsi="Times New Roman"/>
                <w:b/>
                <w:bCs/>
                <w:color w:val="auto"/>
                <w:kern w:val="2"/>
                <w:sz w:val="24"/>
                <w:szCs w:val="24"/>
                <w:lang w:val="en-US" w:eastAsia="zh-CN" w:bidi="ar-SA"/>
                <w:highlight w:val="none"/>
              </w:rPr>
              <w:t>表4-</w:t>
            </w:r>
            <w:r>
              <w:rPr>
                <w:rFonts w:ascii="Times New Roman" w:eastAsia="宋体" w:cs="Times New Roman" w:hAnsi="Times New Roman" w:hint="eastAsia"/>
                <w:b/>
                <w:bCs/>
                <w:color w:val="auto"/>
                <w:kern w:val="2"/>
                <w:sz w:val="24"/>
                <w:szCs w:val="24"/>
                <w:lang w:val="en-US" w:eastAsia="zh-CN" w:bidi="ar-SA"/>
                <w:highlight w:val="none"/>
              </w:rPr>
              <w:t>5   废气治理设施现状运行参数</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06"/>
              <w:gridCol w:w="1247"/>
              <w:gridCol w:w="2165"/>
              <w:gridCol w:w="1179"/>
              <w:gridCol w:w="1233"/>
              <w:gridCol w:w="1806"/>
            </w:tblGrid>
            <w:tr>
              <w:trPr>
                <w:trHeight w:val="527"/>
              </w:trPr>
              <w:tc>
                <w:tcPr>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ascii="Times New Roman" w:eastAsia="宋体" w:cs="Times New Roman" w:hAnsi="Times New Roman" w:hint="eastAsia"/>
                      <w:color w:val="auto"/>
                      <w:sz w:val="21"/>
                      <w:lang w:val="en-US" w:eastAsia="zh-CN"/>
                      <w:highlight w:val="none"/>
                    </w:rPr>
                    <w:t>排气筒</w:t>
                  </w:r>
                </w:p>
              </w:tc>
              <w:tc>
                <w:tcPr>
                  <w:vAlign w:val="center"/>
                </w:tcPr>
                <w:p>
                  <w:pPr>
                    <w:spacing w:line="240" w:lineRule="auto"/>
                    <w:ind w:firstLineChars="0" w:firstLine="0"/>
                    <w:jc w:val="center"/>
                    <w:rPr>
                      <w:rFonts w:ascii="Times New Roman" w:eastAsia="宋体" w:cs="Times New Roman" w:hAnsi="Times New Roman" w:hint="eastAsia"/>
                      <w:color w:val="auto"/>
                      <w:sz w:val="21"/>
                      <w:lang w:val="en-US" w:eastAsia="zh-CN"/>
                      <w:highlight w:val="none"/>
                    </w:rPr>
                  </w:pPr>
                  <w:r>
                    <w:rPr>
                      <w:rFonts w:ascii="Times New Roman" w:eastAsia="宋体" w:cs="Times New Roman" w:hAnsi="Times New Roman" w:hint="eastAsia"/>
                      <w:color w:val="auto"/>
                      <w:sz w:val="21"/>
                      <w:lang w:val="en-US" w:eastAsia="zh-CN"/>
                      <w:highlight w:val="none"/>
                    </w:rPr>
                    <w:t>设计能力m</w:t>
                  </w:r>
                  <w:r>
                    <w:rPr>
                      <w:rFonts w:ascii="Times New Roman" w:eastAsia="宋体" w:cs="Times New Roman" w:hAnsi="Times New Roman" w:hint="eastAsia"/>
                      <w:color w:val="auto"/>
                      <w:sz w:val="21"/>
                      <w:vertAlign w:val="superscript"/>
                      <w:lang w:val="en-US" w:eastAsia="zh-CN"/>
                      <w:highlight w:val="none"/>
                    </w:rPr>
                    <w:t>3</w:t>
                  </w:r>
                  <w:r>
                    <w:rPr>
                      <w:rFonts w:ascii="Times New Roman" w:eastAsia="宋体" w:cs="Times New Roman" w:hAnsi="Times New Roman" w:hint="eastAsia"/>
                      <w:color w:val="auto"/>
                      <w:sz w:val="21"/>
                      <w:lang w:val="en-US" w:eastAsia="zh-CN"/>
                      <w:highlight w:val="none"/>
                    </w:rPr>
                    <w:t>/h</w:t>
                  </w:r>
                </w:p>
              </w:tc>
              <w:tc>
                <w:tcPr>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cs="Times New Roman" w:hint="eastAsia"/>
                      <w:color w:val="auto"/>
                      <w:sz w:val="21"/>
                      <w:lang w:val="en-US" w:eastAsia="zh-CN"/>
                      <w:highlight w:val="none"/>
                    </w:rPr>
                    <w:t>技改完完成后所需能力</w:t>
                  </w:r>
                  <w:r>
                    <w:rPr>
                      <w:rFonts w:ascii="Times New Roman" w:eastAsia="宋体" w:cs="Times New Roman" w:hAnsi="Times New Roman" w:hint="eastAsia"/>
                      <w:color w:val="auto"/>
                      <w:sz w:val="21"/>
                      <w:lang w:val="en-US" w:eastAsia="zh-CN"/>
                      <w:highlight w:val="none"/>
                    </w:rPr>
                    <w:t>m</w:t>
                  </w:r>
                  <w:r>
                    <w:rPr>
                      <w:rFonts w:ascii="Times New Roman" w:eastAsia="宋体" w:cs="Times New Roman" w:hAnsi="Times New Roman" w:hint="eastAsia"/>
                      <w:color w:val="auto"/>
                      <w:sz w:val="21"/>
                      <w:vertAlign w:val="superscript"/>
                      <w:lang w:val="en-US" w:eastAsia="zh-CN"/>
                      <w:highlight w:val="none"/>
                    </w:rPr>
                    <w:t>3</w:t>
                  </w:r>
                  <w:r>
                    <w:rPr>
                      <w:rFonts w:ascii="Times New Roman" w:eastAsia="宋体" w:cs="Times New Roman" w:hAnsi="Times New Roman" w:hint="eastAsia"/>
                      <w:color w:val="auto"/>
                      <w:sz w:val="21"/>
                      <w:lang w:val="en-US" w:eastAsia="zh-CN"/>
                      <w:highlight w:val="none"/>
                    </w:rPr>
                    <w:t>/h</w:t>
                  </w:r>
                </w:p>
              </w:tc>
              <w:tc>
                <w:tcPr>
                  <w:gridSpan w:val="2"/>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ascii="Times New Roman" w:eastAsia="宋体" w:cs="Times New Roman" w:hAnsi="Times New Roman" w:hint="eastAsia"/>
                      <w:color w:val="auto"/>
                      <w:sz w:val="21"/>
                      <w:lang w:val="en-US" w:eastAsia="zh-CN"/>
                      <w:highlight w:val="none"/>
                    </w:rPr>
                    <w:t>现有工程污染物排放浓度m</w:t>
                  </w:r>
                  <w:r>
                    <w:rPr>
                      <w:rFonts w:ascii="Times New Roman" w:eastAsia="宋体" w:cs="Times New Roman" w:hAnsi="Times New Roman" w:hint="eastAsia"/>
                      <w:color w:val="auto"/>
                      <w:sz w:val="21"/>
                      <w:vertAlign w:val="superscript"/>
                      <w:lang w:val="en-US" w:eastAsia="zh-CN"/>
                      <w:highlight w:val="none"/>
                    </w:rPr>
                    <w:t>3</w:t>
                  </w:r>
                  <w:r>
                    <w:rPr>
                      <w:rFonts w:ascii="Times New Roman" w:eastAsia="宋体" w:cs="Times New Roman" w:hAnsi="Times New Roman" w:hint="eastAsia"/>
                      <w:color w:val="auto"/>
                      <w:sz w:val="21"/>
                      <w:lang w:val="en-US" w:eastAsia="zh-CN"/>
                      <w:highlight w:val="none"/>
                    </w:rPr>
                    <w:t>/mg</w:t>
                  </w:r>
                </w:p>
              </w:tc>
              <w:tc>
                <w:tcPr>
                  <w:vAlign w:val="center"/>
                </w:tcPr>
                <w:p>
                  <w:pPr>
                    <w:spacing w:line="240" w:lineRule="auto"/>
                    <w:ind w:firstLineChars="0" w:firstLine="0"/>
                    <w:jc w:val="center"/>
                    <w:rPr>
                      <w:rFonts w:ascii="Times New Roman" w:eastAsia="宋体" w:cs="Times New Roman" w:hAnsi="Times New Roman" w:hint="eastAsia"/>
                      <w:color w:val="auto"/>
                      <w:sz w:val="21"/>
                      <w:lang w:val="en-US" w:eastAsia="zh-CN"/>
                      <w:highlight w:val="none"/>
                    </w:rPr>
                  </w:pPr>
                  <w:r>
                    <w:rPr>
                      <w:rFonts w:ascii="Times New Roman" w:eastAsia="宋体" w:cs="Times New Roman" w:hAnsi="Times New Roman" w:hint="eastAsia"/>
                      <w:color w:val="auto"/>
                      <w:sz w:val="21"/>
                      <w:lang w:val="en-US" w:eastAsia="zh-CN"/>
                      <w:highlight w:val="none"/>
                    </w:rPr>
                    <w:t>污染物排放限值m</w:t>
                  </w:r>
                  <w:r>
                    <w:rPr>
                      <w:rFonts w:ascii="Times New Roman" w:eastAsia="宋体" w:cs="Times New Roman" w:hAnsi="Times New Roman" w:hint="eastAsia"/>
                      <w:color w:val="auto"/>
                      <w:sz w:val="21"/>
                      <w:vertAlign w:val="superscript"/>
                      <w:lang w:val="en-US" w:eastAsia="zh-CN"/>
                      <w:highlight w:val="none"/>
                    </w:rPr>
                    <w:t>3</w:t>
                  </w:r>
                  <w:r>
                    <w:rPr>
                      <w:rFonts w:ascii="Times New Roman" w:eastAsia="宋体" w:cs="Times New Roman" w:hAnsi="Times New Roman" w:hint="eastAsia"/>
                      <w:color w:val="auto"/>
                      <w:sz w:val="21"/>
                      <w:lang w:val="en-US" w:eastAsia="zh-CN"/>
                      <w:highlight w:val="none"/>
                    </w:rPr>
                    <w:t>/mg</w:t>
                  </w:r>
                </w:p>
              </w:tc>
            </w:tr>
            <w:tr>
              <w:trPr>
                <w:trHeight w:val="126"/>
              </w:trPr>
              <w:tc>
                <w:tcPr>
                  <w:vMerge w:val="restart"/>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ascii="Times New Roman" w:eastAsia="宋体" w:cs="Times New Roman" w:hAnsi="Times New Roman" w:hint="eastAsia"/>
                      <w:color w:val="auto"/>
                      <w:sz w:val="21"/>
                      <w:lang w:val="en-US" w:eastAsia="zh-CN"/>
                      <w:highlight w:val="none"/>
                    </w:rPr>
                    <w:t>P2</w:t>
                  </w:r>
                </w:p>
              </w:tc>
              <w:tc>
                <w:tcPr>
                  <w:vMerge w:val="restart"/>
                  <w:tcBorders>
                    <w:left w:val="single" w:sz="4" w:space="0" w:color="auto"/>
                  </w:tcBorders>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ascii="Times New Roman" w:eastAsia="宋体" w:cs="Times New Roman" w:hAnsi="Times New Roman" w:hint="eastAsia"/>
                      <w:color w:val="auto"/>
                      <w:sz w:val="21"/>
                      <w:lang w:val="en-US" w:eastAsia="zh-CN"/>
                      <w:highlight w:val="none"/>
                    </w:rPr>
                    <w:t>2</w:t>
                  </w:r>
                  <w:r>
                    <w:rPr>
                      <w:rFonts w:cs="Times New Roman" w:hint="eastAsia"/>
                      <w:color w:val="auto"/>
                      <w:sz w:val="21"/>
                      <w:lang w:val="en-US" w:eastAsia="zh-CN"/>
                      <w:highlight w:val="none"/>
                    </w:rPr>
                    <w:t>8</w:t>
                  </w:r>
                  <w:r>
                    <w:rPr>
                      <w:rFonts w:ascii="Times New Roman" w:eastAsia="宋体" w:cs="Times New Roman" w:hAnsi="Times New Roman" w:hint="eastAsia"/>
                      <w:color w:val="auto"/>
                      <w:sz w:val="21"/>
                      <w:lang w:val="en-US" w:eastAsia="zh-CN"/>
                      <w:highlight w:val="none"/>
                    </w:rPr>
                    <w:t>000</w:t>
                  </w:r>
                </w:p>
              </w:tc>
              <w:tc>
                <w:tcPr>
                  <w:vMerge w:val="restart"/>
                  <w:tcBorders>
                    <w:left w:val="single" w:sz="4" w:space="0" w:color="auto"/>
                  </w:tcBorders>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cs="Times New Roman" w:hint="eastAsia"/>
                      <w:color w:val="auto"/>
                      <w:sz w:val="21"/>
                      <w:szCs w:val="21"/>
                      <w:lang w:val="en-US" w:eastAsia="zh-CN"/>
                      <w:highlight w:val="none"/>
                    </w:rPr>
                    <w:t>25365.35</w:t>
                  </w:r>
                </w:p>
              </w:tc>
              <w:tc>
                <w:tcPr>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颗粒物</w:t>
                  </w:r>
                </w:p>
              </w:tc>
              <w:tc>
                <w:tcPr>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2.4</w:t>
                  </w:r>
                </w:p>
              </w:tc>
              <w:tc>
                <w:tcPr>
                  <w:tcBorders>
                    <w:left w:val="single" w:sz="4" w:space="0" w:color="auto"/>
                  </w:tcBorders>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ascii="Times New Roman" w:eastAsia="宋体" w:cs="Times New Roman" w:hAnsi="Times New Roman" w:hint="eastAsia"/>
                      <w:color w:val="auto"/>
                      <w:sz w:val="21"/>
                      <w:lang w:val="en-US" w:eastAsia="zh-CN"/>
                      <w:highlight w:val="none"/>
                    </w:rPr>
                    <w:t>120</w:t>
                  </w:r>
                </w:p>
              </w:tc>
            </w:tr>
            <w:tr>
              <w:trPr>
                <w:trHeight w:val="126"/>
              </w:trPr>
              <w:tc>
                <w:tcPr>
                  <w:vMerge/>
                  <w:vAlign w:val="center"/>
                </w:tcPr>
                <w:p/>
              </w:tc>
              <w:tc>
                <w:tcPr>
                  <w:vMerge/>
                  <w:tcBorders>
                    <w:left w:val="single" w:sz="4" w:space="0" w:color="auto"/>
                  </w:tcBorders>
                  <w:vAlign w:val="center"/>
                </w:tcPr>
                <w:p/>
              </w:tc>
              <w:tc>
                <w:tcPr>
                  <w:vMerge/>
                  <w:tcBorders>
                    <w:left w:val="single" w:sz="4" w:space="0" w:color="auto"/>
                  </w:tcBorders>
                  <w:vAlign w:val="center"/>
                </w:tcPr>
                <w:p/>
              </w:tc>
              <w:tc>
                <w:tcPr>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氨</w:t>
                  </w:r>
                </w:p>
              </w:tc>
              <w:tc>
                <w:tcPr>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1.88</w:t>
                  </w:r>
                </w:p>
              </w:tc>
              <w:tc>
                <w:tcPr>
                  <w:tcBorders>
                    <w:left w:val="single" w:sz="4" w:space="0" w:color="auto"/>
                  </w:tcBorders>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ascii="Times New Roman" w:eastAsia="宋体" w:cs="Times New Roman" w:hAnsi="Times New Roman" w:hint="eastAsia"/>
                      <w:color w:val="auto"/>
                      <w:sz w:val="21"/>
                      <w:lang w:val="en-US" w:eastAsia="zh-CN"/>
                      <w:highlight w:val="none"/>
                    </w:rPr>
                    <w:t>4.9kg/h</w:t>
                  </w:r>
                </w:p>
              </w:tc>
            </w:tr>
            <w:tr>
              <w:trPr>
                <w:trHeight w:val="126"/>
              </w:trPr>
              <w:tc>
                <w:tcPr>
                  <w:vMerge/>
                  <w:vAlign w:val="center"/>
                </w:tcPr>
                <w:p/>
              </w:tc>
              <w:tc>
                <w:tcPr>
                  <w:vMerge/>
                  <w:tcBorders>
                    <w:left w:val="single" w:sz="4" w:space="0" w:color="auto"/>
                  </w:tcBorders>
                  <w:vAlign w:val="center"/>
                </w:tcPr>
                <w:p/>
              </w:tc>
              <w:tc>
                <w:tcPr>
                  <w:vMerge/>
                  <w:tcBorders>
                    <w:left w:val="single" w:sz="4" w:space="0" w:color="auto"/>
                  </w:tcBorders>
                  <w:vAlign w:val="center"/>
                </w:tcPr>
                <w:p/>
              </w:tc>
              <w:tc>
                <w:tcPr>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臭气浓度</w:t>
                  </w:r>
                </w:p>
              </w:tc>
              <w:tc>
                <w:tcPr>
                  <w:tcBorders>
                    <w:left w:val="single" w:sz="4" w:space="0" w:color="auto"/>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ascii="Times New Roman" w:eastAsia="宋体" w:cs="Times New Roman" w:hAnsi="Times New Roman" w:hint="eastAsia"/>
                      <w:snapToGrid w:val="0"/>
                      <w:color w:val="auto"/>
                      <w:kern w:val="0"/>
                      <w:sz w:val="21"/>
                      <w:szCs w:val="21"/>
                      <w:lang w:val="en-US" w:eastAsia="zh-CN" w:bidi="ar-SA"/>
                      <w:highlight w:val="none"/>
                    </w:rPr>
                    <w:t>229无量纲</w:t>
                  </w:r>
                </w:p>
              </w:tc>
              <w:tc>
                <w:tcPr>
                  <w:tcBorders>
                    <w:left w:val="single" w:sz="4" w:space="0" w:color="auto"/>
                  </w:tcBorders>
                  <w:vAlign w:val="center"/>
                </w:tcPr>
                <w:p>
                  <w:pPr>
                    <w:spacing w:line="240" w:lineRule="auto"/>
                    <w:ind w:firstLineChars="0" w:firstLine="0"/>
                    <w:jc w:val="center"/>
                    <w:rPr>
                      <w:rFonts w:ascii="Times New Roman" w:eastAsia="宋体" w:cs="Times New Roman" w:hAnsi="Times New Roman"/>
                      <w:color w:val="auto"/>
                      <w:sz w:val="21"/>
                      <w:lang w:val="en-US" w:eastAsia="zh-CN"/>
                      <w:highlight w:val="none"/>
                    </w:rPr>
                  </w:pPr>
                  <w:r>
                    <w:rPr>
                      <w:rFonts w:ascii="Times New Roman" w:eastAsia="宋体" w:cs="Times New Roman" w:hAnsi="Times New Roman" w:hint="eastAsia"/>
                      <w:color w:val="auto"/>
                      <w:sz w:val="21"/>
                      <w:lang w:val="en-US" w:eastAsia="zh-CN"/>
                      <w:highlight w:val="none"/>
                    </w:rPr>
                    <w:t>2000无量纲</w:t>
                  </w:r>
                </w:p>
              </w:tc>
            </w:tr>
          </w:tbl>
          <w:p>
            <w:pPr>
              <w:pStyle w:val="15"/>
              <w:rPr>
                <w:rFonts w:ascii="Times New Roman" w:eastAsia="宋体" w:cs="Times New Roman" w:hAnsi="Times New Roman" w:hint="eastAsia"/>
                <w:color w:val="auto"/>
                <w:kern w:val="2"/>
                <w:sz w:val="24"/>
                <w:szCs w:val="24"/>
                <w:lang w:val="en-US" w:eastAsia="zh-CN" w:bidi="ar-SA"/>
                <w:highlight w:val="none"/>
              </w:rPr>
            </w:pPr>
            <w:r>
              <w:rPr>
                <w:rFonts w:ascii="Times New Roman" w:eastAsia="宋体" w:cs="Times New Roman" w:hAnsi="Times New Roman" w:hint="eastAsia"/>
                <w:color w:val="auto"/>
                <w:sz w:val="24"/>
                <w:szCs w:val="24"/>
                <w:lang w:val="en-US" w:eastAsia="zh-CN"/>
                <w:highlight w:val="none"/>
              </w:rPr>
              <w:t>根据废气源强分析，</w:t>
            </w:r>
            <w:r>
              <w:rPr>
                <w:rFonts w:cs="Times New Roman" w:hint="eastAsia"/>
                <w:color w:val="auto"/>
                <w:sz w:val="24"/>
                <w:szCs w:val="24"/>
                <w:lang w:val="en-US" w:eastAsia="zh-CN"/>
                <w:highlight w:val="none"/>
              </w:rPr>
              <w:t>本项目技改完成后</w:t>
            </w:r>
            <w:r>
              <w:rPr>
                <w:rFonts w:ascii="Times New Roman" w:eastAsia="宋体" w:cs="Times New Roman" w:hAnsi="Times New Roman" w:hint="eastAsia"/>
                <w:color w:val="auto"/>
                <w:sz w:val="24"/>
                <w:szCs w:val="24"/>
                <w:lang w:val="en-US" w:eastAsia="zh-CN"/>
                <w:highlight w:val="none"/>
              </w:rPr>
              <w:t>全厂</w:t>
            </w:r>
            <w:r>
              <w:rPr>
                <w:rFonts w:ascii="Times New Roman" w:eastAsia="宋体" w:cs="Times New Roman" w:hAnsi="Times New Roman"/>
                <w:color w:val="auto"/>
                <w:sz w:val="24"/>
                <w:szCs w:val="24"/>
                <w:lang w:val="en-US" w:eastAsia="zh-CN"/>
                <w:highlight w:val="none"/>
              </w:rPr>
              <w:t>挤压造粒生产线除烘干工序所需风量为</w:t>
            </w:r>
            <w:r>
              <w:rPr>
                <w:rFonts w:cs="Times New Roman" w:hint="eastAsia"/>
                <w:color w:val="auto"/>
                <w:sz w:val="24"/>
                <w:szCs w:val="24"/>
                <w:lang w:val="en-US" w:eastAsia="zh-CN"/>
                <w:highlight w:val="none"/>
              </w:rPr>
              <w:t>25365.35</w:t>
            </w:r>
            <w:r>
              <w:rPr>
                <w:rFonts w:ascii="Times New Roman" w:eastAsia="宋体" w:cs="Times New Roman" w:hAnsi="Times New Roman"/>
                <w:color w:val="auto"/>
                <w:sz w:val="24"/>
                <w:szCs w:val="24"/>
                <w:lang w:val="en-US" w:eastAsia="zh-CN"/>
                <w:highlight w:val="none"/>
              </w:rPr>
              <w:t>m</w:t>
            </w:r>
            <w:r>
              <w:rPr>
                <w:rFonts w:ascii="Times New Roman" w:eastAsia="宋体" w:cs="Times New Roman" w:hAnsi="Times New Roman"/>
                <w:color w:val="auto"/>
                <w:sz w:val="24"/>
                <w:szCs w:val="24"/>
                <w:vertAlign w:val="superscript"/>
                <w:lang w:val="en-US" w:eastAsia="zh-CN"/>
                <w:highlight w:val="none"/>
              </w:rPr>
              <w:t>3</w:t>
            </w:r>
            <w:r>
              <w:rPr>
                <w:rFonts w:ascii="Times New Roman" w:eastAsia="宋体" w:cs="Times New Roman" w:hAnsi="Times New Roman"/>
                <w:color w:val="auto"/>
                <w:sz w:val="24"/>
                <w:szCs w:val="24"/>
                <w:lang w:val="en-US" w:eastAsia="zh-CN"/>
                <w:highlight w:val="none"/>
              </w:rPr>
              <w:t>/h</w:t>
            </w:r>
            <w:r>
              <w:rPr>
                <w:rFonts w:ascii="Times New Roman" w:cs="Times New Roman" w:hAnsi="Times New Roman" w:hint="eastAsia"/>
                <w:color w:val="auto"/>
                <w:sz w:val="24"/>
                <w:szCs w:val="24"/>
                <w:lang w:val="en-US" w:eastAsia="zh-CN"/>
                <w:highlight w:val="none"/>
              </w:rPr>
              <w:t>，</w:t>
            </w:r>
            <w:r>
              <w:rPr>
                <w:rFonts w:ascii="Times New Roman" w:eastAsia="宋体" w:cs="Times New Roman" w:hAnsi="Times New Roman"/>
                <w:color w:val="auto"/>
                <w:sz w:val="24"/>
                <w:szCs w:val="24"/>
                <w:lang w:val="en-US" w:eastAsia="zh-CN"/>
                <w:highlight w:val="none"/>
              </w:rPr>
              <w:t>现有挤压造粒生产线</w:t>
            </w:r>
            <w:r>
              <w:rPr>
                <w:rFonts w:cs="Times New Roman" w:hint="eastAsia"/>
                <w:color w:val="auto"/>
                <w:sz w:val="24"/>
                <w:szCs w:val="24"/>
                <w:lang w:val="en-US" w:eastAsia="zh-CN"/>
                <w:highlight w:val="none"/>
              </w:rPr>
              <w:t>P2</w:t>
            </w:r>
            <w:r>
              <w:rPr>
                <w:rFonts w:ascii="Times New Roman" w:eastAsia="宋体" w:cs="Times New Roman" w:hAnsi="Times New Roman"/>
                <w:color w:val="auto"/>
                <w:sz w:val="24"/>
                <w:szCs w:val="24"/>
                <w:lang w:val="en-US" w:eastAsia="zh-CN"/>
                <w:highlight w:val="none"/>
              </w:rPr>
              <w:t>风机风量为</w:t>
            </w:r>
            <w:r>
              <w:rPr>
                <w:rFonts w:ascii="Times New Roman" w:eastAsia="宋体" w:cs="Times New Roman" w:hAnsi="Times New Roman" w:hint="eastAsia"/>
                <w:color w:val="auto"/>
                <w:sz w:val="24"/>
                <w:szCs w:val="24"/>
                <w:lang w:val="en-US" w:eastAsia="zh-CN"/>
                <w:highlight w:val="none"/>
              </w:rPr>
              <w:t>2</w:t>
            </w:r>
            <w:r>
              <w:rPr>
                <w:rFonts w:cs="Times New Roman" w:hint="eastAsia"/>
                <w:color w:val="auto"/>
                <w:sz w:val="24"/>
                <w:szCs w:val="24"/>
                <w:lang w:val="en-US" w:eastAsia="zh-CN"/>
                <w:highlight w:val="none"/>
              </w:rPr>
              <w:t>80</w:t>
            </w:r>
            <w:r>
              <w:rPr>
                <w:rFonts w:ascii="Times New Roman" w:eastAsia="宋体" w:cs="Times New Roman" w:hAnsi="Times New Roman" w:hint="eastAsia"/>
                <w:color w:val="auto"/>
                <w:sz w:val="24"/>
                <w:szCs w:val="24"/>
                <w:lang w:val="en-US" w:eastAsia="zh-CN"/>
                <w:highlight w:val="none"/>
              </w:rPr>
              <w:t>00</w:t>
            </w:r>
            <w:r>
              <w:rPr>
                <w:rFonts w:ascii="Times New Roman" w:eastAsia="宋体" w:cs="Times New Roman" w:hAnsi="Times New Roman"/>
                <w:color w:val="auto"/>
                <w:sz w:val="24"/>
                <w:szCs w:val="24"/>
                <w:lang w:val="en-US" w:eastAsia="zh-CN"/>
                <w:highlight w:val="none"/>
              </w:rPr>
              <w:t>m</w:t>
            </w:r>
            <w:r>
              <w:rPr>
                <w:rFonts w:ascii="Times New Roman" w:eastAsia="宋体" w:cs="Times New Roman" w:hAnsi="Times New Roman"/>
                <w:color w:val="auto"/>
                <w:sz w:val="24"/>
                <w:szCs w:val="24"/>
                <w:vertAlign w:val="superscript"/>
                <w:lang w:val="en-US" w:eastAsia="zh-CN"/>
                <w:highlight w:val="none"/>
              </w:rPr>
              <w:t>3</w:t>
            </w:r>
            <w:r>
              <w:rPr>
                <w:rFonts w:ascii="Times New Roman" w:eastAsia="宋体" w:cs="Times New Roman" w:hAnsi="Times New Roman"/>
                <w:color w:val="auto"/>
                <w:sz w:val="24"/>
                <w:szCs w:val="24"/>
                <w:lang w:val="en-US" w:eastAsia="zh-CN"/>
                <w:highlight w:val="none"/>
              </w:rPr>
              <w:t>/h，能满足项目生产需求</w:t>
            </w:r>
            <w:r>
              <w:rPr>
                <w:rFonts w:ascii="Times New Roman" w:eastAsia="宋体" w:cs="Times New Roman" w:hAnsi="Times New Roman" w:hint="eastAsia"/>
                <w:color w:val="auto"/>
                <w:sz w:val="24"/>
                <w:szCs w:val="24"/>
                <w:lang w:val="en-US" w:eastAsia="zh-CN"/>
                <w:highlight w:val="none"/>
              </w:rPr>
              <w:t>；</w:t>
            </w:r>
            <w:r>
              <w:rPr>
                <w:rFonts w:cs="Times New Roman" w:hint="eastAsia"/>
                <w:color w:val="auto"/>
                <w:sz w:val="24"/>
                <w:szCs w:val="24"/>
                <w:lang w:val="en-US" w:eastAsia="zh-CN"/>
                <w:highlight w:val="none"/>
              </w:rPr>
              <w:t>P2</w:t>
            </w:r>
            <w:r>
              <w:rPr>
                <w:rFonts w:ascii="Times New Roman" w:eastAsia="宋体" w:cs="Times New Roman" w:hAnsi="Times New Roman" w:hint="eastAsia"/>
                <w:color w:val="auto"/>
                <w:sz w:val="24"/>
                <w:szCs w:val="24"/>
                <w:lang w:val="en-US" w:eastAsia="zh-CN"/>
                <w:highlight w:val="none"/>
              </w:rPr>
              <w:t>颗粒物预测</w:t>
            </w:r>
            <w:r>
              <w:rPr>
                <w:rFonts w:ascii="Times New Roman" w:eastAsia="宋体" w:cs="Times New Roman" w:hAnsi="Times New Roman"/>
                <w:color w:val="auto"/>
                <w:sz w:val="24"/>
                <w:szCs w:val="24"/>
                <w:lang w:val="en-US" w:eastAsia="zh-CN"/>
                <w:highlight w:val="none"/>
              </w:rPr>
              <w:t>排放浓度为</w:t>
            </w:r>
            <w:r>
              <w:rPr>
                <w:rFonts w:cs="Times New Roman" w:hint="eastAsia"/>
                <w:color w:val="auto"/>
                <w:sz w:val="24"/>
                <w:szCs w:val="24"/>
                <w:lang w:val="en-US" w:eastAsia="zh-CN"/>
                <w:highlight w:val="none"/>
              </w:rPr>
              <w:t>5.9</w:t>
            </w:r>
            <w:r>
              <w:rPr>
                <w:rFonts w:ascii="Times New Roman" w:eastAsia="宋体" w:cs="Times New Roman" w:hAnsi="Times New Roman"/>
                <w:color w:val="auto"/>
                <w:sz w:val="24"/>
                <w:szCs w:val="24"/>
                <w:lang w:val="en-US" w:eastAsia="zh-CN"/>
                <w:highlight w:val="none"/>
              </w:rPr>
              <w:t>mg/m</w:t>
            </w:r>
            <w:r>
              <w:rPr>
                <w:rFonts w:ascii="Times New Roman" w:eastAsia="宋体" w:cs="Times New Roman" w:hAnsi="Times New Roman"/>
                <w:color w:val="auto"/>
                <w:sz w:val="24"/>
                <w:szCs w:val="24"/>
                <w:vertAlign w:val="superscript"/>
                <w:lang w:val="en-US" w:eastAsia="zh-CN"/>
                <w:highlight w:val="none"/>
              </w:rPr>
              <w:t>3</w:t>
            </w:r>
            <w:r>
              <w:rPr>
                <w:rFonts w:cs="Times New Roman" w:hint="eastAsia"/>
                <w:color w:val="auto"/>
                <w:sz w:val="24"/>
                <w:szCs w:val="24"/>
                <w:vertAlign w:val="baseline"/>
                <w:lang w:val="en-US" w:eastAsia="zh-CN"/>
                <w:highlight w:val="none"/>
              </w:rPr>
              <w:t>，排放速率为0.166kg/h，氨</w:t>
            </w:r>
            <w:r>
              <w:rPr>
                <w:rFonts w:ascii="Times New Roman" w:eastAsia="宋体" w:cs="Times New Roman" w:hAnsi="Times New Roman" w:hint="eastAsia"/>
                <w:color w:val="auto"/>
                <w:sz w:val="24"/>
                <w:szCs w:val="24"/>
                <w:lang w:val="en-US" w:eastAsia="zh-CN"/>
                <w:highlight w:val="none"/>
              </w:rPr>
              <w:t>预测</w:t>
            </w:r>
            <w:r>
              <w:rPr>
                <w:rFonts w:ascii="Times New Roman" w:eastAsia="宋体" w:cs="Times New Roman" w:hAnsi="Times New Roman"/>
                <w:color w:val="auto"/>
                <w:sz w:val="24"/>
                <w:szCs w:val="24"/>
                <w:lang w:val="en-US" w:eastAsia="zh-CN"/>
                <w:highlight w:val="none"/>
              </w:rPr>
              <w:t>排放浓度为</w:t>
            </w:r>
            <w:r>
              <w:rPr>
                <w:rFonts w:cs="Times New Roman" w:hint="eastAsia"/>
                <w:color w:val="auto"/>
                <w:sz w:val="24"/>
                <w:szCs w:val="24"/>
                <w:lang w:val="en-US" w:eastAsia="zh-CN"/>
                <w:highlight w:val="none"/>
              </w:rPr>
              <w:t>0.54mg</w:t>
            </w:r>
            <w:r>
              <w:rPr>
                <w:rFonts w:ascii="Times New Roman" w:eastAsia="宋体" w:cs="Times New Roman" w:hAnsi="Times New Roman"/>
                <w:color w:val="auto"/>
                <w:sz w:val="24"/>
                <w:szCs w:val="24"/>
                <w:lang w:val="en-US" w:eastAsia="zh-CN"/>
                <w:highlight w:val="none"/>
              </w:rPr>
              <w:t>/m</w:t>
            </w:r>
            <w:r>
              <w:rPr>
                <w:rFonts w:ascii="Times New Roman" w:eastAsia="宋体" w:cs="Times New Roman" w:hAnsi="Times New Roman"/>
                <w:color w:val="auto"/>
                <w:sz w:val="24"/>
                <w:szCs w:val="24"/>
                <w:vertAlign w:val="superscript"/>
                <w:lang w:val="en-US" w:eastAsia="zh-CN"/>
                <w:highlight w:val="none"/>
              </w:rPr>
              <w:t>3</w:t>
            </w:r>
            <w:r>
              <w:rPr>
                <w:rFonts w:ascii="Times New Roman" w:eastAsia="宋体" w:cs="Times New Roman" w:hAnsi="Times New Roman"/>
                <w:color w:val="auto"/>
                <w:sz w:val="24"/>
                <w:szCs w:val="24"/>
                <w:lang w:val="en-US" w:eastAsia="zh-CN"/>
                <w:highlight w:val="none"/>
              </w:rPr>
              <w:t>；</w:t>
            </w:r>
            <w:r>
              <w:rPr>
                <w:rFonts w:ascii="Times New Roman" w:eastAsia="宋体" w:cs="Times New Roman" w:hAnsi="Times New Roman" w:hint="eastAsia"/>
                <w:color w:val="auto"/>
                <w:sz w:val="24"/>
                <w:szCs w:val="24"/>
                <w:lang w:val="en-US" w:eastAsia="zh-CN"/>
                <w:highlight w:val="none"/>
              </w:rPr>
              <w:t>臭气浓度为</w:t>
            </w:r>
            <w:r>
              <w:rPr>
                <w:rFonts w:cs="Times New Roman" w:hint="eastAsia"/>
                <w:color w:val="auto"/>
                <w:sz w:val="24"/>
                <w:szCs w:val="24"/>
                <w:lang w:val="en-US" w:eastAsia="zh-CN"/>
                <w:highlight w:val="none"/>
              </w:rPr>
              <w:t>977</w:t>
            </w:r>
            <w:r>
              <w:rPr>
                <w:rFonts w:ascii="Times New Roman" w:eastAsia="宋体" w:cs="Times New Roman" w:hAnsi="Times New Roman" w:hint="eastAsia"/>
                <w:color w:val="auto"/>
                <w:sz w:val="24"/>
                <w:szCs w:val="24"/>
                <w:lang w:val="en-US" w:eastAsia="zh-CN"/>
                <w:highlight w:val="none"/>
              </w:rPr>
              <w:t>无量纲</w:t>
            </w:r>
            <w:r>
              <w:rPr>
                <w:rFonts w:cs="Times New Roman" w:hint="eastAsia"/>
                <w:color w:val="auto"/>
                <w:sz w:val="24"/>
                <w:szCs w:val="24"/>
                <w:lang w:val="en-US" w:eastAsia="zh-CN"/>
                <w:highlight w:val="none"/>
              </w:rPr>
              <w:t>；甲醛</w:t>
            </w:r>
            <w:r>
              <w:rPr>
                <w:rFonts w:ascii="Times New Roman" w:eastAsia="宋体" w:cs="Times New Roman" w:hAnsi="Times New Roman" w:hint="eastAsia"/>
                <w:color w:val="auto"/>
                <w:sz w:val="24"/>
                <w:szCs w:val="24"/>
                <w:lang w:val="en-US" w:eastAsia="zh-CN"/>
                <w:highlight w:val="none"/>
              </w:rPr>
              <w:t>预测</w:t>
            </w:r>
            <w:r>
              <w:rPr>
                <w:rFonts w:ascii="Times New Roman" w:eastAsia="宋体" w:cs="Times New Roman" w:hAnsi="Times New Roman"/>
                <w:color w:val="auto"/>
                <w:sz w:val="24"/>
                <w:szCs w:val="24"/>
                <w:lang w:val="en-US" w:eastAsia="zh-CN"/>
                <w:highlight w:val="none"/>
              </w:rPr>
              <w:t>排放浓度为</w:t>
            </w:r>
            <w:r>
              <w:rPr>
                <w:rFonts w:cs="Times New Roman" w:hint="eastAsia"/>
                <w:color w:val="auto"/>
                <w:sz w:val="24"/>
                <w:szCs w:val="24"/>
                <w:lang w:val="en-US" w:eastAsia="zh-CN"/>
                <w:highlight w:val="none"/>
              </w:rPr>
              <w:t>0.0014mg</w:t>
            </w:r>
            <w:r>
              <w:rPr>
                <w:rFonts w:ascii="Times New Roman" w:eastAsia="宋体" w:cs="Times New Roman" w:hAnsi="Times New Roman"/>
                <w:color w:val="auto"/>
                <w:sz w:val="24"/>
                <w:szCs w:val="24"/>
                <w:lang w:val="en-US" w:eastAsia="zh-CN"/>
                <w:highlight w:val="none"/>
              </w:rPr>
              <w:t>/m</w:t>
            </w:r>
            <w:r>
              <w:rPr>
                <w:rFonts w:ascii="Times New Roman" w:eastAsia="宋体" w:cs="Times New Roman" w:hAnsi="Times New Roman"/>
                <w:color w:val="auto"/>
                <w:sz w:val="24"/>
                <w:szCs w:val="24"/>
                <w:vertAlign w:val="superscript"/>
                <w:lang w:val="en-US" w:eastAsia="zh-CN"/>
                <w:highlight w:val="none"/>
              </w:rPr>
              <w:t>3</w:t>
            </w:r>
            <w:r>
              <w:rPr>
                <w:rFonts w:ascii="Times New Roman" w:eastAsia="宋体" w:cs="Times New Roman" w:hAnsi="Times New Roman"/>
                <w:color w:val="auto"/>
                <w:sz w:val="24"/>
                <w:szCs w:val="24"/>
                <w:lang w:val="en-US" w:eastAsia="zh-CN"/>
                <w:highlight w:val="none"/>
              </w:rPr>
              <w:t>；</w:t>
            </w:r>
            <w:r>
              <w:rPr>
                <w:rFonts w:cs="Times New Roman" w:hint="eastAsia"/>
                <w:color w:val="auto"/>
                <w:sz w:val="24"/>
                <w:szCs w:val="24"/>
                <w:lang w:val="en-US" w:eastAsia="zh-CN"/>
                <w:highlight w:val="none"/>
              </w:rPr>
              <w:t>非甲烷总烃</w:t>
            </w:r>
            <w:r>
              <w:rPr>
                <w:rFonts w:ascii="Times New Roman" w:eastAsia="宋体" w:cs="Times New Roman" w:hAnsi="Times New Roman" w:hint="eastAsia"/>
                <w:color w:val="auto"/>
                <w:sz w:val="24"/>
                <w:szCs w:val="24"/>
                <w:lang w:val="en-US" w:eastAsia="zh-CN"/>
                <w:highlight w:val="none"/>
              </w:rPr>
              <w:t>预测</w:t>
            </w:r>
            <w:r>
              <w:rPr>
                <w:rFonts w:ascii="Times New Roman" w:eastAsia="宋体" w:cs="Times New Roman" w:hAnsi="Times New Roman"/>
                <w:color w:val="auto"/>
                <w:sz w:val="24"/>
                <w:szCs w:val="24"/>
                <w:lang w:val="en-US" w:eastAsia="zh-CN"/>
                <w:highlight w:val="none"/>
              </w:rPr>
              <w:t>排放浓度为</w:t>
            </w:r>
            <w:r>
              <w:rPr>
                <w:rFonts w:cs="Times New Roman" w:hint="eastAsia"/>
                <w:color w:val="auto"/>
                <w:sz w:val="24"/>
                <w:szCs w:val="24"/>
                <w:lang w:val="en-US" w:eastAsia="zh-CN"/>
                <w:highlight w:val="none"/>
              </w:rPr>
              <w:t>1.59mg</w:t>
            </w:r>
            <w:r>
              <w:rPr>
                <w:rFonts w:ascii="Times New Roman" w:eastAsia="宋体" w:cs="Times New Roman" w:hAnsi="Times New Roman"/>
                <w:color w:val="auto"/>
                <w:sz w:val="24"/>
                <w:szCs w:val="24"/>
                <w:lang w:val="en-US" w:eastAsia="zh-CN"/>
                <w:highlight w:val="none"/>
              </w:rPr>
              <w:t>/m</w:t>
            </w:r>
            <w:r>
              <w:rPr>
                <w:rFonts w:ascii="Times New Roman" w:eastAsia="宋体" w:cs="Times New Roman" w:hAnsi="Times New Roman"/>
                <w:color w:val="auto"/>
                <w:sz w:val="24"/>
                <w:szCs w:val="24"/>
                <w:vertAlign w:val="superscript"/>
                <w:lang w:val="en-US" w:eastAsia="zh-CN"/>
                <w:highlight w:val="none"/>
              </w:rPr>
              <w:t>3</w:t>
            </w:r>
            <w:r>
              <w:rPr>
                <w:rFonts w:cs="Times New Roman" w:hint="eastAsia"/>
                <w:color w:val="auto"/>
                <w:sz w:val="24"/>
                <w:szCs w:val="24"/>
                <w:lang w:val="en-US" w:eastAsia="zh-CN"/>
                <w:highlight w:val="none"/>
              </w:rPr>
              <w:t>，均</w:t>
            </w:r>
            <w:r>
              <w:rPr>
                <w:rFonts w:ascii="Times New Roman" w:eastAsia="宋体" w:cs="Times New Roman" w:hAnsi="Times New Roman" w:hint="eastAsia"/>
                <w:color w:val="auto"/>
                <w:sz w:val="24"/>
                <w:szCs w:val="24"/>
                <w:lang w:val="en-US" w:eastAsia="zh-CN"/>
                <w:highlight w:val="none"/>
              </w:rPr>
              <w:t>满足相关排放标准限值要求。</w:t>
            </w:r>
          </w:p>
          <w:p>
            <w:pPr>
              <w:adjustRightInd w:val="0"/>
              <w:snapToGrid w:val="0"/>
              <w:rPr>
                <w:color w:val="auto"/>
              </w:rPr>
            </w:pPr>
            <w:r>
              <w:rPr>
                <w:rFonts w:hint="eastAsia"/>
                <w:color w:val="auto"/>
              </w:rPr>
              <w:t>3</w:t>
            </w:r>
            <w:r>
              <w:rPr>
                <w:color w:val="auto"/>
              </w:rPr>
              <w:t>、排污口、排放量及监测计划</w:t>
            </w:r>
          </w:p>
          <w:p>
            <w:pPr>
              <w:pStyle w:val="40"/>
              <w:rPr>
                <w:color w:val="auto"/>
              </w:rPr>
            </w:pPr>
            <w:r>
              <w:rPr>
                <w:color w:val="auto"/>
              </w:rPr>
              <w:t>表4-</w:t>
            </w:r>
            <w:r>
              <w:rPr>
                <w:rFonts w:hint="eastAsia"/>
                <w:color w:val="auto"/>
                <w:lang w:val="en-US" w:eastAsia="zh-CN"/>
              </w:rPr>
              <w:t>6</w:t>
            </w:r>
            <w:r>
              <w:rPr>
                <w:rFonts w:hint="eastAsia"/>
                <w:color w:val="auto"/>
              </w:rPr>
              <w:t xml:space="preserve">  </w:t>
            </w:r>
            <w:r>
              <w:rPr>
                <w:rFonts w:hint="eastAsia"/>
                <w:color w:val="auto"/>
                <w:lang w:val="en-US" w:eastAsia="zh-CN"/>
              </w:rPr>
              <w:t>全厂</w:t>
            </w:r>
            <w:r>
              <w:rPr>
                <w:color w:val="auto"/>
              </w:rPr>
              <w:t>排放口基本情况</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849"/>
              <w:gridCol w:w="1078"/>
              <w:gridCol w:w="1794"/>
              <w:gridCol w:w="1750"/>
              <w:gridCol w:w="584"/>
              <w:gridCol w:w="426"/>
              <w:gridCol w:w="431"/>
              <w:gridCol w:w="426"/>
            </w:tblGrid>
            <w:tr>
              <w:trPr>
                <w:trHeight w:val="23"/>
              </w:trPr>
              <w:tc>
                <w:tcPr>
                  <w:tcW w:w="2174" w:type="dxa"/>
                  <w:gridSpan w:val="2"/>
                  <w:vMerge w:val="restart"/>
                  <w:vAlign w:val="center"/>
                </w:tcPr>
                <w:p>
                  <w:pPr>
                    <w:pStyle w:val="39"/>
                    <w:rPr>
                      <w:color w:val="auto"/>
                    </w:rPr>
                  </w:pPr>
                  <w:r>
                    <w:rPr>
                      <w:color w:val="auto"/>
                    </w:rPr>
                    <w:t>编号及名称</w:t>
                  </w:r>
                </w:p>
              </w:tc>
              <w:tc>
                <w:tcPr>
                  <w:tcW w:w="4160" w:type="dxa"/>
                  <w:gridSpan w:val="2"/>
                  <w:vAlign w:val="center"/>
                </w:tcPr>
                <w:p>
                  <w:pPr>
                    <w:pStyle w:val="39"/>
                    <w:rPr>
                      <w:color w:val="auto"/>
                    </w:rPr>
                  </w:pPr>
                  <w:r>
                    <w:rPr>
                      <w:color w:val="auto"/>
                    </w:rPr>
                    <w:t>地理坐标</w:t>
                  </w:r>
                </w:p>
              </w:tc>
              <w:tc>
                <w:tcPr>
                  <w:vMerge w:val="restart"/>
                  <w:vAlign w:val="center"/>
                </w:tcPr>
                <w:p>
                  <w:pPr>
                    <w:pStyle w:val="39"/>
                    <w:rPr>
                      <w:color w:val="auto"/>
                    </w:rPr>
                  </w:pPr>
                  <w:r>
                    <w:rPr>
                      <w:color w:val="auto"/>
                    </w:rPr>
                    <w:t>排气筒内径/m</w:t>
                  </w:r>
                </w:p>
              </w:tc>
              <w:tc>
                <w:tcPr>
                  <w:vMerge w:val="restart"/>
                  <w:vAlign w:val="center"/>
                </w:tcPr>
                <w:p>
                  <w:pPr>
                    <w:pStyle w:val="39"/>
                    <w:rPr>
                      <w:color w:val="auto"/>
                    </w:rPr>
                  </w:pPr>
                  <w:r>
                    <w:rPr>
                      <w:color w:val="auto"/>
                    </w:rPr>
                    <w:t>高度</w:t>
                  </w:r>
                </w:p>
                <w:p>
                  <w:pPr>
                    <w:pStyle w:val="39"/>
                    <w:rPr>
                      <w:color w:val="auto"/>
                    </w:rPr>
                  </w:pPr>
                  <w:r>
                    <w:rPr>
                      <w:color w:val="auto"/>
                    </w:rPr>
                    <w:t>m</w:t>
                  </w:r>
                </w:p>
              </w:tc>
              <w:tc>
                <w:tcPr>
                  <w:vMerge w:val="restart"/>
                  <w:vAlign w:val="center"/>
                </w:tcPr>
                <w:p>
                  <w:pPr>
                    <w:pStyle w:val="39"/>
                    <w:rPr>
                      <w:color w:val="auto"/>
                    </w:rPr>
                  </w:pPr>
                  <w:r>
                    <w:rPr>
                      <w:color w:val="auto"/>
                    </w:rPr>
                    <w:t>温度</w:t>
                  </w:r>
                </w:p>
                <w:p>
                  <w:pPr>
                    <w:pStyle w:val="39"/>
                    <w:rPr>
                      <w:color w:val="auto"/>
                    </w:rPr>
                  </w:pPr>
                  <w:r>
                    <w:rPr>
                      <w:color w:val="auto"/>
                    </w:rPr>
                    <w:t>℃</w:t>
                  </w:r>
                </w:p>
              </w:tc>
              <w:tc>
                <w:tcPr>
                  <w:vMerge w:val="restart"/>
                  <w:vAlign w:val="center"/>
                </w:tcPr>
                <w:p>
                  <w:pPr>
                    <w:pStyle w:val="39"/>
                    <w:rPr>
                      <w:color w:val="auto"/>
                    </w:rPr>
                  </w:pPr>
                  <w:r>
                    <w:rPr>
                      <w:color w:val="auto"/>
                    </w:rPr>
                    <w:t>类型</w:t>
                  </w:r>
                </w:p>
              </w:tc>
            </w:tr>
            <w:tr>
              <w:trPr>
                <w:trHeight w:val="23"/>
              </w:trPr>
              <w:tc>
                <w:tcPr>
                  <w:tcW w:w="2174" w:type="dxa"/>
                  <w:gridSpan w:val="2"/>
                  <w:vMerge/>
                  <w:vAlign w:val="center"/>
                </w:tcPr>
                <w:p/>
              </w:tc>
              <w:tc>
                <w:tcPr>
                  <w:tcW w:w="2106" w:type="dxa"/>
                  <w:tcBorders>
                    <w:left w:val="single" w:sz="4" w:space="0" w:color="auto"/>
                  </w:tcBorders>
                  <w:vAlign w:val="center"/>
                </w:tcPr>
                <w:p>
                  <w:pPr>
                    <w:pStyle w:val="39"/>
                    <w:rPr>
                      <w:color w:val="auto"/>
                    </w:rPr>
                  </w:pPr>
                  <w:r>
                    <w:rPr>
                      <w:color w:val="auto"/>
                    </w:rPr>
                    <w:t>东经</w:t>
                  </w:r>
                </w:p>
              </w:tc>
              <w:tc>
                <w:tcPr>
                  <w:tcW w:w="2054" w:type="dxa"/>
                  <w:tcBorders>
                    <w:left w:val="single" w:sz="4" w:space="0" w:color="auto"/>
                  </w:tcBorders>
                  <w:vAlign w:val="center"/>
                </w:tcPr>
                <w:p>
                  <w:pPr>
                    <w:pStyle w:val="39"/>
                    <w:rPr>
                      <w:color w:val="auto"/>
                    </w:rPr>
                  </w:pPr>
                  <w:r>
                    <w:rPr>
                      <w:color w:val="auto"/>
                    </w:rPr>
                    <w:t>北纬</w:t>
                  </w:r>
                </w:p>
              </w:tc>
              <w:tc>
                <w:tcPr>
                  <w:vMerge/>
                  <w:tcBorders>
                    <w:left w:val="single" w:sz="4" w:space="0" w:color="auto"/>
                  </w:tcBorders>
                  <w:vAlign w:val="center"/>
                </w:tcPr>
                <w:p/>
              </w:tc>
              <w:tc>
                <w:tcPr>
                  <w:vMerge/>
                  <w:tcBorders>
                    <w:left w:val="single" w:sz="4" w:space="0" w:color="auto"/>
                  </w:tcBorders>
                  <w:vAlign w:val="center"/>
                </w:tcPr>
                <w:p/>
              </w:tc>
              <w:tc>
                <w:tcPr>
                  <w:vMerge/>
                  <w:tcBorders>
                    <w:left w:val="single" w:sz="4" w:space="0" w:color="auto"/>
                  </w:tcBorders>
                  <w:vAlign w:val="center"/>
                </w:tcPr>
                <w:p/>
              </w:tc>
              <w:tc>
                <w:tcPr>
                  <w:vMerge/>
                  <w:tcBorders>
                    <w:left w:val="single" w:sz="4" w:space="0" w:color="auto"/>
                  </w:tcBorders>
                  <w:vAlign w:val="center"/>
                </w:tcPr>
                <w:p/>
              </w:tc>
            </w:tr>
            <w:tr>
              <w:trPr>
                <w:trHeight w:val="23"/>
              </w:trPr>
              <w:tc>
                <w:tcPr>
                  <w:vAlign w:val="center"/>
                </w:tcPr>
                <w:p>
                  <w:pPr>
                    <w:pStyle w:val="39"/>
                    <w:rPr>
                      <w:rFonts w:eastAsia="宋体" w:hint="eastAsia"/>
                      <w:color w:val="auto"/>
                      <w:lang w:val="en-US" w:eastAsia="zh-CN"/>
                    </w:rPr>
                  </w:pPr>
                  <w:r>
                    <w:rPr>
                      <w:rFonts w:hint="eastAsia"/>
                      <w:color w:val="auto"/>
                      <w:lang w:val="en-US" w:eastAsia="zh-CN"/>
                    </w:rPr>
                    <w:t>中微量元素混合车间废气排气筒P1</w:t>
                  </w:r>
                </w:p>
              </w:tc>
              <w:tc>
                <w:tcPr>
                  <w:tcW w:w="1266" w:type="dxa"/>
                  <w:tcBorders>
                    <w:left w:val="single" w:sz="4" w:space="0" w:color="auto"/>
                  </w:tcBorders>
                  <w:vAlign w:val="center"/>
                </w:tcPr>
                <w:p>
                  <w:pPr>
                    <w:pStyle w:val="39"/>
                    <w:rPr>
                      <w:color w:val="auto"/>
                    </w:rPr>
                  </w:pPr>
                  <w:r>
                    <w:rPr>
                      <w:rFonts w:hint="eastAsia"/>
                      <w:color w:val="auto"/>
                    </w:rPr>
                    <w:t>颗粒物</w:t>
                  </w:r>
                </w:p>
              </w:tc>
              <w:tc>
                <w:tcPr>
                  <w:tcW w:w="2106" w:type="dxa"/>
                  <w:tcBorders>
                    <w:left w:val="single" w:sz="4" w:space="0" w:color="auto"/>
                  </w:tcBorders>
                  <w:vAlign w:val="center"/>
                </w:tcPr>
                <w:p>
                  <w:pPr>
                    <w:pStyle w:val="39"/>
                    <w:rPr>
                      <w:color w:val="auto"/>
                    </w:rPr>
                  </w:pPr>
                  <w:r>
                    <w:rPr>
                      <w:rFonts w:ascii="Times New Roman" w:eastAsia="宋体" w:cs="Times New Roman" w:hAnsi="Times New Roman"/>
                      <w:color w:val="auto"/>
                    </w:rPr>
                    <w:t>114°31'12.70</w:t>
                  </w:r>
                  <w:r>
                    <w:rPr>
                      <w:rFonts w:ascii="Times New Roman" w:eastAsia="宋体" w:cs="Times New Roman" w:hAnsi="Times New Roman"/>
                      <w:color w:val="auto"/>
                      <w:lang w:val="en-US" w:eastAsia="zh-CN"/>
                    </w:rPr>
                    <w:t>4</w:t>
                  </w:r>
                  <w:r>
                    <w:rPr>
                      <w:rFonts w:ascii="Times New Roman" w:eastAsia="宋体" w:cs="Times New Roman" w:hAnsi="Times New Roman"/>
                      <w:color w:val="auto"/>
                    </w:rPr>
                    <w:t>"</w:t>
                  </w:r>
                </w:p>
              </w:tc>
              <w:tc>
                <w:tcPr>
                  <w:tcW w:w="2054" w:type="dxa"/>
                  <w:tcBorders>
                    <w:left w:val="single" w:sz="4" w:space="0" w:color="auto"/>
                  </w:tcBorders>
                  <w:vAlign w:val="center"/>
                </w:tcPr>
                <w:p>
                  <w:pPr>
                    <w:pStyle w:val="39"/>
                    <w:rPr>
                      <w:color w:val="auto"/>
                    </w:rPr>
                  </w:pPr>
                  <w:r>
                    <w:rPr>
                      <w:rFonts w:ascii="Times New Roman" w:cs="Times New Roman" w:hAnsi="Times New Roman"/>
                      <w:color w:val="auto"/>
                    </w:rPr>
                    <w:t>37°53'18.5859"</w:t>
                  </w:r>
                </w:p>
              </w:tc>
              <w:tc>
                <w:tcPr>
                  <w:tcBorders>
                    <w:left w:val="single" w:sz="4" w:space="0" w:color="auto"/>
                  </w:tcBorders>
                  <w:vAlign w:val="center"/>
                </w:tcPr>
                <w:p>
                  <w:pPr>
                    <w:pStyle w:val="39"/>
                    <w:rPr>
                      <w:rFonts w:eastAsia="宋体"/>
                      <w:color w:val="auto"/>
                      <w:lang w:val="en-US" w:eastAsia="zh-CN"/>
                    </w:rPr>
                  </w:pPr>
                  <w:r>
                    <w:rPr>
                      <w:color w:val="auto"/>
                    </w:rPr>
                    <w:t>0.</w:t>
                  </w:r>
                  <w:r>
                    <w:rPr>
                      <w:rFonts w:hint="eastAsia"/>
                      <w:color w:val="auto"/>
                      <w:lang w:val="en-US" w:eastAsia="zh-CN"/>
                    </w:rPr>
                    <w:t>37</w:t>
                  </w:r>
                </w:p>
              </w:tc>
              <w:tc>
                <w:tcPr>
                  <w:tcBorders>
                    <w:left w:val="single" w:sz="4" w:space="0" w:color="auto"/>
                  </w:tcBorders>
                  <w:vAlign w:val="center"/>
                </w:tcPr>
                <w:p>
                  <w:pPr>
                    <w:pStyle w:val="39"/>
                    <w:rPr>
                      <w:rFonts w:eastAsia="宋体"/>
                      <w:color w:val="auto"/>
                      <w:lang w:val="en-US" w:eastAsia="zh-CN"/>
                    </w:rPr>
                  </w:pPr>
                  <w:r>
                    <w:rPr>
                      <w:rFonts w:hint="eastAsia"/>
                      <w:color w:val="auto"/>
                      <w:lang w:val="en-US" w:eastAsia="zh-CN"/>
                    </w:rPr>
                    <w:t>15</w:t>
                  </w:r>
                </w:p>
              </w:tc>
              <w:tc>
                <w:tcPr>
                  <w:tcBorders>
                    <w:left w:val="single" w:sz="4" w:space="0" w:color="auto"/>
                  </w:tcBorders>
                  <w:vAlign w:val="center"/>
                </w:tcPr>
                <w:p>
                  <w:pPr>
                    <w:pStyle w:val="39"/>
                    <w:rPr>
                      <w:color w:val="auto"/>
                    </w:rPr>
                  </w:pPr>
                  <w:r>
                    <w:rPr>
                      <w:color w:val="auto"/>
                    </w:rPr>
                    <w:t>同环境温度</w:t>
                  </w:r>
                </w:p>
              </w:tc>
              <w:tc>
                <w:tcPr>
                  <w:tcBorders>
                    <w:left w:val="single" w:sz="4" w:space="0" w:color="auto"/>
                  </w:tcBorders>
                  <w:vAlign w:val="center"/>
                </w:tcPr>
                <w:p>
                  <w:pPr>
                    <w:pStyle w:val="39"/>
                    <w:rPr>
                      <w:color w:val="auto"/>
                    </w:rPr>
                  </w:pPr>
                  <w:r>
                    <w:rPr>
                      <w:color w:val="auto"/>
                    </w:rPr>
                    <w:t>一般排放口</w:t>
                  </w:r>
                </w:p>
              </w:tc>
            </w:tr>
            <w:tr>
              <w:trPr>
                <w:trHeight w:val="23"/>
              </w:trPr>
              <w:tc>
                <w:tcPr>
                  <w:vAlign w:val="center"/>
                </w:tcPr>
                <w:p>
                  <w:pPr>
                    <w:pStyle w:val="39"/>
                    <w:rPr>
                      <w:color w:val="auto"/>
                    </w:rPr>
                  </w:pPr>
                  <w:r>
                    <w:rPr>
                      <w:rFonts w:hint="eastAsia"/>
                      <w:color w:val="auto"/>
                      <w:lang w:val="en-US" w:eastAsia="zh-CN"/>
                    </w:rPr>
                    <w:t>挤压造粒生产线车间排气筒P2</w:t>
                  </w:r>
                </w:p>
              </w:tc>
              <w:tc>
                <w:tcPr>
                  <w:tcW w:w="1266" w:type="dxa"/>
                  <w:tcBorders>
                    <w:left w:val="single" w:sz="4" w:space="0" w:color="auto"/>
                  </w:tcBorders>
                  <w:vAlign w:val="center"/>
                </w:tcPr>
                <w:p>
                  <w:pPr>
                    <w:pStyle w:val="39"/>
                    <w:rPr>
                      <w:rFonts w:eastAsia="宋体"/>
                      <w:color w:val="auto"/>
                      <w:lang w:val="en-US" w:eastAsia="zh-CN"/>
                    </w:rPr>
                  </w:pPr>
                  <w:r>
                    <w:rPr>
                      <w:rFonts w:hint="eastAsia"/>
                      <w:color w:val="auto"/>
                    </w:rPr>
                    <w:t>颗粒物</w:t>
                  </w:r>
                  <w:r>
                    <w:rPr>
                      <w:rFonts w:hint="eastAsia"/>
                      <w:color w:val="auto"/>
                      <w:lang w:eastAsia="zh-CN"/>
                    </w:rPr>
                    <w:t>、</w:t>
                  </w:r>
                  <w:r>
                    <w:rPr>
                      <w:rFonts w:hint="eastAsia"/>
                      <w:color w:val="auto"/>
                      <w:lang w:val="en-US" w:eastAsia="zh-CN"/>
                    </w:rPr>
                    <w:t>氨、臭气浓度、甲醛、非甲烷总烃</w:t>
                  </w:r>
                </w:p>
              </w:tc>
              <w:tc>
                <w:tcPr>
                  <w:tcW w:w="2106" w:type="dxa"/>
                  <w:tcBorders>
                    <w:left w:val="single" w:sz="4" w:space="0" w:color="auto"/>
                  </w:tcBorders>
                  <w:vAlign w:val="center"/>
                </w:tcPr>
                <w:p>
                  <w:pPr>
                    <w:pStyle w:val="39"/>
                    <w:rPr>
                      <w:color w:val="auto"/>
                    </w:rPr>
                  </w:pPr>
                  <w:r>
                    <w:rPr>
                      <w:color w:val="auto"/>
                    </w:rPr>
                    <w:t>114°3</w:t>
                  </w:r>
                  <w:r>
                    <w:rPr>
                      <w:rFonts w:hint="eastAsia"/>
                      <w:color w:val="auto"/>
                      <w:lang w:val="en-US" w:eastAsia="zh-CN"/>
                    </w:rPr>
                    <w:t>0</w:t>
                  </w:r>
                  <w:r>
                    <w:rPr>
                      <w:color w:val="auto"/>
                    </w:rPr>
                    <w:t>′</w:t>
                  </w:r>
                  <w:r>
                    <w:rPr>
                      <w:rFonts w:hint="eastAsia"/>
                      <w:color w:val="auto"/>
                      <w:lang w:val="en-US" w:eastAsia="zh-CN"/>
                    </w:rPr>
                    <w:t>46.177</w:t>
                  </w:r>
                  <w:r>
                    <w:rPr>
                      <w:color w:val="auto"/>
                    </w:rPr>
                    <w:t>″</w:t>
                  </w:r>
                </w:p>
              </w:tc>
              <w:tc>
                <w:tcPr>
                  <w:tcW w:w="2054" w:type="dxa"/>
                  <w:tcBorders>
                    <w:left w:val="single" w:sz="4" w:space="0" w:color="auto"/>
                  </w:tcBorders>
                  <w:vAlign w:val="center"/>
                </w:tcPr>
                <w:p>
                  <w:pPr>
                    <w:pStyle w:val="39"/>
                    <w:rPr>
                      <w:color w:val="auto"/>
                    </w:rPr>
                  </w:pPr>
                  <w:r>
                    <w:rPr>
                      <w:color w:val="auto"/>
                    </w:rPr>
                    <w:t>37°5</w:t>
                  </w:r>
                  <w:r>
                    <w:rPr>
                      <w:rFonts w:hint="eastAsia"/>
                      <w:color w:val="auto"/>
                      <w:lang w:val="en-US" w:eastAsia="zh-CN"/>
                    </w:rPr>
                    <w:t>3</w:t>
                  </w:r>
                  <w:r>
                    <w:rPr>
                      <w:color w:val="auto"/>
                    </w:rPr>
                    <w:t>′</w:t>
                  </w:r>
                  <w:r>
                    <w:rPr>
                      <w:rFonts w:hint="eastAsia"/>
                      <w:color w:val="auto"/>
                      <w:lang w:val="en-US" w:eastAsia="zh-CN"/>
                    </w:rPr>
                    <w:t>16.425</w:t>
                  </w:r>
                  <w:r>
                    <w:rPr>
                      <w:color w:val="auto"/>
                    </w:rPr>
                    <w:t>″</w:t>
                  </w:r>
                </w:p>
              </w:tc>
              <w:tc>
                <w:tcPr>
                  <w:tcBorders>
                    <w:left w:val="single" w:sz="4" w:space="0" w:color="auto"/>
                  </w:tcBorders>
                  <w:vAlign w:val="center"/>
                </w:tcPr>
                <w:p>
                  <w:pPr>
                    <w:pStyle w:val="39"/>
                    <w:rPr>
                      <w:rFonts w:eastAsia="宋体"/>
                      <w:color w:val="auto"/>
                      <w:lang w:val="en-US" w:eastAsia="zh-CN"/>
                    </w:rPr>
                  </w:pPr>
                  <w:r>
                    <w:rPr>
                      <w:rFonts w:hint="eastAsia"/>
                      <w:color w:val="auto"/>
                    </w:rPr>
                    <w:t>0.</w:t>
                  </w:r>
                  <w:r>
                    <w:rPr>
                      <w:rFonts w:hint="eastAsia"/>
                      <w:color w:val="auto"/>
                      <w:lang w:val="en-US" w:eastAsia="zh-CN"/>
                    </w:rPr>
                    <w:t>8</w:t>
                  </w:r>
                </w:p>
              </w:tc>
              <w:tc>
                <w:tcPr>
                  <w:tcBorders>
                    <w:left w:val="single" w:sz="4" w:space="0" w:color="auto"/>
                  </w:tcBorders>
                  <w:vAlign w:val="center"/>
                </w:tcPr>
                <w:p>
                  <w:pPr>
                    <w:pStyle w:val="39"/>
                    <w:rPr>
                      <w:rFonts w:eastAsia="宋体"/>
                      <w:color w:val="auto"/>
                      <w:lang w:val="en-US" w:eastAsia="zh-CN"/>
                    </w:rPr>
                  </w:pPr>
                  <w:r>
                    <w:rPr>
                      <w:rFonts w:hint="eastAsia"/>
                      <w:color w:val="auto"/>
                      <w:lang w:val="en-US" w:eastAsia="zh-CN"/>
                    </w:rPr>
                    <w:t>15</w:t>
                  </w:r>
                </w:p>
              </w:tc>
              <w:tc>
                <w:tcPr>
                  <w:tcBorders>
                    <w:left w:val="single" w:sz="4" w:space="0" w:color="auto"/>
                  </w:tcBorders>
                  <w:vAlign w:val="center"/>
                </w:tcPr>
                <w:p>
                  <w:pPr>
                    <w:pStyle w:val="39"/>
                    <w:rPr>
                      <w:color w:val="auto"/>
                    </w:rPr>
                  </w:pPr>
                  <w:r>
                    <w:rPr>
                      <w:color w:val="auto"/>
                    </w:rPr>
                    <w:t>同环境温度</w:t>
                  </w:r>
                </w:p>
              </w:tc>
              <w:tc>
                <w:tcPr>
                  <w:tcBorders>
                    <w:left w:val="single" w:sz="4" w:space="0" w:color="auto"/>
                  </w:tcBorders>
                  <w:vAlign w:val="center"/>
                </w:tcPr>
                <w:p>
                  <w:pPr>
                    <w:pStyle w:val="39"/>
                    <w:rPr>
                      <w:color w:val="auto"/>
                    </w:rPr>
                  </w:pPr>
                  <w:r>
                    <w:rPr>
                      <w:rFonts w:hint="eastAsia"/>
                      <w:color w:val="auto"/>
                      <w:lang w:val="en-US" w:eastAsia="zh-CN"/>
                    </w:rPr>
                    <w:t>主要</w:t>
                  </w:r>
                  <w:r>
                    <w:rPr>
                      <w:color w:val="auto"/>
                    </w:rPr>
                    <w:t>排放口</w:t>
                  </w:r>
                </w:p>
              </w:tc>
            </w:tr>
            <w:tr>
              <w:trPr>
                <w:trHeight w:val="23"/>
              </w:trPr>
              <w:tc>
                <w:tcPr>
                  <w:vAlign w:val="center"/>
                </w:tcPr>
                <w:p>
                  <w:pPr>
                    <w:pStyle w:val="39"/>
                    <w:rPr>
                      <w:color w:val="auto"/>
                      <w:lang w:val="en-US" w:eastAsia="zh-CN"/>
                    </w:rPr>
                  </w:pPr>
                  <w:r>
                    <w:rPr>
                      <w:rFonts w:hint="eastAsia"/>
                      <w:color w:val="auto"/>
                      <w:lang w:val="en-US" w:eastAsia="zh-CN"/>
                    </w:rPr>
                    <w:t>挤压造粒生产线车间烘干排气筒P3</w:t>
                  </w:r>
                </w:p>
              </w:tc>
              <w:tc>
                <w:tcPr>
                  <w:tcW w:w="1266"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颗粒物、氨、臭气浓度、甲醛、二氧化硫、氮氧化物</w:t>
                  </w:r>
                </w:p>
              </w:tc>
              <w:tc>
                <w:tcPr>
                  <w:tcW w:w="2106"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114°3</w:t>
                  </w:r>
                  <w:r>
                    <w:rPr>
                      <w:rFonts w:hint="eastAsia"/>
                      <w:color w:val="auto"/>
                      <w:lang w:val="en-US" w:eastAsia="zh-CN"/>
                    </w:rPr>
                    <w:t>0</w:t>
                  </w:r>
                  <w:r>
                    <w:rPr>
                      <w:color w:val="auto"/>
                    </w:rPr>
                    <w:t>′</w:t>
                  </w:r>
                  <w:r>
                    <w:rPr>
                      <w:rFonts w:hint="eastAsia"/>
                      <w:color w:val="auto"/>
                      <w:lang w:val="en-US" w:eastAsia="zh-CN"/>
                    </w:rPr>
                    <w:t>46.119</w:t>
                  </w:r>
                  <w:r>
                    <w:rPr>
                      <w:color w:val="auto"/>
                    </w:rPr>
                    <w:t>″</w:t>
                  </w:r>
                </w:p>
              </w:tc>
              <w:tc>
                <w:tcPr>
                  <w:tcW w:w="205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37°5</w:t>
                  </w:r>
                  <w:r>
                    <w:rPr>
                      <w:rFonts w:hint="eastAsia"/>
                      <w:color w:val="auto"/>
                      <w:lang w:val="en-US" w:eastAsia="zh-CN"/>
                    </w:rPr>
                    <w:t>3</w:t>
                  </w:r>
                  <w:r>
                    <w:rPr>
                      <w:color w:val="auto"/>
                    </w:rPr>
                    <w:t>′</w:t>
                  </w:r>
                  <w:r>
                    <w:rPr>
                      <w:rFonts w:hint="eastAsia"/>
                      <w:color w:val="auto"/>
                      <w:lang w:val="en-US" w:eastAsia="zh-CN"/>
                    </w:rPr>
                    <w:t>16.134</w:t>
                  </w:r>
                  <w:r>
                    <w:rPr>
                      <w:color w:val="auto"/>
                    </w:rPr>
                    <w:t>″</w:t>
                  </w:r>
                </w:p>
              </w:tc>
              <w:tc>
                <w:tcPr>
                  <w:tcBorders>
                    <w:left w:val="single" w:sz="4" w:space="0" w:color="auto"/>
                  </w:tcBorders>
                  <w:vAlign w:val="center"/>
                </w:tcPr>
                <w:p>
                  <w:pPr>
                    <w:pStyle w:val="39"/>
                    <w:rPr>
                      <w:rFonts w:eastAsia="宋体"/>
                      <w:color w:val="auto"/>
                      <w:lang w:val="en-US" w:eastAsia="zh-CN"/>
                    </w:rPr>
                  </w:pPr>
                  <w:r>
                    <w:rPr>
                      <w:rFonts w:hint="eastAsia"/>
                      <w:color w:val="auto"/>
                      <w:lang w:val="en-US" w:eastAsia="zh-CN"/>
                    </w:rPr>
                    <w:t>0.6</w:t>
                  </w:r>
                </w:p>
              </w:tc>
              <w:tc>
                <w:tcPr>
                  <w:tcBorders>
                    <w:left w:val="single" w:sz="4" w:space="0" w:color="auto"/>
                  </w:tcBorders>
                  <w:vAlign w:val="center"/>
                </w:tcPr>
                <w:p>
                  <w:pPr>
                    <w:pStyle w:val="39"/>
                    <w:rPr>
                      <w:rFonts w:eastAsia="宋体"/>
                      <w:color w:val="auto"/>
                      <w:lang w:val="en-US" w:eastAsia="zh-CN"/>
                    </w:rPr>
                  </w:pPr>
                  <w:r>
                    <w:rPr>
                      <w:rFonts w:hint="eastAsia"/>
                      <w:color w:val="auto"/>
                      <w:lang w:val="en-US" w:eastAsia="zh-CN"/>
                    </w:rPr>
                    <w:t>15</w:t>
                  </w:r>
                </w:p>
              </w:tc>
              <w:tc>
                <w:tcPr>
                  <w:tcBorders>
                    <w:left w:val="single" w:sz="4" w:space="0" w:color="auto"/>
                  </w:tcBorders>
                  <w:vAlign w:val="center"/>
                </w:tcPr>
                <w:p>
                  <w:pPr>
                    <w:pStyle w:val="39"/>
                    <w:rPr>
                      <w:color w:val="auto"/>
                    </w:rPr>
                  </w:pPr>
                  <w:r>
                    <w:rPr>
                      <w:color w:val="auto"/>
                    </w:rPr>
                    <w:t>同环境温度</w:t>
                  </w:r>
                </w:p>
              </w:tc>
              <w:tc>
                <w:tcPr>
                  <w:tcBorders>
                    <w:left w:val="single" w:sz="4" w:space="0" w:color="auto"/>
                  </w:tcBorders>
                  <w:vAlign w:val="center"/>
                </w:tcPr>
                <w:p>
                  <w:pPr>
                    <w:pStyle w:val="39"/>
                    <w:rPr>
                      <w:color w:val="auto"/>
                    </w:rPr>
                  </w:pPr>
                  <w:r>
                    <w:rPr>
                      <w:rFonts w:hint="eastAsia"/>
                      <w:color w:val="auto"/>
                      <w:lang w:val="en-US" w:eastAsia="zh-CN"/>
                    </w:rPr>
                    <w:t>主要</w:t>
                  </w:r>
                  <w:r>
                    <w:rPr>
                      <w:color w:val="auto"/>
                    </w:rPr>
                    <w:t>排放口</w:t>
                  </w:r>
                </w:p>
              </w:tc>
            </w:tr>
            <w:tr>
              <w:trPr>
                <w:trHeight w:val="23"/>
              </w:trPr>
              <w:tc>
                <w:tcPr>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化验室废气排气筒P4</w:t>
                  </w:r>
                </w:p>
              </w:tc>
              <w:tc>
                <w:tcPr>
                  <w:tcW w:w="1266" w:type="dxa"/>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氯化氢、硫酸雾、氮氧化物、非甲烷总烃</w:t>
                  </w:r>
                </w:p>
              </w:tc>
              <w:tc>
                <w:tcPr>
                  <w:tcW w:w="2106" w:type="dxa"/>
                  <w:tcBorders>
                    <w:left w:val="single" w:sz="4" w:space="0" w:color="auto"/>
                  </w:tcBorders>
                  <w:shd w:val="clear" w:color="auto" w:fill="auto"/>
                  <w:vAlign w:val="center"/>
                </w:tcPr>
                <w:p>
                  <w:pPr>
                    <w:pStyle w:val="39"/>
                    <w:ind w:firstLine="0"/>
                    <w:rPr>
                      <w:rFonts w:ascii="Times New Roman" w:cs="Times New Roman" w:hAnsi="Times New Roman"/>
                      <w:color w:val="auto"/>
                      <w:highlight w:val="none"/>
                    </w:rPr>
                  </w:pPr>
                  <w:r>
                    <w:rPr>
                      <w:rFonts w:ascii="Times New Roman" w:cs="Times New Roman" w:hAnsi="Times New Roman"/>
                      <w:color w:val="auto"/>
                      <w:highlight w:val="none"/>
                    </w:rPr>
                    <w:t>114°31'6.55</w:t>
                  </w:r>
                  <w:r>
                    <w:rPr>
                      <w:rFonts w:cs="Times New Roman" w:hint="eastAsia"/>
                      <w:color w:val="auto"/>
                      <w:lang w:val="en-US" w:eastAsia="zh-CN"/>
                      <w:highlight w:val="none"/>
                    </w:rPr>
                    <w:t>9</w:t>
                  </w:r>
                  <w:r>
                    <w:rPr>
                      <w:rFonts w:ascii="Times New Roman" w:cs="Times New Roman" w:hAnsi="Times New Roman"/>
                      <w:color w:val="auto"/>
                      <w:highlight w:val="none"/>
                    </w:rPr>
                    <w:t>"</w:t>
                  </w:r>
                </w:p>
              </w:tc>
              <w:tc>
                <w:tcPr>
                  <w:tcW w:w="2054" w:type="dxa"/>
                  <w:tcBorders>
                    <w:left w:val="single" w:sz="4" w:space="0" w:color="auto"/>
                  </w:tcBorders>
                  <w:shd w:val="clear" w:color="auto" w:fill="auto"/>
                  <w:vAlign w:val="center"/>
                </w:tcPr>
                <w:p>
                  <w:pPr>
                    <w:pStyle w:val="39"/>
                    <w:ind w:firstLine="0"/>
                    <w:rPr>
                      <w:rFonts w:ascii="Times New Roman" w:cs="Times New Roman" w:hAnsi="Times New Roman"/>
                      <w:color w:val="auto"/>
                      <w:highlight w:val="none"/>
                    </w:rPr>
                  </w:pPr>
                  <w:r>
                    <w:rPr>
                      <w:rFonts w:ascii="Times New Roman" w:cs="Times New Roman" w:hAnsi="Times New Roman"/>
                      <w:color w:val="auto"/>
                      <w:highlight w:val="none"/>
                    </w:rPr>
                    <w:t>37°53'20.356"</w:t>
                  </w:r>
                </w:p>
              </w:tc>
              <w:tc>
                <w:tcPr>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0.15</w:t>
                  </w:r>
                </w:p>
              </w:tc>
              <w:tc>
                <w:tcPr>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15</w:t>
                  </w:r>
                </w:p>
              </w:tc>
              <w:tc>
                <w:tcPr>
                  <w:tcBorders>
                    <w:left w:val="single" w:sz="4" w:space="0" w:color="auto"/>
                  </w:tcBorders>
                  <w:vAlign w:val="center"/>
                </w:tcPr>
                <w:p>
                  <w:pPr>
                    <w:pStyle w:val="39"/>
                    <w:rPr>
                      <w:color w:val="auto"/>
                      <w:highlight w:val="none"/>
                    </w:rPr>
                  </w:pPr>
                  <w:r>
                    <w:rPr>
                      <w:color w:val="auto"/>
                      <w:highlight w:val="none"/>
                    </w:rPr>
                    <w:t>同环境温度</w:t>
                  </w:r>
                </w:p>
              </w:tc>
              <w:tc>
                <w:tcPr>
                  <w:tcBorders>
                    <w:left w:val="single" w:sz="4" w:space="0" w:color="auto"/>
                  </w:tcBorders>
                  <w:vAlign w:val="center"/>
                </w:tcPr>
                <w:p>
                  <w:pPr>
                    <w:pStyle w:val="39"/>
                    <w:rPr>
                      <w:rFonts w:hint="eastAsia"/>
                      <w:color w:val="auto"/>
                      <w:lang w:val="en-US" w:eastAsia="zh-CN"/>
                      <w:highlight w:val="none"/>
                    </w:rPr>
                  </w:pPr>
                  <w:r>
                    <w:rPr>
                      <w:rFonts w:hint="eastAsia"/>
                      <w:color w:val="auto"/>
                      <w:lang w:val="en-US" w:eastAsia="zh-CN"/>
                      <w:highlight w:val="none"/>
                    </w:rPr>
                    <w:t>一般排放口</w:t>
                  </w:r>
                </w:p>
              </w:tc>
            </w:tr>
          </w:tbl>
          <w:p>
            <w:pPr>
              <w:pStyle w:val="40"/>
              <w:rPr>
                <w:color w:val="auto"/>
              </w:rPr>
            </w:pPr>
            <w:r>
              <w:rPr>
                <w:color w:val="auto"/>
              </w:rPr>
              <w:t>表4-</w:t>
            </w:r>
            <w:r>
              <w:rPr>
                <w:rFonts w:hint="eastAsia"/>
                <w:color w:val="auto"/>
                <w:lang w:val="en-US" w:eastAsia="zh-CN"/>
              </w:rPr>
              <w:t>7</w:t>
            </w:r>
            <w:r>
              <w:rPr>
                <w:rFonts w:hint="eastAsia"/>
                <w:color w:val="auto"/>
              </w:rPr>
              <w:t xml:space="preserve">  </w:t>
            </w:r>
            <w:r>
              <w:rPr>
                <w:rFonts w:hint="eastAsia"/>
                <w:color w:val="auto"/>
                <w:lang w:val="en-US" w:eastAsia="zh-CN"/>
              </w:rPr>
              <w:t>全厂</w:t>
            </w:r>
            <w:r>
              <w:rPr>
                <w:color w:val="auto"/>
              </w:rPr>
              <w:t>大气污染物有组织排放量核算表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505"/>
              <w:gridCol w:w="2893"/>
              <w:gridCol w:w="1505"/>
              <w:gridCol w:w="1096"/>
              <w:gridCol w:w="1156"/>
              <w:gridCol w:w="1173"/>
            </w:tblGrid>
            <w:tr>
              <w:trPr>
                <w:trHeight w:val="474"/>
              </w:trPr>
              <w:tc>
                <w:tcPr>
                  <w:tcW w:w="303" w:type="pct"/>
                  <w:vAlign w:val="center"/>
                </w:tcPr>
                <w:p>
                  <w:pPr>
                    <w:pStyle w:val="39"/>
                    <w:rPr>
                      <w:color w:val="auto"/>
                    </w:rPr>
                  </w:pPr>
                  <w:r>
                    <w:rPr>
                      <w:color w:val="auto"/>
                    </w:rPr>
                    <w:t>序号</w:t>
                  </w:r>
                </w:p>
              </w:tc>
              <w:tc>
                <w:tcPr>
                  <w:tcW w:w="1736" w:type="pct"/>
                  <w:vAlign w:val="center"/>
                </w:tcPr>
                <w:p>
                  <w:pPr>
                    <w:pStyle w:val="39"/>
                    <w:rPr>
                      <w:color w:val="auto"/>
                    </w:rPr>
                  </w:pPr>
                  <w:r>
                    <w:rPr>
                      <w:color w:val="auto"/>
                    </w:rPr>
                    <w:t>排放口编号</w:t>
                  </w:r>
                </w:p>
              </w:tc>
              <w:tc>
                <w:tcPr>
                  <w:tcW w:w="903" w:type="pct"/>
                  <w:vAlign w:val="center"/>
                </w:tcPr>
                <w:p>
                  <w:pPr>
                    <w:pStyle w:val="39"/>
                    <w:rPr>
                      <w:color w:val="auto"/>
                    </w:rPr>
                  </w:pPr>
                  <w:r>
                    <w:rPr>
                      <w:color w:val="auto"/>
                    </w:rPr>
                    <w:t>污染物</w:t>
                  </w:r>
                </w:p>
              </w:tc>
              <w:tc>
                <w:tcPr>
                  <w:tcW w:w="658" w:type="pct"/>
                  <w:vAlign w:val="center"/>
                </w:tcPr>
                <w:p>
                  <w:pPr>
                    <w:pStyle w:val="39"/>
                    <w:rPr>
                      <w:color w:val="auto"/>
                    </w:rPr>
                  </w:pPr>
                  <w:r>
                    <w:rPr>
                      <w:color w:val="auto"/>
                    </w:rPr>
                    <w:t>核算排放浓度/（mg/</w:t>
                  </w:r>
                  <w:r>
                    <w:rPr>
                      <w:rFonts w:hint="eastAsia"/>
                      <w:color w:val="auto"/>
                    </w:rPr>
                    <w:t>m³</w:t>
                  </w:r>
                  <w:r>
                    <w:rPr>
                      <w:color w:val="auto"/>
                    </w:rPr>
                    <w:t>）</w:t>
                  </w:r>
                </w:p>
              </w:tc>
              <w:tc>
                <w:tcPr>
                  <w:tcW w:w="694" w:type="pct"/>
                  <w:vAlign w:val="center"/>
                </w:tcPr>
                <w:p>
                  <w:pPr>
                    <w:pStyle w:val="39"/>
                    <w:rPr>
                      <w:color w:val="auto"/>
                    </w:rPr>
                  </w:pPr>
                  <w:r>
                    <w:rPr>
                      <w:color w:val="auto"/>
                    </w:rPr>
                    <w:t>核算排放速率/（kg/h）</w:t>
                  </w:r>
                </w:p>
              </w:tc>
              <w:tc>
                <w:tcPr>
                  <w:tcW w:w="704" w:type="pct"/>
                  <w:vAlign w:val="center"/>
                </w:tcPr>
                <w:p>
                  <w:pPr>
                    <w:pStyle w:val="39"/>
                    <w:rPr>
                      <w:color w:val="auto"/>
                    </w:rPr>
                  </w:pPr>
                  <w:r>
                    <w:rPr>
                      <w:color w:val="auto"/>
                    </w:rPr>
                    <w:t>核算年排放量/（t/a）</w:t>
                  </w:r>
                </w:p>
              </w:tc>
            </w:tr>
            <w:tr>
              <w:trPr>
                <w:trHeight w:val="340"/>
              </w:trPr>
              <w:tc>
                <w:tcPr>
                  <w:tcW w:w="303" w:type="pct"/>
                  <w:vAlign w:val="center"/>
                </w:tcPr>
                <w:p>
                  <w:pPr>
                    <w:pStyle w:val="39"/>
                    <w:rPr>
                      <w:color w:val="auto"/>
                    </w:rPr>
                  </w:pPr>
                  <w:r>
                    <w:rPr>
                      <w:rFonts w:hint="eastAsia"/>
                      <w:color w:val="auto"/>
                    </w:rPr>
                    <w:t>1</w:t>
                  </w:r>
                </w:p>
              </w:tc>
              <w:tc>
                <w:tcPr>
                  <w:tcW w:w="1736" w:type="pct"/>
                  <w:tcBorders>
                    <w:left w:val="single" w:sz="4" w:space="0" w:color="auto"/>
                  </w:tcBorders>
                  <w:vAlign w:val="center"/>
                </w:tcPr>
                <w:p>
                  <w:pPr>
                    <w:pStyle w:val="39"/>
                    <w:rPr>
                      <w:color w:val="auto"/>
                      <w:lang w:val="en-US" w:eastAsia="zh-CN"/>
                    </w:rPr>
                  </w:pPr>
                  <w:r>
                    <w:rPr>
                      <w:rFonts w:hint="eastAsia"/>
                      <w:color w:val="auto"/>
                      <w:lang w:val="en-US" w:eastAsia="zh-CN"/>
                    </w:rPr>
                    <w:t>中微量元素混合车间排气筒（P1）</w:t>
                  </w:r>
                </w:p>
              </w:tc>
              <w:tc>
                <w:tcPr>
                  <w:tcW w:w="903" w:type="pct"/>
                  <w:tcBorders>
                    <w:left w:val="single" w:sz="4" w:space="0" w:color="auto"/>
                  </w:tcBorders>
                  <w:vAlign w:val="center"/>
                </w:tcPr>
                <w:p>
                  <w:pPr>
                    <w:pStyle w:val="39"/>
                    <w:rPr>
                      <w:color w:val="auto"/>
                    </w:rPr>
                  </w:pPr>
                  <w:r>
                    <w:rPr>
                      <w:rFonts w:hint="eastAsia"/>
                      <w:color w:val="auto"/>
                    </w:rPr>
                    <w:t>颗粒物</w:t>
                  </w:r>
                </w:p>
              </w:tc>
              <w:tc>
                <w:tcPr>
                  <w:tcW w:w="658" w:type="pct"/>
                  <w:tcBorders>
                    <w:left w:val="single" w:sz="4" w:space="0" w:color="auto"/>
                  </w:tcBorders>
                  <w:vAlign w:val="center"/>
                </w:tcPr>
                <w:p>
                  <w:pPr>
                    <w:pStyle w:val="39"/>
                    <w:ind w:firstLine="0"/>
                    <w:rPr>
                      <w:rFonts w:eastAsia="宋体"/>
                      <w:color w:val="auto"/>
                      <w:lang w:val="en-US" w:eastAsia="zh-CN"/>
                    </w:rPr>
                  </w:pPr>
                  <w:r>
                    <w:rPr>
                      <w:rFonts w:hint="eastAsia"/>
                      <w:color w:val="auto"/>
                      <w:lang w:val="en-US" w:eastAsia="zh-CN"/>
                    </w:rPr>
                    <w:t>9.2</w:t>
                  </w:r>
                </w:p>
              </w:tc>
              <w:tc>
                <w:tcPr>
                  <w:tcW w:w="694" w:type="pct"/>
                  <w:tcBorders>
                    <w:left w:val="single" w:sz="4" w:space="0" w:color="auto"/>
                  </w:tcBorders>
                  <w:vAlign w:val="center"/>
                </w:tcPr>
                <w:p>
                  <w:pPr>
                    <w:pStyle w:val="39"/>
                    <w:ind w:firstLine="0"/>
                    <w:rPr>
                      <w:rFonts w:eastAsia="宋体"/>
                      <w:color w:val="auto"/>
                      <w:lang w:val="en-US" w:eastAsia="zh-CN"/>
                    </w:rPr>
                  </w:pPr>
                  <w:r>
                    <w:rPr>
                      <w:rFonts w:hint="eastAsia"/>
                      <w:color w:val="auto"/>
                      <w:lang w:val="en-US" w:eastAsia="zh-CN"/>
                    </w:rPr>
                    <w:t>0.055</w:t>
                  </w:r>
                </w:p>
              </w:tc>
              <w:tc>
                <w:tcPr>
                  <w:tcW w:w="704" w:type="pct"/>
                  <w:tcBorders>
                    <w:left w:val="single" w:sz="4" w:space="0" w:color="auto"/>
                  </w:tcBorders>
                  <w:vAlign w:val="center"/>
                </w:tcPr>
                <w:p>
                  <w:pPr>
                    <w:pStyle w:val="39"/>
                    <w:ind w:firstLine="0"/>
                    <w:rPr>
                      <w:rFonts w:eastAsia="宋体"/>
                      <w:color w:val="auto"/>
                      <w:lang w:val="en-US" w:eastAsia="zh-CN"/>
                    </w:rPr>
                  </w:pPr>
                  <w:r>
                    <w:rPr>
                      <w:rFonts w:hint="eastAsia"/>
                      <w:color w:val="auto"/>
                      <w:lang w:val="en-US" w:eastAsia="zh-CN"/>
                    </w:rPr>
                    <w:t>0.266</w:t>
                  </w:r>
                </w:p>
              </w:tc>
            </w:tr>
            <w:tr>
              <w:trPr>
                <w:trHeight w:val="340"/>
              </w:trPr>
              <w:tc>
                <w:tcPr>
                  <w:tcW w:w="303" w:type="pct"/>
                  <w:vMerge w:val="restart"/>
                  <w:vAlign w:val="center"/>
                </w:tcPr>
                <w:p>
                  <w:pPr>
                    <w:pStyle w:val="39"/>
                    <w:rPr>
                      <w:color w:val="auto"/>
                    </w:rPr>
                  </w:pPr>
                  <w:r>
                    <w:rPr>
                      <w:rFonts w:hint="eastAsia"/>
                      <w:color w:val="auto"/>
                    </w:rPr>
                    <w:t>2</w:t>
                  </w:r>
                </w:p>
              </w:tc>
              <w:tc>
                <w:tcPr>
                  <w:tcW w:w="1736" w:type="pct"/>
                  <w:vMerge w:val="restart"/>
                  <w:tcBorders>
                    <w:left w:val="single" w:sz="4" w:space="0" w:color="auto"/>
                  </w:tcBorders>
                  <w:vAlign w:val="center"/>
                </w:tcPr>
                <w:p>
                  <w:pPr>
                    <w:pStyle w:val="39"/>
                    <w:rPr>
                      <w:color w:val="auto"/>
                      <w:lang w:val="en-US" w:eastAsia="zh-CN"/>
                    </w:rPr>
                  </w:pPr>
                  <w:r>
                    <w:rPr>
                      <w:color w:val="auto"/>
                      <w:lang w:val="en-US" w:eastAsia="zh-CN"/>
                    </w:rPr>
                    <w:t>挤压造粒生产线车间排气筒（P</w:t>
                  </w:r>
                  <w:r>
                    <w:rPr>
                      <w:rFonts w:hint="eastAsia"/>
                      <w:color w:val="auto"/>
                      <w:lang w:val="en-US" w:eastAsia="zh-CN"/>
                    </w:rPr>
                    <w:t>2</w:t>
                  </w:r>
                  <w:r>
                    <w:rPr>
                      <w:color w:val="auto"/>
                      <w:lang w:val="en-US" w:eastAsia="zh-CN"/>
                    </w:rPr>
                    <w:t>）</w:t>
                  </w:r>
                </w:p>
              </w:tc>
              <w:tc>
                <w:tcPr>
                  <w:tcW w:w="903" w:type="pct"/>
                  <w:tcBorders>
                    <w:left w:val="single" w:sz="4" w:space="0" w:color="auto"/>
                  </w:tcBorders>
                  <w:vAlign w:val="center"/>
                </w:tcPr>
                <w:p>
                  <w:pPr>
                    <w:pStyle w:val="39"/>
                    <w:rPr>
                      <w:color w:val="auto"/>
                    </w:rPr>
                  </w:pPr>
                  <w:r>
                    <w:rPr>
                      <w:rFonts w:hint="eastAsia"/>
                      <w:color w:val="auto"/>
                    </w:rPr>
                    <w:t>颗粒物</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5.9</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0.166</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0.798</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氨</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0.54</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0.015</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0.073</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臭气浓度</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977无量纲</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vAlign w:val="center"/>
                </w:tcPr>
                <w:p>
                  <w:pPr>
                    <w:pStyle w:val="39"/>
                    <w:rPr>
                      <w:color w:val="auto"/>
                      <w:lang w:val="en-US" w:eastAsia="zh-CN"/>
                    </w:rPr>
                  </w:pPr>
                  <w:r>
                    <w:rPr>
                      <w:rFonts w:hint="eastAsia"/>
                      <w:color w:val="auto"/>
                      <w:lang w:val="en-US" w:eastAsia="zh-CN"/>
                    </w:rPr>
                    <w:t>甲醛</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highlight w:val="none"/>
                    </w:rPr>
                    <w:t>0.0014</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highlight w:val="none"/>
                    </w:rPr>
                    <w:t>0.00004</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highlight w:val="none"/>
                    </w:rPr>
                    <w:t>0.00019</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vAlign w:val="center"/>
                </w:tcPr>
                <w:p>
                  <w:pPr>
                    <w:pStyle w:val="39"/>
                    <w:rPr>
                      <w:color w:val="auto"/>
                      <w:lang w:val="en-US" w:eastAsia="zh-CN"/>
                    </w:rPr>
                  </w:pPr>
                  <w:r>
                    <w:rPr>
                      <w:rFonts w:hint="eastAsia"/>
                      <w:color w:val="auto"/>
                      <w:lang w:val="en-US" w:eastAsia="zh-CN"/>
                    </w:rPr>
                    <w:t>非甲烷总烃</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highlight w:val="none"/>
                    </w:rPr>
                    <w:t>1.59</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highlight w:val="none"/>
                    </w:rPr>
                    <w:t>0.045</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highlight w:val="none"/>
                    </w:rPr>
                    <w:t>0.214</w:t>
                  </w:r>
                </w:p>
              </w:tc>
            </w:tr>
            <w:tr>
              <w:trPr>
                <w:trHeight w:val="340"/>
              </w:trPr>
              <w:tc>
                <w:tcPr>
                  <w:tcW w:w="303" w:type="pct"/>
                  <w:vMerge w:val="restart"/>
                  <w:vAlign w:val="center"/>
                </w:tcPr>
                <w:p>
                  <w:pPr>
                    <w:pStyle w:val="39"/>
                    <w:rPr>
                      <w:rFonts w:eastAsia="宋体" w:hint="eastAsia"/>
                      <w:color w:val="auto"/>
                      <w:lang w:val="en-US" w:eastAsia="zh-CN"/>
                    </w:rPr>
                  </w:pPr>
                  <w:r>
                    <w:rPr>
                      <w:rFonts w:hint="eastAsia"/>
                      <w:color w:val="auto"/>
                      <w:lang w:val="en-US" w:eastAsia="zh-CN"/>
                    </w:rPr>
                    <w:t>3</w:t>
                  </w:r>
                </w:p>
              </w:tc>
              <w:tc>
                <w:tcPr>
                  <w:tcW w:w="1736" w:type="pct"/>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挤压造粒生产线车间烘干工序</w:t>
                  </w:r>
                  <w:r>
                    <w:rPr>
                      <w:rFonts w:eastAsia="宋体"/>
                      <w:color w:val="auto"/>
                      <w:lang w:val="en-US" w:eastAsia="zh-CN"/>
                    </w:rPr>
                    <w:t>排气筒（P</w:t>
                  </w:r>
                  <w:r>
                    <w:rPr>
                      <w:rFonts w:hint="eastAsia"/>
                      <w:color w:val="auto"/>
                      <w:lang w:val="en-US" w:eastAsia="zh-CN"/>
                    </w:rPr>
                    <w:t>3</w:t>
                  </w:r>
                  <w:r>
                    <w:rPr>
                      <w:rFonts w:eastAsia="宋体"/>
                      <w:color w:val="auto"/>
                      <w:lang w:val="en-US" w:eastAsia="zh-CN"/>
                    </w:rPr>
                    <w:t>）</w:t>
                  </w:r>
                </w:p>
              </w:tc>
              <w:tc>
                <w:tcPr>
                  <w:tcW w:w="903" w:type="pct"/>
                  <w:tcBorders>
                    <w:left w:val="single" w:sz="4" w:space="0" w:color="auto"/>
                  </w:tcBorders>
                  <w:vAlign w:val="center"/>
                </w:tcPr>
                <w:p>
                  <w:pPr>
                    <w:pStyle w:val="39"/>
                    <w:rPr>
                      <w:rFonts w:hint="eastAsia"/>
                      <w:color w:val="auto"/>
                    </w:rPr>
                  </w:pPr>
                  <w:r>
                    <w:rPr>
                      <w:rFonts w:hint="eastAsia"/>
                      <w:color w:val="auto"/>
                    </w:rPr>
                    <w:t>颗粒物</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3.9</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0.058</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0.280</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氨</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1.65</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0.025</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0.119</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臭气浓度</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977无量纲</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甲醛</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0.020</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0.0003</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0.0014</w:t>
                  </w:r>
                </w:p>
              </w:tc>
            </w:tr>
            <w:tr>
              <w:trPr>
                <w:trHeight w:val="340"/>
              </w:trPr>
              <w:tc>
                <w:tcPr>
                  <w:tcW w:w="303" w:type="pct"/>
                  <w:vMerge w:val="restart"/>
                  <w:vAlign w:val="center"/>
                </w:tcPr>
                <w:p>
                  <w:pPr>
                    <w:pStyle w:val="39"/>
                    <w:rPr>
                      <w:color w:val="auto"/>
                      <w:lang w:val="en-US" w:eastAsia="zh-CN"/>
                    </w:rPr>
                  </w:pPr>
                  <w:r>
                    <w:rPr>
                      <w:rFonts w:hint="eastAsia"/>
                      <w:color w:val="auto"/>
                      <w:lang w:val="en-US" w:eastAsia="zh-CN"/>
                    </w:rPr>
                    <w:t>4</w:t>
                  </w:r>
                </w:p>
              </w:tc>
              <w:tc>
                <w:tcPr>
                  <w:tcW w:w="1736" w:type="pct"/>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天然气燃烧机后进入密闭烘干机前管道</w:t>
                  </w:r>
                </w:p>
              </w:tc>
              <w:tc>
                <w:tcPr>
                  <w:tcW w:w="903"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颗粒物</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0.01</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0.00001</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0.00005</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二氧化硫</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0.69</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0.010</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0.05</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氮氧化物</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13.1</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0.158</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0.757</w:t>
                  </w:r>
                </w:p>
              </w:tc>
            </w:tr>
            <w:tr>
              <w:trPr>
                <w:trHeight w:val="340"/>
              </w:trPr>
              <w:tc>
                <w:tcPr>
                  <w:tcW w:w="303" w:type="pct"/>
                  <w:vMerge w:val="restart"/>
                  <w:vAlign w:val="center"/>
                </w:tcPr>
                <w:p>
                  <w:pPr>
                    <w:pStyle w:val="39"/>
                    <w:rPr>
                      <w:color w:val="auto"/>
                      <w:lang w:val="en-US" w:eastAsia="zh-CN"/>
                    </w:rPr>
                  </w:pPr>
                  <w:r>
                    <w:rPr>
                      <w:rFonts w:hint="eastAsia"/>
                      <w:color w:val="auto"/>
                      <w:lang w:val="en-US" w:eastAsia="zh-CN"/>
                    </w:rPr>
                    <w:t>5</w:t>
                  </w:r>
                </w:p>
              </w:tc>
              <w:tc>
                <w:tcPr>
                  <w:tcW w:w="1736" w:type="pct"/>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化验室废气</w:t>
                  </w:r>
                  <w:r>
                    <w:rPr>
                      <w:rFonts w:eastAsia="宋体"/>
                      <w:color w:val="auto"/>
                      <w:lang w:val="en-US" w:eastAsia="zh-CN"/>
                    </w:rPr>
                    <w:t>排气筒（P</w:t>
                  </w:r>
                  <w:r>
                    <w:rPr>
                      <w:rFonts w:hint="eastAsia"/>
                      <w:color w:val="auto"/>
                      <w:lang w:val="en-US" w:eastAsia="zh-CN"/>
                    </w:rPr>
                    <w:t>4</w:t>
                  </w:r>
                  <w:r>
                    <w:rPr>
                      <w:rFonts w:eastAsia="宋体"/>
                      <w:color w:val="auto"/>
                      <w:lang w:val="en-US" w:eastAsia="zh-CN"/>
                    </w:rPr>
                    <w:t>）</w:t>
                  </w:r>
                </w:p>
              </w:tc>
              <w:tc>
                <w:tcPr>
                  <w:tcW w:w="903" w:type="pc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氯化氢</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0.034</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0.00003</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0.00003</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硫酸雾</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0.102</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0.0001</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0.0001</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氮氧化物</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0.068</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0.00007</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0.00007</w:t>
                  </w:r>
                </w:p>
              </w:tc>
            </w:tr>
            <w:tr>
              <w:trPr>
                <w:trHeight w:val="340"/>
              </w:trPr>
              <w:tc>
                <w:tcPr>
                  <w:tcW w:w="303" w:type="pct"/>
                  <w:vMerge/>
                  <w:vAlign w:val="center"/>
                </w:tcPr>
                <w:p/>
              </w:tc>
              <w:tc>
                <w:tcPr>
                  <w:tcW w:w="1736" w:type="pct"/>
                  <w:vMerge/>
                  <w:tcBorders>
                    <w:left w:val="single" w:sz="4" w:space="0" w:color="auto"/>
                  </w:tcBorders>
                  <w:vAlign w:val="center"/>
                </w:tcPr>
                <w:p/>
              </w:tc>
              <w:tc>
                <w:tcPr>
                  <w:tcW w:w="903"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非甲烷总烃</w:t>
                  </w:r>
                </w:p>
              </w:tc>
              <w:tc>
                <w:tcPr>
                  <w:tcW w:w="65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1.125</w:t>
                  </w:r>
                </w:p>
              </w:tc>
              <w:tc>
                <w:tcPr>
                  <w:tcW w:w="6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0.001</w:t>
                  </w:r>
                </w:p>
              </w:tc>
              <w:tc>
                <w:tcPr>
                  <w:tcW w:w="70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0.001</w:t>
                  </w:r>
                </w:p>
              </w:tc>
            </w:tr>
            <w:tr>
              <w:trPr>
                <w:trHeight w:val="340"/>
              </w:trPr>
              <w:tc>
                <w:tcPr>
                  <w:tcW w:w="2039" w:type="pct"/>
                  <w:gridSpan w:val="2"/>
                  <w:vMerge w:val="restart"/>
                  <w:vAlign w:val="center"/>
                </w:tcPr>
                <w:p>
                  <w:pPr>
                    <w:pStyle w:val="39"/>
                    <w:rPr>
                      <w:color w:val="auto"/>
                    </w:rPr>
                  </w:pPr>
                  <w:r>
                    <w:rPr>
                      <w:color w:val="auto"/>
                    </w:rPr>
                    <w:t>有组织排放总计</w:t>
                  </w:r>
                </w:p>
              </w:tc>
              <w:tc>
                <w:tcPr>
                  <w:tcW w:w="2255" w:type="pct"/>
                  <w:gridSpan w:val="3"/>
                  <w:tcBorders>
                    <w:left w:val="single" w:sz="4" w:space="0" w:color="auto"/>
                  </w:tcBorders>
                  <w:vAlign w:val="center"/>
                </w:tcPr>
                <w:p>
                  <w:pPr>
                    <w:pStyle w:val="39"/>
                    <w:rPr>
                      <w:rFonts w:eastAsia="宋体" w:hint="eastAsia"/>
                      <w:color w:val="auto"/>
                      <w:lang w:eastAsia="zh-CN"/>
                    </w:rPr>
                  </w:pPr>
                  <w:r>
                    <w:rPr>
                      <w:rFonts w:hint="eastAsia"/>
                      <w:color w:val="auto"/>
                      <w:lang w:val="en-US" w:eastAsia="zh-CN"/>
                    </w:rPr>
                    <w:t>颗粒物</w:t>
                  </w:r>
                </w:p>
              </w:tc>
              <w:tc>
                <w:tcPr>
                  <w:tcW w:w="704"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1.344</w:t>
                  </w:r>
                </w:p>
              </w:tc>
            </w:tr>
            <w:tr>
              <w:trPr>
                <w:trHeight w:val="340"/>
              </w:trPr>
              <w:tc>
                <w:tcPr>
                  <w:tcW w:w="2039" w:type="pct"/>
                  <w:gridSpan w:val="2"/>
                  <w:vMerge/>
                  <w:vAlign w:val="center"/>
                </w:tcPr>
                <w:p/>
              </w:tc>
              <w:tc>
                <w:tcPr>
                  <w:tcW w:w="2255" w:type="pct"/>
                  <w:gridSpan w:val="3"/>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二氧化硫</w:t>
                  </w:r>
                </w:p>
              </w:tc>
              <w:tc>
                <w:tcPr>
                  <w:tcW w:w="704" w:type="pct"/>
                  <w:tcBorders>
                    <w:left w:val="single" w:sz="4" w:space="0" w:color="auto"/>
                  </w:tcBorders>
                  <w:vAlign w:val="center"/>
                </w:tcPr>
                <w:p>
                  <w:pPr>
                    <w:pStyle w:val="39"/>
                    <w:ind w:firstLine="0"/>
                    <w:rPr>
                      <w:rFonts w:eastAsia="宋体"/>
                      <w:color w:val="auto"/>
                      <w:lang w:val="en-US" w:eastAsia="zh-CN"/>
                    </w:rPr>
                  </w:pPr>
                  <w:r>
                    <w:rPr>
                      <w:rFonts w:hint="eastAsia"/>
                      <w:color w:val="auto"/>
                      <w:lang w:val="en-US" w:eastAsia="zh-CN"/>
                    </w:rPr>
                    <w:t>0.050</w:t>
                  </w:r>
                </w:p>
              </w:tc>
            </w:tr>
            <w:tr>
              <w:trPr>
                <w:trHeight w:val="340"/>
              </w:trPr>
              <w:tc>
                <w:tcPr>
                  <w:tcW w:w="2039" w:type="pct"/>
                  <w:gridSpan w:val="2"/>
                  <w:vMerge/>
                  <w:vAlign w:val="center"/>
                </w:tcPr>
                <w:p/>
              </w:tc>
              <w:tc>
                <w:tcPr>
                  <w:tcW w:w="2255" w:type="pct"/>
                  <w:gridSpan w:val="3"/>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氮氧化物</w:t>
                  </w:r>
                </w:p>
              </w:tc>
              <w:tc>
                <w:tcPr>
                  <w:tcW w:w="704" w:type="pct"/>
                  <w:tcBorders>
                    <w:left w:val="single" w:sz="4" w:space="0" w:color="auto"/>
                  </w:tcBorders>
                  <w:vAlign w:val="center"/>
                </w:tcPr>
                <w:p>
                  <w:pPr>
                    <w:pStyle w:val="39"/>
                    <w:ind w:firstLine="0"/>
                    <w:rPr>
                      <w:rFonts w:eastAsia="宋体"/>
                      <w:color w:val="auto"/>
                      <w:lang w:val="en-US" w:eastAsia="zh-CN"/>
                    </w:rPr>
                  </w:pPr>
                  <w:r>
                    <w:rPr>
                      <w:rFonts w:hint="eastAsia"/>
                      <w:color w:val="auto"/>
                      <w:lang w:val="en-US" w:eastAsia="zh-CN"/>
                    </w:rPr>
                    <w:t>0.757</w:t>
                  </w:r>
                </w:p>
              </w:tc>
            </w:tr>
            <w:tr>
              <w:trPr>
                <w:trHeight w:val="340"/>
              </w:trPr>
              <w:tc>
                <w:tcPr>
                  <w:tcW w:w="2039" w:type="pct"/>
                  <w:gridSpan w:val="2"/>
                  <w:vMerge/>
                  <w:vAlign w:val="center"/>
                </w:tcPr>
                <w:p/>
              </w:tc>
              <w:tc>
                <w:tcPr>
                  <w:tcW w:w="2255" w:type="pct"/>
                  <w:gridSpan w:val="3"/>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氨</w:t>
                  </w:r>
                </w:p>
              </w:tc>
              <w:tc>
                <w:tcPr>
                  <w:tcW w:w="704"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0.192</w:t>
                  </w:r>
                </w:p>
              </w:tc>
            </w:tr>
            <w:tr>
              <w:trPr>
                <w:trHeight w:val="340"/>
              </w:trPr>
              <w:tc>
                <w:tcPr>
                  <w:tcW w:w="2039" w:type="pct"/>
                  <w:gridSpan w:val="2"/>
                  <w:vMerge/>
                  <w:vAlign w:val="center"/>
                </w:tcPr>
                <w:p/>
              </w:tc>
              <w:tc>
                <w:tcPr>
                  <w:tcW w:w="2255" w:type="pct"/>
                  <w:gridSpan w:val="3"/>
                  <w:tcBorders>
                    <w:left w:val="single" w:sz="4" w:space="0" w:color="auto"/>
                  </w:tcBorders>
                  <w:vAlign w:val="center"/>
                </w:tcPr>
                <w:p>
                  <w:pPr>
                    <w:pStyle w:val="39"/>
                    <w:rPr>
                      <w:rFonts w:eastAsia="宋体"/>
                      <w:color w:val="auto"/>
                      <w:lang w:val="en-US" w:eastAsia="zh-CN"/>
                    </w:rPr>
                  </w:pPr>
                  <w:r>
                    <w:rPr>
                      <w:rFonts w:hint="eastAsia"/>
                      <w:color w:val="auto"/>
                      <w:lang w:val="en-US" w:eastAsia="zh-CN"/>
                    </w:rPr>
                    <w:t>甲醛</w:t>
                  </w:r>
                </w:p>
              </w:tc>
              <w:tc>
                <w:tcPr>
                  <w:tcW w:w="704"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0.00159</w:t>
                  </w:r>
                </w:p>
              </w:tc>
            </w:tr>
            <w:tr>
              <w:trPr>
                <w:trHeight w:val="340"/>
              </w:trPr>
              <w:tc>
                <w:tcPr>
                  <w:tcW w:w="2039" w:type="pct"/>
                  <w:gridSpan w:val="2"/>
                  <w:vMerge/>
                  <w:vAlign w:val="center"/>
                </w:tcPr>
                <w:p/>
              </w:tc>
              <w:tc>
                <w:tcPr>
                  <w:tcW w:w="2255" w:type="pct"/>
                  <w:gridSpan w:val="3"/>
                  <w:tcBorders>
                    <w:left w:val="single" w:sz="4" w:space="0" w:color="auto"/>
                  </w:tcBorders>
                  <w:vAlign w:val="center"/>
                </w:tcPr>
                <w:p>
                  <w:pPr>
                    <w:pStyle w:val="39"/>
                    <w:rPr>
                      <w:rFonts w:eastAsia="宋体"/>
                      <w:color w:val="auto"/>
                      <w:lang w:val="en-US" w:eastAsia="zh-CN"/>
                    </w:rPr>
                  </w:pPr>
                  <w:r>
                    <w:rPr>
                      <w:rFonts w:hint="eastAsia"/>
                      <w:color w:val="auto"/>
                      <w:lang w:val="en-US" w:eastAsia="zh-CN"/>
                    </w:rPr>
                    <w:t>非甲烷总烃</w:t>
                  </w:r>
                </w:p>
              </w:tc>
              <w:tc>
                <w:tcPr>
                  <w:tcW w:w="704"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0.215</w:t>
                  </w:r>
                </w:p>
              </w:tc>
            </w:tr>
            <w:tr>
              <w:trPr>
                <w:trHeight w:val="340"/>
              </w:trPr>
              <w:tc>
                <w:tcPr>
                  <w:tcW w:w="2039" w:type="pct"/>
                  <w:gridSpan w:val="2"/>
                  <w:vMerge/>
                  <w:vAlign w:val="center"/>
                </w:tcPr>
                <w:p/>
              </w:tc>
              <w:tc>
                <w:tcPr>
                  <w:tcW w:w="2255" w:type="pct"/>
                  <w:gridSpan w:val="3"/>
                  <w:tcBorders>
                    <w:left w:val="single" w:sz="4" w:space="0" w:color="auto"/>
                  </w:tcBorders>
                  <w:vAlign w:val="center"/>
                </w:tcPr>
                <w:p>
                  <w:pPr>
                    <w:pStyle w:val="39"/>
                    <w:rPr>
                      <w:rFonts w:eastAsia="宋体"/>
                      <w:color w:val="auto"/>
                      <w:lang w:val="en-US" w:eastAsia="zh-CN"/>
                    </w:rPr>
                  </w:pPr>
                  <w:r>
                    <w:rPr>
                      <w:rFonts w:hint="eastAsia"/>
                      <w:color w:val="auto"/>
                      <w:lang w:val="en-US" w:eastAsia="zh-CN"/>
                    </w:rPr>
                    <w:t>氯化氢</w:t>
                  </w:r>
                </w:p>
              </w:tc>
              <w:tc>
                <w:tcPr>
                  <w:tcW w:w="704"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0.00003</w:t>
                  </w:r>
                </w:p>
              </w:tc>
            </w:tr>
            <w:tr>
              <w:trPr>
                <w:trHeight w:val="340"/>
              </w:trPr>
              <w:tc>
                <w:tcPr>
                  <w:tcW w:w="2039" w:type="pct"/>
                  <w:gridSpan w:val="2"/>
                  <w:vMerge/>
                  <w:vAlign w:val="center"/>
                </w:tcPr>
                <w:p/>
              </w:tc>
              <w:tc>
                <w:tcPr>
                  <w:tcW w:w="2255" w:type="pct"/>
                  <w:gridSpan w:val="3"/>
                  <w:tcBorders>
                    <w:left w:val="single" w:sz="4" w:space="0" w:color="auto"/>
                  </w:tcBorders>
                  <w:vAlign w:val="center"/>
                </w:tcPr>
                <w:p>
                  <w:pPr>
                    <w:pStyle w:val="39"/>
                    <w:rPr>
                      <w:color w:val="auto"/>
                      <w:lang w:val="en-US" w:eastAsia="zh-CN"/>
                    </w:rPr>
                  </w:pPr>
                  <w:r>
                    <w:rPr>
                      <w:rFonts w:hint="eastAsia"/>
                      <w:color w:val="auto"/>
                      <w:lang w:val="en-US" w:eastAsia="zh-CN"/>
                    </w:rPr>
                    <w:t>硫酸雾</w:t>
                  </w:r>
                </w:p>
              </w:tc>
              <w:tc>
                <w:tcPr>
                  <w:tcW w:w="704"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0.0001</w:t>
                  </w:r>
                </w:p>
              </w:tc>
            </w:tr>
          </w:tbl>
          <w:p>
            <w:pPr>
              <w:pStyle w:val="40"/>
              <w:rPr>
                <w:color w:val="auto"/>
              </w:rPr>
            </w:pPr>
            <w:r>
              <w:rPr>
                <w:color w:val="auto"/>
              </w:rPr>
              <w:t>表4-</w:t>
            </w:r>
            <w:r>
              <w:rPr>
                <w:rFonts w:hint="eastAsia"/>
                <w:color w:val="auto"/>
                <w:lang w:val="en-US" w:eastAsia="zh-CN"/>
              </w:rPr>
              <w:t>8</w:t>
            </w:r>
            <w:r>
              <w:rPr>
                <w:rFonts w:hint="eastAsia"/>
                <w:color w:val="auto"/>
              </w:rPr>
              <w:t xml:space="preserve">   </w:t>
            </w:r>
            <w:r>
              <w:rPr>
                <w:rFonts w:hint="eastAsia"/>
                <w:color w:val="auto"/>
                <w:lang w:val="en-US" w:eastAsia="zh-CN"/>
              </w:rPr>
              <w:t>全厂</w:t>
            </w:r>
            <w:r>
              <w:rPr>
                <w:color w:val="auto"/>
                <w:lang w:val="zh-TW"/>
              </w:rPr>
              <w:t>大气污染物</w:t>
            </w:r>
            <w:r>
              <w:rPr>
                <w:color w:val="auto"/>
              </w:rPr>
              <w:t>无</w:t>
            </w:r>
            <w:r>
              <w:rPr>
                <w:color w:val="auto"/>
                <w:lang w:val="zh-TW"/>
              </w:rPr>
              <w:t>组织排放量核算表</w:t>
            </w: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8"/>
              <w:gridCol w:w="428"/>
              <w:gridCol w:w="686"/>
              <w:gridCol w:w="893"/>
              <w:gridCol w:w="3992"/>
              <w:gridCol w:w="1204"/>
              <w:gridCol w:w="876"/>
            </w:tblGrid>
            <w:tr>
              <w:trPr>
                <w:trHeight w:val="330"/>
              </w:trPr>
              <w:tc>
                <w:tcPr>
                  <w:tcW w:w="254" w:type="dxa"/>
                  <w:vMerge w:val="restart"/>
                  <w:vAlign w:val="center"/>
                </w:tcPr>
                <w:p>
                  <w:pPr>
                    <w:pStyle w:val="39"/>
                    <w:rPr>
                      <w:color w:val="auto"/>
                    </w:rPr>
                  </w:pPr>
                  <w:r>
                    <w:rPr>
                      <w:color w:val="auto"/>
                    </w:rPr>
                    <w:t>序号</w:t>
                  </w:r>
                </w:p>
              </w:tc>
              <w:tc>
                <w:tcPr>
                  <w:tcW w:w="439" w:type="dxa"/>
                  <w:vMerge w:val="restart"/>
                  <w:vAlign w:val="center"/>
                </w:tcPr>
                <w:p>
                  <w:pPr>
                    <w:pStyle w:val="39"/>
                    <w:rPr>
                      <w:color w:val="auto"/>
                    </w:rPr>
                  </w:pPr>
                  <w:r>
                    <w:rPr>
                      <w:color w:val="auto"/>
                    </w:rPr>
                    <w:t>产污</w:t>
                  </w:r>
                </w:p>
                <w:p>
                  <w:pPr>
                    <w:pStyle w:val="39"/>
                    <w:rPr>
                      <w:color w:val="auto"/>
                    </w:rPr>
                  </w:pPr>
                  <w:r>
                    <w:rPr>
                      <w:color w:val="auto"/>
                    </w:rPr>
                    <w:t>环节</w:t>
                  </w:r>
                </w:p>
              </w:tc>
              <w:tc>
                <w:tcPr>
                  <w:tcW w:w="704" w:type="dxa"/>
                  <w:vMerge w:val="restart"/>
                  <w:vAlign w:val="center"/>
                </w:tcPr>
                <w:p>
                  <w:pPr>
                    <w:pStyle w:val="39"/>
                    <w:rPr>
                      <w:color w:val="auto"/>
                    </w:rPr>
                  </w:pPr>
                  <w:r>
                    <w:rPr>
                      <w:color w:val="auto"/>
                    </w:rPr>
                    <w:t>污染物</w:t>
                  </w:r>
                </w:p>
              </w:tc>
              <w:tc>
                <w:tcPr>
                  <w:tcW w:w="916" w:type="dxa"/>
                  <w:vMerge w:val="restart"/>
                  <w:vAlign w:val="center"/>
                </w:tcPr>
                <w:p>
                  <w:pPr>
                    <w:pStyle w:val="39"/>
                    <w:rPr>
                      <w:color w:val="auto"/>
                    </w:rPr>
                  </w:pPr>
                  <w:r>
                    <w:rPr>
                      <w:color w:val="auto"/>
                    </w:rPr>
                    <w:t>主要污染防治措施</w:t>
                  </w:r>
                </w:p>
              </w:tc>
              <w:tc>
                <w:tcPr>
                  <w:tcW w:w="5330" w:type="dxa"/>
                  <w:gridSpan w:val="2"/>
                  <w:vAlign w:val="center"/>
                </w:tcPr>
                <w:p>
                  <w:pPr>
                    <w:pStyle w:val="39"/>
                    <w:rPr>
                      <w:color w:val="auto"/>
                    </w:rPr>
                  </w:pPr>
                  <w:r>
                    <w:rPr>
                      <w:color w:val="auto"/>
                    </w:rPr>
                    <w:t>国家或地方污染物排放标准</w:t>
                  </w:r>
                </w:p>
              </w:tc>
              <w:tc>
                <w:tcPr>
                  <w:tcW w:w="899" w:type="dxa"/>
                  <w:vMerge w:val="restart"/>
                  <w:vAlign w:val="center"/>
                </w:tcPr>
                <w:p>
                  <w:pPr>
                    <w:pStyle w:val="39"/>
                    <w:rPr>
                      <w:color w:val="auto"/>
                    </w:rPr>
                  </w:pPr>
                  <w:r>
                    <w:rPr>
                      <w:color w:val="auto"/>
                    </w:rPr>
                    <w:t>年排放量（t/a）</w:t>
                  </w:r>
                </w:p>
              </w:tc>
            </w:tr>
            <w:tr>
              <w:trPr>
                <w:trHeight w:val="614"/>
              </w:trPr>
              <w:tc>
                <w:tcPr>
                  <w:tcW w:w="254" w:type="dxa"/>
                  <w:vMerge/>
                  <w:vAlign w:val="center"/>
                </w:tcPr>
                <w:p/>
              </w:tc>
              <w:tc>
                <w:tcPr>
                  <w:tcW w:w="439" w:type="dxa"/>
                  <w:vMerge/>
                  <w:tcBorders>
                    <w:left w:val="single" w:sz="4" w:space="0" w:color="auto"/>
                  </w:tcBorders>
                  <w:vAlign w:val="center"/>
                </w:tcPr>
                <w:p/>
              </w:tc>
              <w:tc>
                <w:tcPr>
                  <w:tcW w:w="704" w:type="dxa"/>
                  <w:vMerge/>
                  <w:tcBorders>
                    <w:left w:val="single" w:sz="4" w:space="0" w:color="auto"/>
                  </w:tcBorders>
                  <w:vAlign w:val="center"/>
                </w:tcPr>
                <w:p/>
              </w:tc>
              <w:tc>
                <w:tcPr>
                  <w:tcW w:w="916" w:type="dxa"/>
                  <w:vMerge/>
                  <w:tcBorders>
                    <w:left w:val="single" w:sz="4" w:space="0" w:color="auto"/>
                  </w:tcBorders>
                  <w:vAlign w:val="center"/>
                </w:tcPr>
                <w:p/>
              </w:tc>
              <w:tc>
                <w:tcPr>
                  <w:tcW w:w="4095" w:type="dxa"/>
                  <w:tcBorders>
                    <w:left w:val="single" w:sz="4" w:space="0" w:color="auto"/>
                  </w:tcBorders>
                  <w:vAlign w:val="center"/>
                </w:tcPr>
                <w:p>
                  <w:pPr>
                    <w:pStyle w:val="39"/>
                    <w:rPr>
                      <w:color w:val="auto"/>
                    </w:rPr>
                  </w:pPr>
                  <w:r>
                    <w:rPr>
                      <w:color w:val="auto"/>
                    </w:rPr>
                    <w:t>标准名称</w:t>
                  </w:r>
                </w:p>
              </w:tc>
              <w:tc>
                <w:tcPr>
                  <w:tcW w:w="1235" w:type="dxa"/>
                  <w:tcBorders>
                    <w:left w:val="single" w:sz="4" w:space="0" w:color="auto"/>
                  </w:tcBorders>
                  <w:vAlign w:val="center"/>
                </w:tcPr>
                <w:p>
                  <w:pPr>
                    <w:pStyle w:val="39"/>
                    <w:rPr>
                      <w:color w:val="auto"/>
                    </w:rPr>
                  </w:pPr>
                  <w:r>
                    <w:rPr>
                      <w:color w:val="auto"/>
                    </w:rPr>
                    <w:t>浓度限值</w:t>
                  </w:r>
                </w:p>
                <w:p>
                  <w:pPr>
                    <w:pStyle w:val="39"/>
                    <w:rPr>
                      <w:color w:val="auto"/>
                    </w:rPr>
                  </w:pPr>
                  <w:r>
                    <w:rPr>
                      <w:color w:val="auto"/>
                    </w:rPr>
                    <w:t>（</w:t>
                  </w:r>
                  <w:r>
                    <w:rPr>
                      <w:rFonts w:hint="eastAsia"/>
                      <w:color w:val="auto"/>
                    </w:rPr>
                    <w:t>mg</w:t>
                  </w:r>
                  <w:r>
                    <w:rPr>
                      <w:color w:val="auto"/>
                    </w:rPr>
                    <w:t>/</w:t>
                  </w:r>
                  <w:r>
                    <w:rPr>
                      <w:rFonts w:hint="eastAsia"/>
                      <w:color w:val="auto"/>
                    </w:rPr>
                    <w:t>m³</w:t>
                  </w:r>
                  <w:r>
                    <w:rPr>
                      <w:color w:val="auto"/>
                    </w:rPr>
                    <w:t>）</w:t>
                  </w:r>
                </w:p>
              </w:tc>
              <w:tc>
                <w:tcPr>
                  <w:tcW w:w="899" w:type="dxa"/>
                  <w:vMerge/>
                  <w:tcBorders>
                    <w:left w:val="single" w:sz="4" w:space="0" w:color="auto"/>
                  </w:tcBorders>
                  <w:vAlign w:val="center"/>
                </w:tcPr>
                <w:p/>
              </w:tc>
            </w:tr>
            <w:tr>
              <w:trPr>
                <w:trHeight w:val="614"/>
              </w:trPr>
              <w:tc>
                <w:tcPr>
                  <w:tcW w:w="254" w:type="dxa"/>
                  <w:vAlign w:val="center"/>
                </w:tcPr>
                <w:p>
                  <w:pPr>
                    <w:pStyle w:val="39"/>
                    <w:rPr>
                      <w:color w:val="auto"/>
                    </w:rPr>
                  </w:pPr>
                  <w:r>
                    <w:rPr>
                      <w:color w:val="auto"/>
                    </w:rPr>
                    <w:t>1</w:t>
                  </w:r>
                </w:p>
              </w:tc>
              <w:tc>
                <w:tcPr>
                  <w:tcW w:w="439" w:type="dxa"/>
                  <w:vMerge w:val="restart"/>
                  <w:tcBorders>
                    <w:left w:val="single" w:sz="4" w:space="0" w:color="auto"/>
                  </w:tcBorders>
                  <w:vAlign w:val="center"/>
                </w:tcPr>
                <w:p>
                  <w:pPr>
                    <w:pStyle w:val="39"/>
                    <w:rPr>
                      <w:color w:val="auto"/>
                    </w:rPr>
                  </w:pPr>
                  <w:r>
                    <w:rPr>
                      <w:rFonts w:hint="eastAsia"/>
                      <w:color w:val="auto"/>
                    </w:rPr>
                    <w:t>厂界</w:t>
                  </w:r>
                </w:p>
              </w:tc>
              <w:tc>
                <w:tcPr>
                  <w:tcW w:w="704" w:type="dxa"/>
                  <w:tcBorders>
                    <w:left w:val="single" w:sz="4" w:space="0" w:color="auto"/>
                  </w:tcBorders>
                  <w:vAlign w:val="center"/>
                </w:tcPr>
                <w:p>
                  <w:pPr>
                    <w:pStyle w:val="39"/>
                    <w:rPr>
                      <w:color w:val="auto"/>
                    </w:rPr>
                  </w:pPr>
                  <w:r>
                    <w:rPr>
                      <w:rFonts w:hint="eastAsia"/>
                      <w:color w:val="auto"/>
                    </w:rPr>
                    <w:t>颗粒物</w:t>
                  </w:r>
                </w:p>
              </w:tc>
              <w:tc>
                <w:tcPr>
                  <w:tcW w:w="916" w:type="dxa"/>
                  <w:vMerge w:val="restart"/>
                  <w:tcBorders>
                    <w:left w:val="single" w:sz="4" w:space="0" w:color="auto"/>
                  </w:tcBorders>
                  <w:vAlign w:val="center"/>
                </w:tcPr>
                <w:p>
                  <w:pPr>
                    <w:pStyle w:val="39"/>
                    <w:rPr>
                      <w:rFonts w:eastAsia="宋体"/>
                      <w:color w:val="auto"/>
                      <w:lang w:val="en-US" w:eastAsia="zh-CN"/>
                    </w:rPr>
                  </w:pPr>
                  <w:r>
                    <w:rPr>
                      <w:rFonts w:hint="eastAsia"/>
                      <w:color w:val="auto"/>
                    </w:rPr>
                    <w:t>车间密闭</w:t>
                  </w:r>
                </w:p>
              </w:tc>
              <w:tc>
                <w:tcPr>
                  <w:tcW w:w="4095" w:type="dxa"/>
                  <w:vMerge w:val="restart"/>
                  <w:tcBorders>
                    <w:left w:val="single" w:sz="4" w:space="0" w:color="auto"/>
                  </w:tcBorders>
                  <w:vAlign w:val="center"/>
                </w:tcPr>
                <w:p>
                  <w:pPr>
                    <w:pStyle w:val="39"/>
                    <w:rPr>
                      <w:color w:val="auto"/>
                    </w:rPr>
                  </w:pPr>
                  <w:r>
                    <w:rPr>
                      <w:rFonts w:hint="eastAsia"/>
                      <w:color w:val="auto"/>
                    </w:rPr>
                    <w:t>《大气污染物综合排放标准》(GB16297-1996)表2无组织浓度限值要求</w:t>
                  </w:r>
                </w:p>
              </w:tc>
              <w:tc>
                <w:tcPr>
                  <w:tcW w:w="1235" w:type="dxa"/>
                  <w:tcBorders>
                    <w:left w:val="single" w:sz="4" w:space="0" w:color="auto"/>
                  </w:tcBorders>
                  <w:vAlign w:val="center"/>
                </w:tcPr>
                <w:p>
                  <w:pPr>
                    <w:pStyle w:val="39"/>
                    <w:rPr>
                      <w:color w:val="auto"/>
                    </w:rPr>
                  </w:pPr>
                  <w:r>
                    <w:rPr>
                      <w:rFonts w:hint="eastAsia"/>
                      <w:color w:val="auto"/>
                    </w:rPr>
                    <w:t>1.0</w:t>
                  </w:r>
                </w:p>
              </w:tc>
              <w:tc>
                <w:tcPr>
                  <w:tcW w:w="899"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43.648</w:t>
                  </w:r>
                </w:p>
              </w:tc>
            </w:tr>
            <w:tr>
              <w:trPr>
                <w:trHeight w:val="614"/>
              </w:trPr>
              <w:tc>
                <w:tcPr>
                  <w:tcW w:w="254" w:type="dxa"/>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w:t>
                  </w:r>
                </w:p>
              </w:tc>
              <w:tc>
                <w:tcPr>
                  <w:tcW w:w="439" w:type="dxa"/>
                  <w:vMerge/>
                  <w:tcBorders>
                    <w:left w:val="single" w:sz="4" w:space="0" w:color="auto"/>
                  </w:tcBorders>
                  <w:vAlign w:val="center"/>
                </w:tcPr>
                <w:p/>
              </w:tc>
              <w:tc>
                <w:tcPr>
                  <w:tcW w:w="704" w:type="dxa"/>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甲醛</w:t>
                  </w:r>
                </w:p>
              </w:tc>
              <w:tc>
                <w:tcPr>
                  <w:tcW w:w="916" w:type="dxa"/>
                  <w:vMerge/>
                  <w:tcBorders>
                    <w:left w:val="single" w:sz="4" w:space="0" w:color="auto"/>
                  </w:tcBorders>
                  <w:vAlign w:val="center"/>
                </w:tcPr>
                <w:p/>
              </w:tc>
              <w:tc>
                <w:tcPr>
                  <w:tcW w:w="4095" w:type="dxa"/>
                  <w:vMerge/>
                  <w:tcBorders>
                    <w:left w:val="single" w:sz="4" w:space="0" w:color="auto"/>
                  </w:tcBorders>
                  <w:vAlign w:val="center"/>
                </w:tcPr>
                <w:p/>
              </w:tc>
              <w:tc>
                <w:tcPr>
                  <w:tcW w:w="123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0.2</w:t>
                  </w:r>
                </w:p>
              </w:tc>
              <w:tc>
                <w:tcPr>
                  <w:tcW w:w="899" w:type="dxa"/>
                  <w:tcBorders>
                    <w:left w:val="single" w:sz="4" w:space="0" w:color="auto"/>
                  </w:tcBorders>
                  <w:vAlign w:val="center"/>
                </w:tcPr>
                <w:p>
                  <w:pPr>
                    <w:pStyle w:val="39"/>
                    <w:rPr>
                      <w:rFonts w:hint="eastAsia"/>
                      <w:color w:val="auto"/>
                      <w:lang w:val="en-US" w:eastAsia="zh-CN"/>
                    </w:rPr>
                  </w:pPr>
                  <w:r>
                    <w:rPr>
                      <w:rFonts w:hint="eastAsia"/>
                      <w:color w:val="auto"/>
                      <w:lang w:val="en-US" w:eastAsia="zh-CN"/>
                    </w:rPr>
                    <w:t>0.001</w:t>
                  </w:r>
                </w:p>
              </w:tc>
            </w:tr>
            <w:tr>
              <w:trPr>
                <w:trHeight w:val="614"/>
              </w:trPr>
              <w:tc>
                <w:tcPr>
                  <w:tcW w:w="254" w:type="dxa"/>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c>
                <w:tcPr>
                  <w:tcW w:w="439" w:type="dxa"/>
                  <w:vMerge/>
                  <w:tcBorders>
                    <w:left w:val="single" w:sz="4" w:space="0" w:color="auto"/>
                  </w:tcBorders>
                  <w:vAlign w:val="center"/>
                </w:tcPr>
                <w:p/>
              </w:tc>
              <w:tc>
                <w:tcPr>
                  <w:tcW w:w="704" w:type="dxa"/>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氨</w:t>
                  </w:r>
                </w:p>
              </w:tc>
              <w:tc>
                <w:tcPr>
                  <w:tcW w:w="916" w:type="dxa"/>
                  <w:vMerge/>
                  <w:tcBorders>
                    <w:left w:val="single" w:sz="4" w:space="0" w:color="auto"/>
                  </w:tcBorders>
                  <w:vAlign w:val="center"/>
                </w:tcPr>
                <w:p/>
              </w:tc>
              <w:tc>
                <w:tcPr>
                  <w:tcW w:w="4095" w:type="dxa"/>
                  <w:vMerge w:val="restart"/>
                  <w:tcBorders>
                    <w:left w:val="single" w:sz="4" w:space="0" w:color="auto"/>
                  </w:tcBorders>
                  <w:vAlign w:val="center"/>
                </w:tcPr>
                <w:p>
                  <w:pPr>
                    <w:pStyle w:val="39"/>
                    <w:rPr>
                      <w:rFonts w:hint="eastAsia"/>
                      <w:color w:val="auto"/>
                    </w:rPr>
                  </w:pPr>
                  <w:r>
                    <w:rPr>
                      <w:rFonts w:hint="eastAsia"/>
                      <w:color w:val="auto"/>
                      <w:lang w:val="en-US" w:eastAsia="zh-CN"/>
                    </w:rPr>
                    <w:t>《恶臭污染物排放标准》（GB14554-93）表1二级新扩改建标准</w:t>
                  </w:r>
                </w:p>
              </w:tc>
              <w:tc>
                <w:tcPr>
                  <w:tcW w:w="123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1.5</w:t>
                  </w:r>
                </w:p>
              </w:tc>
              <w:tc>
                <w:tcPr>
                  <w:tcW w:w="899" w:type="dxa"/>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0.008</w:t>
                  </w:r>
                </w:p>
              </w:tc>
            </w:tr>
            <w:tr>
              <w:trPr>
                <w:trHeight w:val="614"/>
              </w:trPr>
              <w:tc>
                <w:tcPr>
                  <w:tcW w:w="254" w:type="dxa"/>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w:t>
                  </w:r>
                </w:p>
              </w:tc>
              <w:tc>
                <w:tcPr>
                  <w:tcW w:w="439" w:type="dxa"/>
                  <w:vMerge/>
                  <w:tcBorders>
                    <w:left w:val="single" w:sz="4" w:space="0" w:color="auto"/>
                  </w:tcBorders>
                  <w:vAlign w:val="center"/>
                </w:tcPr>
                <w:p/>
              </w:tc>
              <w:tc>
                <w:tcPr>
                  <w:tcW w:w="704" w:type="dxa"/>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臭气浓度</w:t>
                  </w:r>
                </w:p>
              </w:tc>
              <w:tc>
                <w:tcPr>
                  <w:tcW w:w="916" w:type="dxa"/>
                  <w:vMerge/>
                  <w:tcBorders>
                    <w:left w:val="single" w:sz="4" w:space="0" w:color="auto"/>
                  </w:tcBorders>
                  <w:vAlign w:val="center"/>
                </w:tcPr>
                <w:p/>
              </w:tc>
              <w:tc>
                <w:tcPr>
                  <w:tcW w:w="4095" w:type="dxa"/>
                  <w:vMerge/>
                  <w:tcBorders>
                    <w:left w:val="single" w:sz="4" w:space="0" w:color="auto"/>
                  </w:tcBorders>
                  <w:vAlign w:val="center"/>
                </w:tcPr>
                <w:p/>
              </w:tc>
              <w:tc>
                <w:tcPr>
                  <w:tcW w:w="123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20</w:t>
                  </w:r>
                </w:p>
              </w:tc>
              <w:tc>
                <w:tcPr>
                  <w:tcW w:w="899" w:type="dxa"/>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r>
            <w:tr>
              <w:trPr>
                <w:trHeight w:val="614"/>
              </w:trPr>
              <w:tc>
                <w:tcPr>
                  <w:tcW w:w="254" w:type="dxa"/>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w:t>
                  </w:r>
                </w:p>
              </w:tc>
              <w:tc>
                <w:tcPr>
                  <w:tcW w:w="439" w:type="dxa"/>
                  <w:vMerge/>
                  <w:tcBorders>
                    <w:left w:val="single" w:sz="4" w:space="0" w:color="auto"/>
                  </w:tcBorders>
                  <w:vAlign w:val="center"/>
                </w:tcPr>
                <w:p/>
              </w:tc>
              <w:tc>
                <w:tcPr>
                  <w:tcW w:w="704"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氯化氢</w:t>
                  </w:r>
                </w:p>
              </w:tc>
              <w:tc>
                <w:tcPr>
                  <w:tcW w:w="916" w:type="dxa"/>
                  <w:vMerge/>
                  <w:tcBorders>
                    <w:left w:val="single" w:sz="4" w:space="0" w:color="auto"/>
                  </w:tcBorders>
                  <w:vAlign w:val="center"/>
                </w:tcPr>
                <w:p/>
              </w:tc>
              <w:tc>
                <w:tcPr>
                  <w:tcW w:w="4095" w:type="dxa"/>
                  <w:vMerge w:val="restart"/>
                  <w:tcBorders>
                    <w:left w:val="single" w:sz="4" w:space="0" w:color="auto"/>
                  </w:tcBorders>
                  <w:vAlign w:val="center"/>
                </w:tcPr>
                <w:p>
                  <w:pPr>
                    <w:pStyle w:val="39"/>
                    <w:rPr>
                      <w:rFonts w:hint="eastAsia"/>
                      <w:color w:val="auto"/>
                    </w:rPr>
                  </w:pPr>
                  <w:r>
                    <w:rPr>
                      <w:rFonts w:hint="eastAsia"/>
                      <w:color w:val="auto"/>
                    </w:rPr>
                    <w:t>《大气污染物综合排放标准》(GB16297-1996)表2无组织浓度限值要求</w:t>
                  </w:r>
                </w:p>
              </w:tc>
              <w:tc>
                <w:tcPr>
                  <w:tcW w:w="123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0.2</w:t>
                  </w:r>
                </w:p>
              </w:tc>
              <w:tc>
                <w:tcPr>
                  <w:tcW w:w="899" w:type="dxa"/>
                  <w:tcBorders>
                    <w:left w:val="single" w:sz="4" w:space="0" w:color="auto"/>
                  </w:tcBorders>
                  <w:vAlign w:val="center"/>
                </w:tcPr>
                <w:p>
                  <w:pPr>
                    <w:pStyle w:val="39"/>
                    <w:ind w:firstLine="0"/>
                    <w:rPr>
                      <w:color w:val="auto"/>
                      <w:lang w:val="en-US" w:eastAsia="zh-CN"/>
                      <w:highlight w:val="none"/>
                    </w:rPr>
                  </w:pPr>
                  <w:r>
                    <w:rPr>
                      <w:rFonts w:hint="eastAsia"/>
                      <w:color w:val="auto"/>
                      <w:lang w:val="en-US" w:eastAsia="zh-CN"/>
                    </w:rPr>
                    <w:t>0.000025</w:t>
                  </w:r>
                </w:p>
              </w:tc>
            </w:tr>
            <w:tr>
              <w:trPr>
                <w:trHeight w:val="614"/>
              </w:trPr>
              <w:tc>
                <w:tcPr>
                  <w:tcW w:w="254" w:type="dxa"/>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6</w:t>
                  </w:r>
                </w:p>
              </w:tc>
              <w:tc>
                <w:tcPr>
                  <w:tcW w:w="439" w:type="dxa"/>
                  <w:vMerge/>
                  <w:tcBorders>
                    <w:left w:val="single" w:sz="4" w:space="0" w:color="auto"/>
                  </w:tcBorders>
                  <w:vAlign w:val="center"/>
                </w:tcPr>
                <w:p/>
              </w:tc>
              <w:tc>
                <w:tcPr>
                  <w:tcW w:w="704" w:type="dxa"/>
                  <w:tcBorders>
                    <w:left w:val="single" w:sz="4" w:space="0" w:color="auto"/>
                  </w:tcBorders>
                  <w:vAlign w:val="center"/>
                </w:tcPr>
                <w:p>
                  <w:pPr>
                    <w:pStyle w:val="39"/>
                    <w:rPr>
                      <w:color w:val="auto"/>
                      <w:lang w:val="en-US" w:eastAsia="zh-CN"/>
                    </w:rPr>
                  </w:pPr>
                  <w:r>
                    <w:rPr>
                      <w:rFonts w:hint="eastAsia"/>
                      <w:color w:val="auto"/>
                      <w:lang w:val="en-US" w:eastAsia="zh-CN"/>
                    </w:rPr>
                    <w:t>硫酸雾</w:t>
                  </w:r>
                </w:p>
              </w:tc>
              <w:tc>
                <w:tcPr>
                  <w:tcW w:w="916" w:type="dxa"/>
                  <w:vMerge/>
                  <w:tcBorders>
                    <w:left w:val="single" w:sz="4" w:space="0" w:color="auto"/>
                  </w:tcBorders>
                  <w:vAlign w:val="center"/>
                </w:tcPr>
                <w:p/>
              </w:tc>
              <w:tc>
                <w:tcPr>
                  <w:tcW w:w="4095" w:type="dxa"/>
                  <w:vMerge/>
                  <w:tcBorders>
                    <w:left w:val="single" w:sz="4" w:space="0" w:color="auto"/>
                  </w:tcBorders>
                  <w:vAlign w:val="center"/>
                </w:tcPr>
                <w:p/>
              </w:tc>
              <w:tc>
                <w:tcPr>
                  <w:tcW w:w="123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1.2</w:t>
                  </w:r>
                </w:p>
              </w:tc>
              <w:tc>
                <w:tcPr>
                  <w:tcW w:w="899" w:type="dxa"/>
                  <w:tcBorders>
                    <w:left w:val="single" w:sz="4" w:space="0" w:color="auto"/>
                  </w:tcBorders>
                  <w:vAlign w:val="center"/>
                </w:tcPr>
                <w:p>
                  <w:pPr>
                    <w:pStyle w:val="39"/>
                    <w:ind w:firstLine="0"/>
                    <w:rPr>
                      <w:color w:val="auto"/>
                      <w:lang w:val="en-US" w:eastAsia="zh-CN"/>
                      <w:highlight w:val="none"/>
                    </w:rPr>
                  </w:pPr>
                  <w:r>
                    <w:rPr>
                      <w:rFonts w:hint="eastAsia"/>
                      <w:color w:val="auto"/>
                      <w:lang w:val="en-US" w:eastAsia="zh-CN"/>
                    </w:rPr>
                    <w:t>0.000075</w:t>
                  </w:r>
                </w:p>
              </w:tc>
            </w:tr>
            <w:tr>
              <w:trPr>
                <w:trHeight w:val="614"/>
              </w:trPr>
              <w:tc>
                <w:tcPr>
                  <w:tcW w:w="254" w:type="dxa"/>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7</w:t>
                  </w:r>
                </w:p>
              </w:tc>
              <w:tc>
                <w:tcPr>
                  <w:tcW w:w="439" w:type="dxa"/>
                  <w:vMerge/>
                  <w:tcBorders>
                    <w:left w:val="single" w:sz="4" w:space="0" w:color="auto"/>
                  </w:tcBorders>
                  <w:vAlign w:val="center"/>
                </w:tcPr>
                <w:p/>
              </w:tc>
              <w:tc>
                <w:tcPr>
                  <w:tcW w:w="704" w:type="dxa"/>
                  <w:tcBorders>
                    <w:left w:val="single" w:sz="4" w:space="0" w:color="auto"/>
                  </w:tcBorders>
                  <w:vAlign w:val="center"/>
                </w:tcPr>
                <w:p>
                  <w:pPr>
                    <w:pStyle w:val="39"/>
                    <w:rPr>
                      <w:color w:val="auto"/>
                      <w:lang w:val="en-US" w:eastAsia="zh-CN"/>
                    </w:rPr>
                  </w:pPr>
                  <w:r>
                    <w:rPr>
                      <w:rFonts w:hint="eastAsia"/>
                      <w:color w:val="auto"/>
                      <w:lang w:val="en-US" w:eastAsia="zh-CN"/>
                    </w:rPr>
                    <w:t>氮氧化物</w:t>
                  </w:r>
                </w:p>
              </w:tc>
              <w:tc>
                <w:tcPr>
                  <w:tcW w:w="916" w:type="dxa"/>
                  <w:vMerge/>
                  <w:tcBorders>
                    <w:left w:val="single" w:sz="4" w:space="0" w:color="auto"/>
                  </w:tcBorders>
                  <w:vAlign w:val="center"/>
                </w:tcPr>
                <w:p/>
              </w:tc>
              <w:tc>
                <w:tcPr>
                  <w:tcW w:w="4095" w:type="dxa"/>
                  <w:vMerge/>
                  <w:tcBorders>
                    <w:left w:val="single" w:sz="4" w:space="0" w:color="auto"/>
                  </w:tcBorders>
                  <w:vAlign w:val="center"/>
                </w:tcPr>
                <w:p/>
              </w:tc>
              <w:tc>
                <w:tcPr>
                  <w:tcW w:w="123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0.12</w:t>
                  </w:r>
                </w:p>
              </w:tc>
              <w:tc>
                <w:tcPr>
                  <w:tcW w:w="899" w:type="dxa"/>
                  <w:tcBorders>
                    <w:left w:val="single" w:sz="4" w:space="0" w:color="auto"/>
                  </w:tcBorders>
                  <w:vAlign w:val="center"/>
                </w:tcPr>
                <w:p>
                  <w:pPr>
                    <w:pStyle w:val="39"/>
                    <w:ind w:firstLine="0"/>
                    <w:rPr>
                      <w:color w:val="auto"/>
                      <w:lang w:val="en-US" w:eastAsia="zh-CN"/>
                      <w:highlight w:val="none"/>
                    </w:rPr>
                  </w:pPr>
                  <w:r>
                    <w:rPr>
                      <w:rFonts w:hint="eastAsia"/>
                      <w:color w:val="auto"/>
                      <w:lang w:val="en-US" w:eastAsia="zh-CN"/>
                    </w:rPr>
                    <w:t>0.00005</w:t>
                  </w:r>
                </w:p>
              </w:tc>
            </w:tr>
            <w:tr>
              <w:trPr>
                <w:trHeight w:val="614"/>
              </w:trPr>
              <w:tc>
                <w:tcPr>
                  <w:tcW w:w="254" w:type="dxa"/>
                  <w:vAlign w:val="center"/>
                </w:tcPr>
                <w:p>
                  <w:pPr>
                    <w:pStyle w:val="39"/>
                    <w:rPr>
                      <w:rFonts w:eastAsia="宋体"/>
                      <w:color w:val="auto"/>
                      <w:lang w:val="en-US" w:eastAsia="zh-CN"/>
                    </w:rPr>
                  </w:pPr>
                  <w:r>
                    <w:rPr>
                      <w:rFonts w:hint="eastAsia"/>
                      <w:color w:val="auto"/>
                      <w:lang w:val="en-US" w:eastAsia="zh-CN"/>
                    </w:rPr>
                    <w:t>8</w:t>
                  </w:r>
                </w:p>
              </w:tc>
              <w:tc>
                <w:tcPr>
                  <w:tcW w:w="439" w:type="dxa"/>
                  <w:vMerge/>
                  <w:tcBorders>
                    <w:left w:val="single" w:sz="4" w:space="0" w:color="auto"/>
                  </w:tcBorders>
                  <w:vAlign w:val="center"/>
                </w:tcPr>
                <w:p/>
              </w:tc>
              <w:tc>
                <w:tcPr>
                  <w:tcW w:w="704" w:type="dxa"/>
                  <w:tcBorders>
                    <w:left w:val="single" w:sz="4" w:space="0" w:color="auto"/>
                  </w:tcBorders>
                  <w:vAlign w:val="center"/>
                </w:tcPr>
                <w:p>
                  <w:pPr>
                    <w:pStyle w:val="39"/>
                    <w:rPr>
                      <w:color w:val="auto"/>
                      <w:lang w:val="en-US" w:eastAsia="zh-CN"/>
                    </w:rPr>
                  </w:pPr>
                  <w:r>
                    <w:rPr>
                      <w:rFonts w:hint="eastAsia"/>
                      <w:color w:val="auto"/>
                      <w:lang w:val="en-US" w:eastAsia="zh-CN"/>
                    </w:rPr>
                    <w:t>非甲烷总烃</w:t>
                  </w:r>
                </w:p>
              </w:tc>
              <w:tc>
                <w:tcPr>
                  <w:tcW w:w="916" w:type="dxa"/>
                  <w:vMerge/>
                  <w:tcBorders>
                    <w:left w:val="single" w:sz="4" w:space="0" w:color="auto"/>
                  </w:tcBorders>
                  <w:vAlign w:val="center"/>
                </w:tcPr>
                <w:p/>
              </w:tc>
              <w:tc>
                <w:tcPr>
                  <w:tcW w:w="4095" w:type="dxa"/>
                  <w:tcBorders>
                    <w:left w:val="single" w:sz="4" w:space="0" w:color="auto"/>
                  </w:tcBorders>
                  <w:vAlign w:val="center"/>
                </w:tcPr>
                <w:p>
                  <w:pPr>
                    <w:pStyle w:val="39"/>
                    <w:rPr>
                      <w:rFonts w:hint="eastAsia"/>
                      <w:color w:val="auto"/>
                    </w:rPr>
                  </w:pPr>
                  <w:r>
                    <w:rPr>
                      <w:rFonts w:hint="eastAsia"/>
                      <w:color w:val="auto"/>
                    </w:rPr>
                    <w:t>《大气污染物综合排放标准》(GB16297-1996)表2无组织浓度限值要求</w:t>
                  </w:r>
                </w:p>
              </w:tc>
              <w:tc>
                <w:tcPr>
                  <w:tcW w:w="123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4.0</w:t>
                  </w:r>
                </w:p>
              </w:tc>
              <w:tc>
                <w:tcPr>
                  <w:tcW w:w="899" w:type="dxa"/>
                  <w:tcBorders>
                    <w:left w:val="single" w:sz="4" w:space="0" w:color="auto"/>
                  </w:tcBorders>
                  <w:vAlign w:val="center"/>
                </w:tcPr>
                <w:p>
                  <w:pPr>
                    <w:pStyle w:val="39"/>
                    <w:ind w:firstLine="0"/>
                    <w:rPr>
                      <w:color w:val="auto"/>
                      <w:lang w:val="en-US" w:eastAsia="zh-CN"/>
                      <w:highlight w:val="none"/>
                    </w:rPr>
                  </w:pPr>
                  <w:r>
                    <w:rPr>
                      <w:rFonts w:hint="eastAsia"/>
                      <w:color w:val="auto"/>
                      <w:lang w:val="en-US" w:eastAsia="zh-CN"/>
                    </w:rPr>
                    <w:t>0.113</w:t>
                  </w:r>
                </w:p>
              </w:tc>
            </w:tr>
          </w:tbl>
          <w:p>
            <w:pPr>
              <w:textAlignment w:val="baseline"/>
              <w:rPr>
                <w:color w:val="auto"/>
              </w:rPr>
            </w:pPr>
            <w:r>
              <w:rPr>
                <w:rFonts w:hint="eastAsia"/>
                <w:color w:val="auto"/>
              </w:rPr>
              <w:t>4、大气环境监测计划</w:t>
            </w:r>
          </w:p>
          <w:p>
            <w:pPr>
              <w:textAlignment w:val="baseline"/>
              <w:rPr>
                <w:color w:val="auto"/>
              </w:rPr>
            </w:pPr>
            <w:r>
              <w:rPr>
                <w:rFonts w:hint="eastAsia"/>
                <w:color w:val="auto"/>
              </w:rPr>
              <w:t>参照《排污单位自行监测技术指南 总则》（HJ 819-2017）、</w:t>
            </w:r>
            <w:r>
              <w:rPr>
                <w:rFonts w:hint="eastAsia"/>
                <w:color w:val="auto"/>
                <w:lang w:val="en-US" w:eastAsia="zh-CN"/>
              </w:rPr>
              <w:t>《排污许可证申请与核发技术规范 磷肥、钾肥、复混肥料、有机肥料及微生物肥料工业》(HJ864.2-2018)及《排污许可证申请与核发技术规范 工业炉窑》（HJ1121—2020）监测要求</w:t>
            </w:r>
            <w:r>
              <w:rPr>
                <w:color w:val="auto"/>
              </w:rPr>
              <w:t>，监测方案见下表。</w:t>
            </w:r>
          </w:p>
          <w:p>
            <w:pPr>
              <w:pStyle w:val="40"/>
              <w:rPr>
                <w:color w:val="auto"/>
              </w:rPr>
            </w:pPr>
            <w:r>
              <w:rPr>
                <w:color w:val="auto"/>
              </w:rPr>
              <w:t>表4-</w:t>
            </w:r>
            <w:r>
              <w:rPr>
                <w:rFonts w:hint="eastAsia"/>
                <w:color w:val="auto"/>
                <w:lang w:val="en-US" w:eastAsia="zh-CN"/>
              </w:rPr>
              <w:t>9</w:t>
            </w:r>
            <w:r>
              <w:rPr>
                <w:rFonts w:hint="eastAsia"/>
                <w:color w:val="auto"/>
              </w:rPr>
              <w:t xml:space="preserve">  </w:t>
            </w:r>
            <w:r>
              <w:rPr>
                <w:rFonts w:hint="eastAsia"/>
                <w:color w:val="auto"/>
                <w:lang w:val="en-US" w:eastAsia="zh-CN"/>
              </w:rPr>
              <w:t>全厂</w:t>
            </w:r>
            <w:r>
              <w:rPr>
                <w:color w:val="auto"/>
              </w:rPr>
              <w:t>废气监测方案</w:t>
            </w: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34" w:type="dxa"/>
                <w:bottom w:w="0" w:type="dxa"/>
                <w:right w:w="34" w:type="dxa"/>
              </w:tblCellMar>
              <w:tblLook w:val="0600" w:firstRow="0" w:lastRow="0" w:firstColumn="0" w:lastColumn="0" w:noHBand="1" w:noVBand="1"/>
            </w:tblPr>
            <w:tblGrid>
              <w:gridCol w:w="1889"/>
              <w:gridCol w:w="1550"/>
              <w:gridCol w:w="1092"/>
              <w:gridCol w:w="3796"/>
            </w:tblGrid>
            <w:tr>
              <w:trPr>
                <w:trHeight w:val="23"/>
              </w:trPr>
              <w:tc>
                <w:tcPr>
                  <w:tcW w:w="1938" w:type="dxa"/>
                  <w:tcBorders>
                    <w:tl2br w:val="nil"/>
                    <w:tr2bl w:val="nil"/>
                  </w:tcBorders>
                  <w:vAlign w:val="center"/>
                </w:tcPr>
                <w:p>
                  <w:pPr>
                    <w:pStyle w:val="39"/>
                    <w:rPr>
                      <w:color w:val="auto"/>
                      <w:szCs w:val="21"/>
                    </w:rPr>
                  </w:pPr>
                  <w:r>
                    <w:rPr>
                      <w:color w:val="auto"/>
                      <w:szCs w:val="21"/>
                    </w:rPr>
                    <w:t>监测点位</w:t>
                  </w:r>
                </w:p>
              </w:tc>
              <w:tc>
                <w:tcPr>
                  <w:tcW w:w="1590" w:type="dxa"/>
                  <w:tcBorders>
                    <w:tl2br w:val="nil"/>
                    <w:tr2bl w:val="nil"/>
                  </w:tcBorders>
                  <w:vAlign w:val="center"/>
                </w:tcPr>
                <w:p>
                  <w:pPr>
                    <w:pStyle w:val="39"/>
                    <w:rPr>
                      <w:color w:val="auto"/>
                      <w:szCs w:val="21"/>
                    </w:rPr>
                  </w:pPr>
                  <w:r>
                    <w:rPr>
                      <w:color w:val="auto"/>
                      <w:szCs w:val="21"/>
                    </w:rPr>
                    <w:t>监测指标</w:t>
                  </w:r>
                </w:p>
              </w:tc>
              <w:tc>
                <w:tcPr>
                  <w:tcW w:w="1120" w:type="dxa"/>
                  <w:tcBorders>
                    <w:tl2br w:val="nil"/>
                    <w:tr2bl w:val="nil"/>
                  </w:tcBorders>
                  <w:vAlign w:val="center"/>
                </w:tcPr>
                <w:p>
                  <w:pPr>
                    <w:pStyle w:val="39"/>
                    <w:rPr>
                      <w:color w:val="auto"/>
                      <w:szCs w:val="21"/>
                    </w:rPr>
                  </w:pPr>
                  <w:r>
                    <w:rPr>
                      <w:color w:val="auto"/>
                      <w:szCs w:val="21"/>
                    </w:rPr>
                    <w:t>监测</w:t>
                  </w:r>
                </w:p>
                <w:p>
                  <w:pPr>
                    <w:pStyle w:val="39"/>
                    <w:rPr>
                      <w:color w:val="auto"/>
                      <w:szCs w:val="21"/>
                    </w:rPr>
                  </w:pPr>
                  <w:r>
                    <w:rPr>
                      <w:color w:val="auto"/>
                      <w:szCs w:val="21"/>
                    </w:rPr>
                    <w:t>频次</w:t>
                  </w:r>
                </w:p>
              </w:tc>
              <w:tc>
                <w:tcPr>
                  <w:tcW w:w="3894" w:type="dxa"/>
                  <w:tcBorders>
                    <w:tl2br w:val="nil"/>
                    <w:tr2bl w:val="nil"/>
                  </w:tcBorders>
                  <w:vAlign w:val="center"/>
                </w:tcPr>
                <w:p>
                  <w:pPr>
                    <w:pStyle w:val="39"/>
                    <w:rPr>
                      <w:color w:val="auto"/>
                      <w:szCs w:val="21"/>
                    </w:rPr>
                  </w:pPr>
                  <w:r>
                    <w:rPr>
                      <w:color w:val="auto"/>
                      <w:szCs w:val="21"/>
                    </w:rPr>
                    <w:t>执行排放标准</w:t>
                  </w:r>
                </w:p>
              </w:tc>
            </w:tr>
            <w:tr>
              <w:trPr>
                <w:trHeight w:val="90"/>
              </w:trPr>
              <w:tc>
                <w:tcPr>
                  <w:tcW w:w="1938" w:type="dxa"/>
                  <w:tcBorders>
                    <w:tl2br w:val="nil"/>
                    <w:tr2bl w:val="nil"/>
                  </w:tcBorders>
                  <w:vAlign w:val="center"/>
                </w:tcPr>
                <w:p>
                  <w:pPr>
                    <w:pStyle w:val="39"/>
                    <w:rPr>
                      <w:rFonts w:hint="eastAsia"/>
                      <w:color w:val="auto"/>
                      <w:lang w:val="en-US" w:eastAsia="zh-CN"/>
                    </w:rPr>
                  </w:pPr>
                  <w:r>
                    <w:rPr>
                      <w:rFonts w:hint="eastAsia"/>
                      <w:color w:val="auto"/>
                      <w:lang w:val="en-US" w:eastAsia="zh-CN"/>
                    </w:rPr>
                    <w:t>中微量元素混合车间排气筒</w:t>
                  </w:r>
                </w:p>
              </w:tc>
              <w:tc>
                <w:tcPr>
                  <w:tcW w:w="1590" w:type="dxa"/>
                  <w:tcBorders>
                    <w:tl2br w:val="nil"/>
                    <w:tr2bl w:val="nil"/>
                  </w:tcBorders>
                  <w:vAlign w:val="center"/>
                </w:tcPr>
                <w:p>
                  <w:pPr>
                    <w:pStyle w:val="39"/>
                    <w:rPr>
                      <w:color w:val="auto"/>
                      <w:szCs w:val="21"/>
                    </w:rPr>
                  </w:pPr>
                  <w:r>
                    <w:rPr>
                      <w:rFonts w:hint="eastAsia"/>
                      <w:color w:val="auto"/>
                      <w:szCs w:val="21"/>
                    </w:rPr>
                    <w:t>颗粒物</w:t>
                  </w:r>
                </w:p>
              </w:tc>
              <w:tc>
                <w:tcPr>
                  <w:tcW w:w="1120" w:type="dxa"/>
                  <w:tcBorders>
                    <w:tl2br w:val="nil"/>
                    <w:tr2bl w:val="nil"/>
                  </w:tcBorders>
                  <w:vAlign w:val="center"/>
                </w:tcPr>
                <w:p>
                  <w:pPr>
                    <w:pStyle w:val="39"/>
                    <w:rPr>
                      <w:color w:val="auto"/>
                      <w:szCs w:val="21"/>
                    </w:rPr>
                  </w:pPr>
                  <w:r>
                    <w:rPr>
                      <w:rFonts w:hint="eastAsia"/>
                      <w:color w:val="auto"/>
                      <w:szCs w:val="21"/>
                    </w:rPr>
                    <w:t>1次/</w:t>
                  </w:r>
                  <w:r>
                    <w:rPr>
                      <w:rFonts w:hint="eastAsia"/>
                      <w:color w:val="auto"/>
                      <w:szCs w:val="21"/>
                      <w:lang w:val="en-US" w:eastAsia="zh-CN"/>
                    </w:rPr>
                    <w:t>半</w:t>
                  </w:r>
                  <w:r>
                    <w:rPr>
                      <w:rFonts w:hint="eastAsia"/>
                      <w:color w:val="auto"/>
                      <w:szCs w:val="21"/>
                    </w:rPr>
                    <w:t>年</w:t>
                  </w:r>
                </w:p>
              </w:tc>
              <w:tc>
                <w:tcPr>
                  <w:tcW w:w="3894" w:type="dxa"/>
                  <w:tcBorders>
                    <w:tl2br w:val="nil"/>
                    <w:tr2bl w:val="nil"/>
                  </w:tcBorders>
                  <w:vAlign w:val="center"/>
                </w:tcPr>
                <w:p>
                  <w:pPr>
                    <w:pStyle w:val="39"/>
                    <w:rPr>
                      <w:color w:val="auto"/>
                      <w:szCs w:val="21"/>
                    </w:rPr>
                  </w:pPr>
                  <w:r>
                    <w:rPr>
                      <w:rFonts w:hint="eastAsia"/>
                      <w:color w:val="auto"/>
                    </w:rPr>
                    <w:t>《大气污染物综合排放标准》（GB16297-1996）表2二级其他限值</w:t>
                  </w:r>
                </w:p>
              </w:tc>
            </w:tr>
            <w:tr>
              <w:trPr>
                <w:trHeight w:val="23"/>
              </w:trPr>
              <w:tc>
                <w:tcPr>
                  <w:tcW w:w="1938" w:type="dxa"/>
                  <w:vMerge w:val="restart"/>
                  <w:tcBorders>
                    <w:tl2br w:val="nil"/>
                    <w:tr2bl w:val="nil"/>
                  </w:tcBorders>
                  <w:vAlign w:val="center"/>
                </w:tcPr>
                <w:p>
                  <w:pPr>
                    <w:pStyle w:val="39"/>
                    <w:rPr>
                      <w:rFonts w:hint="eastAsia"/>
                      <w:color w:val="auto"/>
                      <w:lang w:val="en-US" w:eastAsia="zh-CN"/>
                    </w:rPr>
                  </w:pPr>
                  <w:r>
                    <w:rPr>
                      <w:rFonts w:hint="eastAsia"/>
                      <w:color w:val="auto"/>
                      <w:lang w:val="en-US" w:eastAsia="zh-CN"/>
                    </w:rPr>
                    <w:t>挤压造粒排气筒</w:t>
                  </w:r>
                </w:p>
              </w:tc>
              <w:tc>
                <w:tcPr>
                  <w:tcW w:w="1590" w:type="dxa"/>
                  <w:tcBorders>
                    <w:tl2br w:val="nil"/>
                    <w:tr2bl w:val="nil"/>
                  </w:tcBorders>
                  <w:vAlign w:val="center"/>
                </w:tcPr>
                <w:p>
                  <w:pPr>
                    <w:pStyle w:val="39"/>
                    <w:rPr>
                      <w:color w:val="auto"/>
                      <w:szCs w:val="21"/>
                    </w:rPr>
                  </w:pPr>
                  <w:r>
                    <w:rPr>
                      <w:rFonts w:hint="eastAsia"/>
                      <w:color w:val="auto"/>
                      <w:szCs w:val="21"/>
                    </w:rPr>
                    <w:t>颗粒物</w:t>
                  </w:r>
                </w:p>
              </w:tc>
              <w:tc>
                <w:tcPr>
                  <w:tcW w:w="1120" w:type="dxa"/>
                  <w:tcBorders>
                    <w:tl2br w:val="nil"/>
                    <w:tr2bl w:val="nil"/>
                  </w:tcBorders>
                  <w:vAlign w:val="center"/>
                </w:tcPr>
                <w:p>
                  <w:pPr>
                    <w:pStyle w:val="39"/>
                    <w:rPr>
                      <w:rFonts w:eastAsia="宋体" w:hint="eastAsia"/>
                      <w:color w:val="auto"/>
                      <w:szCs w:val="21"/>
                      <w:lang w:eastAsia="zh-CN"/>
                    </w:rPr>
                  </w:pPr>
                  <w:r>
                    <w:rPr>
                      <w:rFonts w:hint="eastAsia"/>
                      <w:color w:val="auto"/>
                      <w:szCs w:val="21"/>
                      <w:lang w:val="en-US" w:eastAsia="zh-CN"/>
                    </w:rPr>
                    <w:t>自动监测</w:t>
                  </w:r>
                </w:p>
              </w:tc>
              <w:tc>
                <w:tcPr>
                  <w:tcW w:w="3894" w:type="dxa"/>
                  <w:vMerge w:val="restart"/>
                  <w:tcBorders>
                    <w:tl2br w:val="nil"/>
                    <w:tr2bl w:val="nil"/>
                  </w:tcBorders>
                  <w:vAlign w:val="center"/>
                </w:tcPr>
                <w:p>
                  <w:pPr>
                    <w:pStyle w:val="39"/>
                    <w:rPr>
                      <w:color w:val="auto"/>
                      <w:szCs w:val="21"/>
                    </w:rPr>
                  </w:pPr>
                  <w:r>
                    <w:rPr>
                      <w:rFonts w:hint="eastAsia"/>
                      <w:color w:val="auto"/>
                    </w:rPr>
                    <w:t>《大气污染物综合排放标准》（GB16297-1996）表2二级其他限值</w:t>
                  </w: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甲醛</w:t>
                  </w:r>
                </w:p>
              </w:tc>
              <w:tc>
                <w:tcPr>
                  <w:tcW w:w="1120" w:type="dxa"/>
                  <w:tcBorders>
                    <w:tl2br w:val="nil"/>
                    <w:tr2bl w:val="nil"/>
                  </w:tcBorders>
                  <w:vAlign w:val="center"/>
                </w:tcPr>
                <w:p>
                  <w:pPr>
                    <w:pStyle w:val="39"/>
                    <w:rPr>
                      <w:rFonts w:hint="eastAsia"/>
                      <w:color w:val="auto"/>
                      <w:szCs w:val="21"/>
                      <w:lang w:val="en-US" w:eastAsia="zh-CN"/>
                    </w:rPr>
                  </w:pPr>
                  <w:r>
                    <w:rPr>
                      <w:rFonts w:hint="eastAsia"/>
                      <w:color w:val="auto"/>
                      <w:szCs w:val="21"/>
                      <w:lang w:val="en-US" w:eastAsia="zh-CN"/>
                    </w:rPr>
                    <w:t>1次/半年</w:t>
                  </w:r>
                </w:p>
              </w:tc>
              <w:tc>
                <w:tcPr>
                  <w:tcW w:w="3894" w:type="dxa"/>
                  <w:vMerge/>
                  <w:tcBorders>
                    <w:tl2br w:val="nil"/>
                    <w:tr2bl w:val="nil"/>
                  </w:tcBorders>
                  <w:vAlign w:val="center"/>
                </w:tcP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color w:val="auto"/>
                      <w:szCs w:val="21"/>
                      <w:lang w:val="en-US" w:eastAsia="zh-CN"/>
                    </w:rPr>
                  </w:pPr>
                  <w:r>
                    <w:rPr>
                      <w:rFonts w:hint="eastAsia"/>
                      <w:color w:val="auto"/>
                      <w:szCs w:val="21"/>
                      <w:lang w:val="en-US" w:eastAsia="zh-CN"/>
                    </w:rPr>
                    <w:t>氨</w:t>
                  </w:r>
                </w:p>
              </w:tc>
              <w:tc>
                <w:tcPr>
                  <w:tcW w:w="1120" w:type="dxa"/>
                  <w:tcBorders>
                    <w:tl2br w:val="nil"/>
                    <w:tr2bl w:val="nil"/>
                  </w:tcBorders>
                  <w:vAlign w:val="center"/>
                </w:tcPr>
                <w:p>
                  <w:pPr>
                    <w:pStyle w:val="39"/>
                    <w:rPr>
                      <w:rFonts w:eastAsia="宋体" w:hint="eastAsia"/>
                      <w:color w:val="auto"/>
                      <w:szCs w:val="21"/>
                      <w:lang w:val="en-US" w:eastAsia="zh-CN"/>
                    </w:rPr>
                  </w:pPr>
                  <w:r>
                    <w:rPr>
                      <w:color w:val="auto"/>
                      <w:szCs w:val="21"/>
                    </w:rPr>
                    <w:t>1次/</w:t>
                  </w:r>
                  <w:r>
                    <w:rPr>
                      <w:rFonts w:hint="eastAsia"/>
                      <w:color w:val="auto"/>
                      <w:szCs w:val="21"/>
                      <w:lang w:val="en-US" w:eastAsia="zh-CN"/>
                    </w:rPr>
                    <w:t>季度</w:t>
                  </w:r>
                </w:p>
              </w:tc>
              <w:tc>
                <w:tcPr>
                  <w:tcW w:w="3894" w:type="dxa"/>
                  <w:vMerge w:val="restart"/>
                  <w:tcBorders>
                    <w:tl2br w:val="nil"/>
                    <w:tr2bl w:val="nil"/>
                  </w:tcBorders>
                  <w:vAlign w:val="center"/>
                </w:tcPr>
                <w:p>
                  <w:pPr>
                    <w:pStyle w:val="39"/>
                    <w:rPr>
                      <w:rFonts w:hint="eastAsia"/>
                      <w:color w:val="auto"/>
                    </w:rPr>
                  </w:pPr>
                  <w:r>
                    <w:rPr>
                      <w:rFonts w:hint="eastAsia"/>
                      <w:color w:val="auto"/>
                      <w:lang w:val="en-US" w:eastAsia="zh-CN"/>
                    </w:rPr>
                    <w:t>《恶臭污染物排放标准》(GB14554-93)表2排放标准值</w:t>
                  </w:r>
                </w:p>
              </w:tc>
            </w:tr>
            <w:tr>
              <w:trPr>
                <w:trHeight w:val="90"/>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臭气浓度</w:t>
                  </w:r>
                </w:p>
              </w:tc>
              <w:tc>
                <w:tcPr>
                  <w:tcW w:w="1120" w:type="dxa"/>
                  <w:tcBorders>
                    <w:tl2br w:val="nil"/>
                    <w:tr2bl w:val="nil"/>
                  </w:tcBorders>
                  <w:vAlign w:val="center"/>
                </w:tcPr>
                <w:p>
                  <w:pPr>
                    <w:pStyle w:val="39"/>
                    <w:rPr>
                      <w:color w:val="auto"/>
                      <w:szCs w:val="21"/>
                    </w:rPr>
                  </w:pPr>
                  <w:r>
                    <w:rPr>
                      <w:rFonts w:hint="eastAsia"/>
                      <w:color w:val="auto"/>
                      <w:szCs w:val="21"/>
                    </w:rPr>
                    <w:t>1次/</w:t>
                  </w:r>
                  <w:r>
                    <w:rPr>
                      <w:rFonts w:hint="eastAsia"/>
                      <w:color w:val="auto"/>
                      <w:szCs w:val="21"/>
                      <w:lang w:val="en-US" w:eastAsia="zh-CN"/>
                    </w:rPr>
                    <w:t>半</w:t>
                  </w:r>
                  <w:r>
                    <w:rPr>
                      <w:rFonts w:hint="eastAsia"/>
                      <w:color w:val="auto"/>
                      <w:szCs w:val="21"/>
                    </w:rPr>
                    <w:t>年</w:t>
                  </w:r>
                </w:p>
              </w:tc>
              <w:tc>
                <w:tcPr>
                  <w:tcW w:w="3894" w:type="dxa"/>
                  <w:vMerge/>
                  <w:tcBorders>
                    <w:tl2br w:val="nil"/>
                    <w:tr2bl w:val="nil"/>
                  </w:tcBorders>
                  <w:vAlign w:val="center"/>
                </w:tcP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非甲烷总烃</w:t>
                  </w:r>
                </w:p>
              </w:tc>
              <w:tc>
                <w:tcPr>
                  <w:tcW w:w="1120" w:type="dxa"/>
                  <w:tcBorders>
                    <w:tl2br w:val="nil"/>
                    <w:tr2bl w:val="nil"/>
                  </w:tcBorders>
                  <w:vAlign w:val="center"/>
                </w:tcPr>
                <w:p>
                  <w:pPr>
                    <w:pStyle w:val="39"/>
                    <w:rPr>
                      <w:rFonts w:hint="eastAsia"/>
                      <w:color w:val="auto"/>
                      <w:szCs w:val="21"/>
                    </w:rPr>
                  </w:pPr>
                  <w:r>
                    <w:rPr>
                      <w:rFonts w:hint="eastAsia"/>
                      <w:color w:val="auto"/>
                      <w:szCs w:val="21"/>
                    </w:rPr>
                    <w:t>1次/</w:t>
                  </w:r>
                  <w:r>
                    <w:rPr>
                      <w:rFonts w:hint="eastAsia"/>
                      <w:color w:val="auto"/>
                      <w:szCs w:val="21"/>
                      <w:lang w:val="en-US" w:eastAsia="zh-CN"/>
                    </w:rPr>
                    <w:t>半</w:t>
                  </w:r>
                  <w:r>
                    <w:rPr>
                      <w:rFonts w:hint="eastAsia"/>
                      <w:color w:val="auto"/>
                      <w:szCs w:val="21"/>
                    </w:rPr>
                    <w:t>年</w:t>
                  </w:r>
                </w:p>
              </w:tc>
              <w:tc>
                <w:tcPr>
                  <w:tcW w:w="3894" w:type="dxa"/>
                  <w:tcBorders>
                    <w:tl2br w:val="nil"/>
                    <w:tr2bl w:val="nil"/>
                  </w:tcBorders>
                  <w:vAlign w:val="center"/>
                </w:tcPr>
                <w:p>
                  <w:pPr>
                    <w:pStyle w:val="39"/>
                    <w:rPr>
                      <w:rFonts w:hint="eastAsia"/>
                      <w:color w:val="auto"/>
                    </w:rPr>
                  </w:pPr>
                  <w:r>
                    <w:rPr>
                      <w:rFonts w:hint="eastAsia"/>
                      <w:color w:val="auto"/>
                      <w:lang w:val="en-US" w:eastAsia="zh-CN"/>
                    </w:rPr>
                    <w:t>《工业企业挥发性有机物排放控制标准》（DB13/2322-2025）表1其他工业行业排放限值</w:t>
                  </w:r>
                </w:p>
              </w:tc>
            </w:tr>
            <w:tr>
              <w:trPr>
                <w:trHeight w:val="23"/>
              </w:trPr>
              <w:tc>
                <w:tcPr>
                  <w:tcW w:w="1938" w:type="dxa"/>
                  <w:vMerge w:val="restart"/>
                  <w:tcBorders>
                    <w:tl2br w:val="nil"/>
                    <w:tr2bl w:val="nil"/>
                  </w:tcBorders>
                  <w:vAlign w:val="center"/>
                </w:tcPr>
                <w:p>
                  <w:pPr>
                    <w:pStyle w:val="39"/>
                    <w:rPr>
                      <w:color w:val="auto"/>
                    </w:rPr>
                  </w:pPr>
                  <w:r>
                    <w:rPr>
                      <w:rFonts w:hint="eastAsia"/>
                      <w:color w:val="auto"/>
                      <w:lang w:val="en-US" w:eastAsia="zh-CN"/>
                    </w:rPr>
                    <w:t>挤压造粒烘干排气筒</w:t>
                  </w: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颗粒物</w:t>
                  </w:r>
                </w:p>
              </w:tc>
              <w:tc>
                <w:tcPr>
                  <w:tcW w:w="1120" w:type="dxa"/>
                  <w:tcBorders>
                    <w:tl2br w:val="nil"/>
                    <w:tr2bl w:val="nil"/>
                  </w:tcBorders>
                  <w:vAlign w:val="center"/>
                </w:tcPr>
                <w:p>
                  <w:pPr>
                    <w:pStyle w:val="39"/>
                    <w:rPr>
                      <w:color w:val="auto"/>
                      <w:szCs w:val="21"/>
                    </w:rPr>
                  </w:pPr>
                  <w:r>
                    <w:rPr>
                      <w:rFonts w:hint="eastAsia"/>
                      <w:color w:val="auto"/>
                      <w:szCs w:val="21"/>
                      <w:lang w:val="en-US" w:eastAsia="zh-CN"/>
                    </w:rPr>
                    <w:t>自动监测</w:t>
                  </w:r>
                </w:p>
              </w:tc>
              <w:tc>
                <w:tcPr>
                  <w:tcW w:w="3894" w:type="dxa"/>
                  <w:vMerge w:val="restart"/>
                  <w:tcBorders>
                    <w:tl2br w:val="nil"/>
                    <w:tr2bl w:val="nil"/>
                  </w:tcBorders>
                  <w:vAlign w:val="center"/>
                </w:tcPr>
                <w:p>
                  <w:pPr>
                    <w:pStyle w:val="39"/>
                    <w:rPr>
                      <w:rFonts w:hint="eastAsia"/>
                      <w:color w:val="auto"/>
                    </w:rPr>
                  </w:pPr>
                  <w:r>
                    <w:rPr>
                      <w:rFonts w:hint="eastAsia"/>
                      <w:color w:val="auto"/>
                    </w:rPr>
                    <w:t>《大气污染物综合排放标准》（GB16297-1996）表2二级其他限值</w:t>
                  </w: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甲醛</w:t>
                  </w:r>
                </w:p>
              </w:tc>
              <w:tc>
                <w:tcPr>
                  <w:tcW w:w="1120" w:type="dxa"/>
                  <w:tcBorders>
                    <w:tl2br w:val="nil"/>
                    <w:tr2bl w:val="nil"/>
                  </w:tcBorders>
                  <w:vAlign w:val="center"/>
                </w:tcPr>
                <w:p>
                  <w:pPr>
                    <w:pStyle w:val="39"/>
                    <w:rPr>
                      <w:color w:val="auto"/>
                      <w:szCs w:val="21"/>
                    </w:rPr>
                  </w:pPr>
                  <w:r>
                    <w:rPr>
                      <w:color w:val="auto"/>
                      <w:szCs w:val="21"/>
                    </w:rPr>
                    <w:t>1次/</w:t>
                  </w:r>
                  <w:r>
                    <w:rPr>
                      <w:rFonts w:hint="eastAsia"/>
                      <w:color w:val="auto"/>
                      <w:szCs w:val="21"/>
                      <w:lang w:val="en-US" w:eastAsia="zh-CN"/>
                    </w:rPr>
                    <w:t>季度</w:t>
                  </w:r>
                </w:p>
              </w:tc>
              <w:tc>
                <w:tcPr>
                  <w:tcW w:w="3894" w:type="dxa"/>
                  <w:vMerge/>
                  <w:tcBorders>
                    <w:tl2br w:val="nil"/>
                    <w:tr2bl w:val="nil"/>
                  </w:tcBorders>
                  <w:vAlign w:val="center"/>
                </w:tcP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ind w:firstLine="0"/>
                    <w:rPr>
                      <w:color w:val="auto"/>
                      <w:szCs w:val="21"/>
                      <w:lang w:val="en-US" w:eastAsia="zh-CN"/>
                    </w:rPr>
                  </w:pPr>
                  <w:r>
                    <w:rPr>
                      <w:rFonts w:hint="eastAsia"/>
                      <w:color w:val="auto"/>
                      <w:szCs w:val="21"/>
                      <w:lang w:val="en-US" w:eastAsia="zh-CN"/>
                    </w:rPr>
                    <w:t>氨</w:t>
                  </w:r>
                </w:p>
              </w:tc>
              <w:tc>
                <w:tcPr>
                  <w:tcW w:w="1120" w:type="dxa"/>
                  <w:tcBorders>
                    <w:tl2br w:val="nil"/>
                    <w:tr2bl w:val="nil"/>
                  </w:tcBorders>
                  <w:vAlign w:val="center"/>
                </w:tcPr>
                <w:p>
                  <w:pPr>
                    <w:pStyle w:val="39"/>
                    <w:ind w:firstLine="0"/>
                    <w:rPr>
                      <w:color w:val="auto"/>
                      <w:szCs w:val="21"/>
                    </w:rPr>
                  </w:pPr>
                  <w:r>
                    <w:rPr>
                      <w:color w:val="auto"/>
                      <w:szCs w:val="21"/>
                    </w:rPr>
                    <w:t>1次/</w:t>
                  </w:r>
                  <w:r>
                    <w:rPr>
                      <w:rFonts w:hint="eastAsia"/>
                      <w:color w:val="auto"/>
                      <w:szCs w:val="21"/>
                      <w:lang w:val="en-US" w:eastAsia="zh-CN"/>
                    </w:rPr>
                    <w:t>季度</w:t>
                  </w:r>
                </w:p>
              </w:tc>
              <w:tc>
                <w:tcPr>
                  <w:tcW w:w="3894" w:type="dxa"/>
                  <w:tcBorders>
                    <w:tl2br w:val="nil"/>
                    <w:tr2bl w:val="nil"/>
                  </w:tcBorders>
                  <w:vAlign w:val="center"/>
                </w:tcPr>
                <w:p>
                  <w:pPr>
                    <w:pStyle w:val="39"/>
                    <w:ind w:firstLine="0"/>
                    <w:rPr>
                      <w:rFonts w:hint="eastAsia"/>
                      <w:color w:val="auto"/>
                    </w:rPr>
                  </w:pPr>
                  <w:r>
                    <w:rPr>
                      <w:rFonts w:hint="eastAsia"/>
                      <w:color w:val="auto"/>
                      <w:lang w:val="en-US" w:eastAsia="zh-CN"/>
                    </w:rPr>
                    <w:t>《恶臭污染物排放标准》(GB14554-93)表2排放标准值</w:t>
                  </w: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臭气浓度</w:t>
                  </w:r>
                </w:p>
              </w:tc>
              <w:tc>
                <w:tcPr>
                  <w:tcW w:w="1120" w:type="dxa"/>
                  <w:tcBorders>
                    <w:tl2br w:val="nil"/>
                    <w:tr2bl w:val="nil"/>
                  </w:tcBorders>
                  <w:vAlign w:val="center"/>
                </w:tcPr>
                <w:p>
                  <w:pPr>
                    <w:pStyle w:val="39"/>
                    <w:rPr>
                      <w:rFonts w:eastAsia="宋体" w:hint="eastAsia"/>
                      <w:color w:val="auto"/>
                      <w:szCs w:val="21"/>
                      <w:lang w:val="en-US" w:eastAsia="zh-CN"/>
                    </w:rPr>
                  </w:pPr>
                  <w:r>
                    <w:rPr>
                      <w:color w:val="auto"/>
                      <w:szCs w:val="21"/>
                    </w:rPr>
                    <w:t>1次/</w:t>
                  </w:r>
                  <w:r>
                    <w:rPr>
                      <w:rFonts w:hint="eastAsia"/>
                      <w:color w:val="auto"/>
                      <w:szCs w:val="21"/>
                      <w:lang w:val="en-US" w:eastAsia="zh-CN"/>
                    </w:rPr>
                    <w:t>半年</w:t>
                  </w:r>
                </w:p>
              </w:tc>
              <w:tc>
                <w:tcPr>
                  <w:tcW w:w="3894" w:type="dxa"/>
                  <w:tcBorders>
                    <w:tl2br w:val="nil"/>
                    <w:tr2bl w:val="nil"/>
                  </w:tcBorders>
                  <w:vAlign w:val="center"/>
                </w:tcPr>
                <w:p>
                  <w:pPr>
                    <w:pStyle w:val="39"/>
                    <w:rPr>
                      <w:rFonts w:hint="eastAsia"/>
                      <w:color w:val="auto"/>
                    </w:rPr>
                  </w:pPr>
                  <w:r>
                    <w:rPr>
                      <w:rFonts w:hint="eastAsia"/>
                      <w:color w:val="auto"/>
                      <w:lang w:val="en-US" w:eastAsia="zh-CN"/>
                    </w:rPr>
                    <w:t>《恶臭污染物排放标准》(GB14554-93)表2排放标准值</w:t>
                  </w:r>
                </w:p>
              </w:tc>
            </w:tr>
            <w:tr>
              <w:trPr>
                <w:trHeight w:val="23"/>
              </w:trPr>
              <w:tc>
                <w:tcPr>
                  <w:tcW w:w="1938" w:type="dxa"/>
                  <w:vMerge w:val="restart"/>
                  <w:tcBorders>
                    <w:tl2br w:val="nil"/>
                    <w:tr2bl w:val="nil"/>
                  </w:tcBorders>
                  <w:vAlign w:val="center"/>
                </w:tcPr>
                <w:p>
                  <w:pPr>
                    <w:pStyle w:val="39"/>
                    <w:rPr>
                      <w:color w:val="auto"/>
                      <w:lang w:val="en-US" w:eastAsia="zh-CN"/>
                    </w:rPr>
                  </w:pPr>
                  <w:r>
                    <w:rPr>
                      <w:rFonts w:hint="eastAsia"/>
                      <w:color w:val="auto"/>
                      <w:lang w:val="en-US" w:eastAsia="zh-CN"/>
                      <w:highlight w:val="none"/>
                    </w:rPr>
                    <w:t>天然气燃烧机后进入密闭烘干机前管道</w:t>
                  </w: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颗粒物</w:t>
                  </w:r>
                </w:p>
              </w:tc>
              <w:tc>
                <w:tcPr>
                  <w:tcW w:w="1120" w:type="dxa"/>
                  <w:tcBorders>
                    <w:tl2br w:val="nil"/>
                    <w:tr2bl w:val="nil"/>
                  </w:tcBorders>
                  <w:vAlign w:val="center"/>
                </w:tcPr>
                <w:p>
                  <w:pPr>
                    <w:pStyle w:val="39"/>
                    <w:rPr>
                      <w:rFonts w:eastAsia="宋体" w:hint="eastAsia"/>
                      <w:color w:val="auto"/>
                      <w:szCs w:val="21"/>
                      <w:lang w:val="en-US" w:eastAsia="zh-CN"/>
                    </w:rPr>
                  </w:pPr>
                  <w:r>
                    <w:rPr>
                      <w:rFonts w:eastAsia="宋体" w:hint="eastAsia"/>
                      <w:color w:val="auto"/>
                      <w:szCs w:val="21"/>
                      <w:lang w:val="en-US" w:eastAsia="zh-CN"/>
                    </w:rPr>
                    <w:t>1次/月</w:t>
                  </w:r>
                </w:p>
              </w:tc>
              <w:tc>
                <w:tcPr>
                  <w:tcW w:w="3894" w:type="dxa"/>
                  <w:vMerge w:val="restart"/>
                  <w:tcBorders>
                    <w:tl2br w:val="nil"/>
                    <w:tr2bl w:val="nil"/>
                  </w:tcBorders>
                  <w:vAlign w:val="center"/>
                </w:tcPr>
                <w:p>
                  <w:pPr>
                    <w:pStyle w:val="39"/>
                    <w:rPr>
                      <w:rFonts w:hint="eastAsia"/>
                      <w:color w:val="auto"/>
                    </w:rPr>
                  </w:pPr>
                  <w:r>
                    <w:rPr>
                      <w:rFonts w:hint="eastAsia"/>
                      <w:color w:val="auto"/>
                      <w:lang w:val="en-US" w:eastAsia="zh-CN"/>
                    </w:rPr>
                    <w:t>《工业炉窑大气污染物排放标准》（DB13/1640-2012）及《工业炉窑大气污染综合治理方案》(环大气[2019]56号)文件要求</w:t>
                  </w: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二氧化硫</w:t>
                  </w:r>
                </w:p>
              </w:tc>
              <w:tc>
                <w:tcPr>
                  <w:tcW w:w="1120" w:type="dxa"/>
                  <w:tcBorders>
                    <w:tl2br w:val="nil"/>
                    <w:tr2bl w:val="nil"/>
                  </w:tcBorders>
                  <w:vAlign w:val="center"/>
                </w:tcPr>
                <w:p>
                  <w:pPr>
                    <w:pStyle w:val="39"/>
                    <w:rPr>
                      <w:rFonts w:eastAsia="宋体" w:hint="eastAsia"/>
                      <w:color w:val="auto"/>
                      <w:szCs w:val="21"/>
                      <w:lang w:val="en-US" w:eastAsia="zh-CN"/>
                    </w:rPr>
                  </w:pPr>
                  <w:r>
                    <w:rPr>
                      <w:color w:val="auto"/>
                      <w:szCs w:val="21"/>
                    </w:rPr>
                    <w:t>1次/</w:t>
                  </w:r>
                  <w:r>
                    <w:rPr>
                      <w:rFonts w:hint="eastAsia"/>
                      <w:color w:val="auto"/>
                      <w:szCs w:val="21"/>
                      <w:lang w:val="en-US" w:eastAsia="zh-CN"/>
                    </w:rPr>
                    <w:t>月</w:t>
                  </w:r>
                </w:p>
              </w:tc>
              <w:tc>
                <w:tcPr>
                  <w:tcW w:w="3894" w:type="dxa"/>
                  <w:vMerge/>
                  <w:tcBorders>
                    <w:tl2br w:val="nil"/>
                    <w:tr2bl w:val="nil"/>
                  </w:tcBorders>
                  <w:vAlign w:val="center"/>
                </w:tcP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氮氧化物</w:t>
                  </w:r>
                </w:p>
              </w:tc>
              <w:tc>
                <w:tcPr>
                  <w:tcW w:w="1120" w:type="dxa"/>
                  <w:tcBorders>
                    <w:tl2br w:val="nil"/>
                    <w:tr2bl w:val="nil"/>
                  </w:tcBorders>
                  <w:vAlign w:val="center"/>
                </w:tcPr>
                <w:p>
                  <w:pPr>
                    <w:pStyle w:val="39"/>
                    <w:rPr>
                      <w:rFonts w:eastAsia="宋体" w:hint="eastAsia"/>
                      <w:color w:val="auto"/>
                      <w:szCs w:val="21"/>
                      <w:lang w:val="en-US" w:eastAsia="zh-CN"/>
                    </w:rPr>
                  </w:pPr>
                  <w:r>
                    <w:rPr>
                      <w:color w:val="auto"/>
                      <w:szCs w:val="21"/>
                    </w:rPr>
                    <w:t>1次/</w:t>
                  </w:r>
                  <w:r>
                    <w:rPr>
                      <w:rFonts w:hint="eastAsia"/>
                      <w:color w:val="auto"/>
                      <w:szCs w:val="21"/>
                      <w:lang w:val="en-US" w:eastAsia="zh-CN"/>
                    </w:rPr>
                    <w:t>月</w:t>
                  </w:r>
                </w:p>
              </w:tc>
              <w:tc>
                <w:tcPr>
                  <w:tcW w:w="3894" w:type="dxa"/>
                  <w:vMerge/>
                  <w:tcBorders>
                    <w:tl2br w:val="nil"/>
                    <w:tr2bl w:val="nil"/>
                  </w:tcBorders>
                  <w:vAlign w:val="center"/>
                </w:tcP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林格曼黑度</w:t>
                  </w:r>
                </w:p>
              </w:tc>
              <w:tc>
                <w:tcPr>
                  <w:tcW w:w="1120" w:type="dxa"/>
                  <w:tcBorders>
                    <w:tl2br w:val="nil"/>
                    <w:tr2bl w:val="nil"/>
                  </w:tcBorders>
                  <w:vAlign w:val="center"/>
                </w:tcPr>
                <w:p>
                  <w:pPr>
                    <w:pStyle w:val="39"/>
                    <w:rPr>
                      <w:color w:val="auto"/>
                      <w:szCs w:val="21"/>
                    </w:rPr>
                  </w:pPr>
                  <w:r>
                    <w:rPr>
                      <w:color w:val="auto"/>
                      <w:szCs w:val="21"/>
                    </w:rPr>
                    <w:t>1次/</w:t>
                  </w:r>
                  <w:r>
                    <w:rPr>
                      <w:rFonts w:hint="eastAsia"/>
                      <w:color w:val="auto"/>
                      <w:szCs w:val="21"/>
                      <w:lang w:val="en-US" w:eastAsia="zh-CN"/>
                    </w:rPr>
                    <w:t>半年</w:t>
                  </w:r>
                </w:p>
              </w:tc>
              <w:tc>
                <w:tcPr>
                  <w:tcW w:w="3894" w:type="dxa"/>
                  <w:vMerge/>
                  <w:tcBorders>
                    <w:tl2br w:val="nil"/>
                    <w:tr2bl w:val="nil"/>
                  </w:tcBorders>
                  <w:vAlign w:val="center"/>
                </w:tcPr>
                <w:p/>
              </w:tc>
            </w:tr>
            <w:tr>
              <w:trPr>
                <w:trHeight w:val="23"/>
              </w:trPr>
              <w:tc>
                <w:tcPr>
                  <w:tcW w:w="1938" w:type="dxa"/>
                  <w:vMerge w:val="restart"/>
                  <w:tcBorders>
                    <w:tl2br w:val="nil"/>
                    <w:tr2bl w:val="nil"/>
                  </w:tcBorders>
                  <w:vAlign w:val="center"/>
                </w:tcPr>
                <w:p>
                  <w:pPr>
                    <w:pStyle w:val="39"/>
                    <w:rPr>
                      <w:color w:val="auto"/>
                      <w:lang w:val="en-US" w:eastAsia="zh-CN"/>
                    </w:rPr>
                  </w:pPr>
                  <w:r>
                    <w:rPr>
                      <w:rFonts w:hint="eastAsia"/>
                      <w:color w:val="auto"/>
                      <w:lang w:val="en-US" w:eastAsia="zh-CN"/>
                    </w:rPr>
                    <w:t>化验室废气排气筒</w:t>
                  </w: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氯化氢</w:t>
                  </w:r>
                </w:p>
              </w:tc>
              <w:tc>
                <w:tcPr>
                  <w:tcW w:w="1120" w:type="dxa"/>
                  <w:tcBorders>
                    <w:tl2br w:val="nil"/>
                    <w:tr2bl w:val="nil"/>
                  </w:tcBorders>
                  <w:vAlign w:val="center"/>
                </w:tcPr>
                <w:p>
                  <w:pPr>
                    <w:pStyle w:val="39"/>
                    <w:rPr>
                      <w:color w:val="auto"/>
                      <w:szCs w:val="21"/>
                    </w:rPr>
                  </w:pPr>
                  <w:r>
                    <w:rPr>
                      <w:rFonts w:hint="eastAsia"/>
                      <w:color w:val="auto"/>
                      <w:szCs w:val="21"/>
                      <w:lang w:val="en-US" w:eastAsia="zh-CN"/>
                    </w:rPr>
                    <w:t>1次/年</w:t>
                  </w:r>
                </w:p>
              </w:tc>
              <w:tc>
                <w:tcPr>
                  <w:tcW w:w="3894" w:type="dxa"/>
                  <w:vMerge w:val="restart"/>
                  <w:tcBorders>
                    <w:tl2br w:val="nil"/>
                    <w:tr2bl w:val="nil"/>
                  </w:tcBorders>
                  <w:vAlign w:val="center"/>
                </w:tcPr>
                <w:p>
                  <w:pPr>
                    <w:pStyle w:val="39"/>
                    <w:rPr>
                      <w:rFonts w:hint="eastAsia"/>
                      <w:color w:val="auto"/>
                    </w:rPr>
                  </w:pPr>
                  <w:r>
                    <w:rPr>
                      <w:rFonts w:hint="eastAsia"/>
                      <w:color w:val="auto"/>
                    </w:rPr>
                    <w:t>《大气污染物综合排放标准》（GB16297-1996）表2二级其他限值</w:t>
                  </w: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硫酸雾</w:t>
                  </w:r>
                </w:p>
              </w:tc>
              <w:tc>
                <w:tcPr>
                  <w:tcW w:w="1120" w:type="dxa"/>
                  <w:tcBorders>
                    <w:tl2br w:val="nil"/>
                    <w:tr2bl w:val="nil"/>
                  </w:tcBorders>
                  <w:vAlign w:val="center"/>
                </w:tcPr>
                <w:p>
                  <w:pPr>
                    <w:pStyle w:val="39"/>
                    <w:rPr>
                      <w:color w:val="auto"/>
                      <w:szCs w:val="21"/>
                    </w:rPr>
                  </w:pPr>
                  <w:r>
                    <w:rPr>
                      <w:rFonts w:hint="eastAsia"/>
                      <w:color w:val="auto"/>
                      <w:szCs w:val="21"/>
                      <w:lang w:val="en-US" w:eastAsia="zh-CN"/>
                    </w:rPr>
                    <w:t>1次/年</w:t>
                  </w:r>
                </w:p>
              </w:tc>
              <w:tc>
                <w:tcPr>
                  <w:tcW w:w="3894" w:type="dxa"/>
                  <w:vMerge/>
                  <w:tcBorders>
                    <w:tl2br w:val="nil"/>
                    <w:tr2bl w:val="nil"/>
                  </w:tcBorders>
                  <w:vAlign w:val="center"/>
                </w:tcPr>
                <w:p/>
              </w:tc>
            </w:tr>
            <w:tr>
              <w:trPr>
                <w:trHeight w:val="23"/>
              </w:trPr>
              <w:tc>
                <w:tcPr>
                  <w:tcW w:w="1938" w:type="dxa"/>
                  <w:vMerge/>
                  <w:tcBorders>
                    <w:tl2br w:val="nil"/>
                    <w:tr2bl w:val="nil"/>
                  </w:tcBorders>
                  <w:vAlign w:val="center"/>
                </w:tcP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氮氧化物</w:t>
                  </w:r>
                </w:p>
              </w:tc>
              <w:tc>
                <w:tcPr>
                  <w:tcW w:w="1120" w:type="dxa"/>
                  <w:tcBorders>
                    <w:tl2br w:val="nil"/>
                    <w:tr2bl w:val="nil"/>
                  </w:tcBorders>
                  <w:vAlign w:val="center"/>
                </w:tcPr>
                <w:p>
                  <w:pPr>
                    <w:pStyle w:val="39"/>
                    <w:rPr>
                      <w:color w:val="auto"/>
                      <w:szCs w:val="21"/>
                    </w:rPr>
                  </w:pPr>
                  <w:r>
                    <w:rPr>
                      <w:rFonts w:hint="eastAsia"/>
                      <w:color w:val="auto"/>
                      <w:szCs w:val="21"/>
                      <w:lang w:val="en-US" w:eastAsia="zh-CN"/>
                    </w:rPr>
                    <w:t>1次/年</w:t>
                  </w:r>
                </w:p>
              </w:tc>
              <w:tc>
                <w:tcPr>
                  <w:tcW w:w="3894" w:type="dxa"/>
                  <w:vMerge/>
                  <w:tcBorders>
                    <w:tl2br w:val="nil"/>
                    <w:tr2bl w:val="nil"/>
                  </w:tcBorders>
                  <w:vAlign w:val="center"/>
                </w:tcPr>
                <w:p/>
              </w:tc>
            </w:tr>
            <w:tr>
              <w:trPr>
                <w:trHeight w:val="23"/>
              </w:trPr>
              <w:tc>
                <w:tcPr>
                  <w:tcW w:w="1938" w:type="dxa"/>
                  <w:vMerge/>
                  <w:tcBorders>
                    <w:tl2br w:val="nil"/>
                    <w:tr2bl w:val="nil"/>
                  </w:tcBorders>
                  <w:vAlign w:val="center"/>
                </w:tcPr>
                <w:p/>
              </w:tc>
              <w:tc>
                <w:tcPr>
                  <w:tcW w:w="1590"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1"/>
                      <w:lang w:val="en-US" w:eastAsia="zh-CN" w:bidi="ar-SA"/>
                    </w:rPr>
                  </w:pPr>
                  <w:r>
                    <w:rPr>
                      <w:rFonts w:hint="eastAsia"/>
                      <w:color w:val="auto"/>
                      <w:szCs w:val="21"/>
                      <w:lang w:val="en-US" w:eastAsia="zh-CN"/>
                    </w:rPr>
                    <w:t>非甲烷总烃</w:t>
                  </w:r>
                </w:p>
              </w:tc>
              <w:tc>
                <w:tcPr>
                  <w:tcW w:w="1120"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1"/>
                      <w:lang w:val="en-US" w:eastAsia="zh-CN" w:bidi="ar-SA"/>
                    </w:rPr>
                  </w:pPr>
                  <w:r>
                    <w:rPr>
                      <w:rFonts w:hint="eastAsia"/>
                      <w:color w:val="auto"/>
                      <w:szCs w:val="21"/>
                      <w:lang w:val="en-US" w:eastAsia="zh-CN"/>
                    </w:rPr>
                    <w:t>1次/年</w:t>
                  </w:r>
                </w:p>
              </w:tc>
              <w:tc>
                <w:tcPr>
                  <w:tcW w:w="3894" w:type="dxa"/>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《工业企业挥发性有机物排放控制标准》（DB13/2322-2025）表1其他工业行业排放限值</w:t>
                  </w:r>
                </w:p>
              </w:tc>
            </w:tr>
            <w:tr>
              <w:trPr>
                <w:trHeight w:val="765"/>
              </w:trPr>
              <w:tc>
                <w:tcPr>
                  <w:tcW w:w="1938" w:type="dxa"/>
                  <w:vMerge w:val="restart"/>
                  <w:tcBorders>
                    <w:tl2br w:val="nil"/>
                    <w:tr2bl w:val="nil"/>
                  </w:tcBorders>
                  <w:vAlign w:val="center"/>
                </w:tcPr>
                <w:p>
                  <w:pPr>
                    <w:pStyle w:val="39"/>
                    <w:rPr>
                      <w:color w:val="auto"/>
                      <w:szCs w:val="21"/>
                    </w:rPr>
                  </w:pPr>
                  <w:r>
                    <w:rPr>
                      <w:color w:val="auto"/>
                      <w:szCs w:val="21"/>
                    </w:rPr>
                    <w:t>厂界</w:t>
                  </w:r>
                </w:p>
              </w:tc>
              <w:tc>
                <w:tcPr>
                  <w:tcW w:w="1590" w:type="dxa"/>
                  <w:tcBorders>
                    <w:tl2br w:val="nil"/>
                    <w:tr2bl w:val="nil"/>
                  </w:tcBorders>
                  <w:vAlign w:val="center"/>
                </w:tcPr>
                <w:p>
                  <w:pPr>
                    <w:pStyle w:val="39"/>
                    <w:rPr>
                      <w:color w:val="auto"/>
                      <w:szCs w:val="21"/>
                    </w:rPr>
                  </w:pPr>
                  <w:r>
                    <w:rPr>
                      <w:rFonts w:hint="eastAsia"/>
                      <w:color w:val="auto"/>
                      <w:szCs w:val="21"/>
                    </w:rPr>
                    <w:t>颗粒物</w:t>
                  </w:r>
                </w:p>
              </w:tc>
              <w:tc>
                <w:tcPr>
                  <w:tcW w:w="1120" w:type="dxa"/>
                  <w:tcBorders>
                    <w:tl2br w:val="nil"/>
                    <w:tr2bl w:val="nil"/>
                  </w:tcBorders>
                  <w:vAlign w:val="center"/>
                </w:tcPr>
                <w:p>
                  <w:pPr>
                    <w:pStyle w:val="39"/>
                    <w:rPr>
                      <w:color w:val="auto"/>
                      <w:szCs w:val="21"/>
                      <w:lang w:val="en-US"/>
                    </w:rPr>
                  </w:pPr>
                  <w:r>
                    <w:rPr>
                      <w:rFonts w:hint="eastAsia"/>
                      <w:color w:val="auto"/>
                      <w:szCs w:val="21"/>
                      <w:lang w:val="en-US" w:eastAsia="zh-CN"/>
                    </w:rPr>
                    <w:t>1次/季度</w:t>
                  </w:r>
                </w:p>
              </w:tc>
              <w:tc>
                <w:tcPr>
                  <w:tcW w:w="3894" w:type="dxa"/>
                  <w:tcBorders>
                    <w:tl2br w:val="nil"/>
                    <w:tr2bl w:val="nil"/>
                  </w:tcBorders>
                  <w:vAlign w:val="center"/>
                </w:tcPr>
                <w:p>
                  <w:pPr>
                    <w:pStyle w:val="39"/>
                    <w:rPr>
                      <w:color w:val="auto"/>
                      <w:szCs w:val="21"/>
                    </w:rPr>
                  </w:pPr>
                  <w:r>
                    <w:rPr>
                      <w:rFonts w:hint="eastAsia"/>
                      <w:color w:val="auto"/>
                      <w:szCs w:val="21"/>
                    </w:rPr>
                    <w:t>《大气污染物综合排放标准》(GB16297-1996)表2无组织浓度限值要求</w:t>
                  </w:r>
                </w:p>
              </w:tc>
            </w:tr>
            <w:tr>
              <w:trPr>
                <w:trHeight w:val="765"/>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氨</w:t>
                  </w:r>
                </w:p>
              </w:tc>
              <w:tc>
                <w:tcPr>
                  <w:tcW w:w="1120" w:type="dxa"/>
                  <w:tcBorders>
                    <w:tl2br w:val="nil"/>
                    <w:tr2bl w:val="nil"/>
                  </w:tcBorders>
                  <w:vAlign w:val="center"/>
                </w:tcPr>
                <w:p>
                  <w:pPr>
                    <w:pStyle w:val="39"/>
                    <w:rPr>
                      <w:color w:val="auto"/>
                      <w:szCs w:val="21"/>
                      <w:lang w:val="en-US" w:eastAsia="zh-CN"/>
                    </w:rPr>
                  </w:pPr>
                  <w:r>
                    <w:rPr>
                      <w:rFonts w:hint="eastAsia"/>
                      <w:color w:val="auto"/>
                      <w:szCs w:val="21"/>
                      <w:lang w:val="en-US" w:eastAsia="zh-CN"/>
                    </w:rPr>
                    <w:t>1次/季度</w:t>
                  </w:r>
                </w:p>
              </w:tc>
              <w:tc>
                <w:tcPr>
                  <w:tcW w:w="3894" w:type="dxa"/>
                  <w:vMerge w:val="restart"/>
                  <w:tcBorders>
                    <w:tl2br w:val="nil"/>
                    <w:tr2bl w:val="nil"/>
                  </w:tcBorders>
                  <w:vAlign w:val="center"/>
                </w:tcPr>
                <w:p>
                  <w:pPr>
                    <w:pStyle w:val="39"/>
                    <w:rPr>
                      <w:rFonts w:hint="eastAsia"/>
                      <w:color w:val="auto"/>
                      <w:szCs w:val="21"/>
                    </w:rPr>
                  </w:pPr>
                  <w:r>
                    <w:rPr>
                      <w:rFonts w:hint="eastAsia"/>
                      <w:color w:val="auto"/>
                      <w:szCs w:val="21"/>
                      <w:lang w:val="en-US" w:eastAsia="zh-CN"/>
                    </w:rPr>
                    <w:t>《恶臭污染物排放标准》（GB14554-93）表1二级新扩改建标准</w:t>
                  </w:r>
                </w:p>
              </w:tc>
            </w:tr>
            <w:tr>
              <w:trPr>
                <w:trHeight w:val="765"/>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臭气浓度</w:t>
                  </w:r>
                </w:p>
              </w:tc>
              <w:tc>
                <w:tcPr>
                  <w:tcW w:w="1120" w:type="dxa"/>
                  <w:tcBorders>
                    <w:tl2br w:val="nil"/>
                    <w:tr2bl w:val="nil"/>
                  </w:tcBorders>
                  <w:vAlign w:val="center"/>
                </w:tcPr>
                <w:p>
                  <w:pPr>
                    <w:pStyle w:val="39"/>
                    <w:rPr>
                      <w:rFonts w:hint="eastAsia"/>
                      <w:color w:val="auto"/>
                      <w:szCs w:val="21"/>
                      <w:lang w:val="en-US" w:eastAsia="zh-CN"/>
                    </w:rPr>
                  </w:pPr>
                  <w:r>
                    <w:rPr>
                      <w:rFonts w:hint="eastAsia"/>
                      <w:color w:val="auto"/>
                      <w:szCs w:val="21"/>
                      <w:lang w:val="en-US" w:eastAsia="zh-CN"/>
                    </w:rPr>
                    <w:t>1次/季度</w:t>
                  </w:r>
                </w:p>
              </w:tc>
              <w:tc>
                <w:tcPr>
                  <w:tcW w:w="3894" w:type="dxa"/>
                  <w:vMerge/>
                  <w:tcBorders>
                    <w:tl2br w:val="nil"/>
                    <w:tr2bl w:val="nil"/>
                  </w:tcBorders>
                  <w:vAlign w:val="center"/>
                </w:tcPr>
                <w:p/>
              </w:tc>
            </w:tr>
            <w:tr>
              <w:trPr>
                <w:trHeight w:val="765"/>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氯化氢</w:t>
                  </w:r>
                </w:p>
              </w:tc>
              <w:tc>
                <w:tcPr>
                  <w:tcW w:w="1120" w:type="dxa"/>
                  <w:tcBorders>
                    <w:tl2br w:val="nil"/>
                    <w:tr2bl w:val="nil"/>
                  </w:tcBorders>
                  <w:vAlign w:val="center"/>
                </w:tcPr>
                <w:p>
                  <w:pPr>
                    <w:pStyle w:val="39"/>
                    <w:rPr>
                      <w:rFonts w:hint="eastAsia"/>
                      <w:color w:val="auto"/>
                      <w:szCs w:val="21"/>
                      <w:lang w:val="en-US" w:eastAsia="zh-CN"/>
                    </w:rPr>
                  </w:pPr>
                  <w:r>
                    <w:rPr>
                      <w:rFonts w:hint="eastAsia"/>
                      <w:color w:val="auto"/>
                      <w:szCs w:val="21"/>
                      <w:lang w:val="en-US" w:eastAsia="zh-CN"/>
                    </w:rPr>
                    <w:t>1次/季度</w:t>
                  </w:r>
                </w:p>
              </w:tc>
              <w:tc>
                <w:tcPr>
                  <w:tcW w:w="3894" w:type="dxa"/>
                  <w:vMerge w:val="restart"/>
                  <w:tcBorders>
                    <w:tl2br w:val="nil"/>
                    <w:tr2bl w:val="nil"/>
                  </w:tcBorders>
                  <w:vAlign w:val="center"/>
                </w:tcPr>
                <w:p>
                  <w:pPr>
                    <w:pStyle w:val="39"/>
                    <w:rPr>
                      <w:rFonts w:hint="eastAsia"/>
                      <w:color w:val="auto"/>
                      <w:szCs w:val="21"/>
                    </w:rPr>
                  </w:pPr>
                  <w:r>
                    <w:rPr>
                      <w:rFonts w:hint="eastAsia"/>
                      <w:color w:val="auto"/>
                      <w:szCs w:val="21"/>
                    </w:rPr>
                    <w:t>《大气污染物综合排放标准》(GB16297-1996)表2无组织浓度限值要求</w:t>
                  </w:r>
                </w:p>
              </w:tc>
            </w:tr>
            <w:tr>
              <w:trPr>
                <w:trHeight w:val="765"/>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硫酸雾</w:t>
                  </w:r>
                </w:p>
              </w:tc>
              <w:tc>
                <w:tcPr>
                  <w:tcW w:w="1120" w:type="dxa"/>
                  <w:tcBorders>
                    <w:tl2br w:val="nil"/>
                    <w:tr2bl w:val="nil"/>
                  </w:tcBorders>
                  <w:vAlign w:val="center"/>
                </w:tcPr>
                <w:p>
                  <w:pPr>
                    <w:pStyle w:val="39"/>
                    <w:rPr>
                      <w:color w:val="auto"/>
                      <w:szCs w:val="21"/>
                      <w:lang w:val="en-US" w:eastAsia="zh-CN"/>
                    </w:rPr>
                  </w:pPr>
                  <w:r>
                    <w:rPr>
                      <w:rFonts w:hint="eastAsia"/>
                      <w:color w:val="auto"/>
                      <w:szCs w:val="21"/>
                      <w:lang w:val="en-US" w:eastAsia="zh-CN"/>
                    </w:rPr>
                    <w:t>1次/年</w:t>
                  </w:r>
                </w:p>
              </w:tc>
              <w:tc>
                <w:tcPr>
                  <w:tcW w:w="3894" w:type="dxa"/>
                  <w:vMerge/>
                  <w:tcBorders>
                    <w:tl2br w:val="nil"/>
                    <w:tr2bl w:val="nil"/>
                  </w:tcBorders>
                  <w:vAlign w:val="center"/>
                </w:tcPr>
                <w:p/>
              </w:tc>
            </w:tr>
            <w:tr>
              <w:trPr>
                <w:trHeight w:val="765"/>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氮氧化物</w:t>
                  </w:r>
                </w:p>
              </w:tc>
              <w:tc>
                <w:tcPr>
                  <w:tcW w:w="1120" w:type="dxa"/>
                  <w:tcBorders>
                    <w:tl2br w:val="nil"/>
                    <w:tr2bl w:val="nil"/>
                  </w:tcBorders>
                  <w:vAlign w:val="center"/>
                </w:tcPr>
                <w:p>
                  <w:pPr>
                    <w:pStyle w:val="39"/>
                    <w:rPr>
                      <w:color w:val="auto"/>
                      <w:szCs w:val="21"/>
                      <w:lang w:val="en-US" w:eastAsia="zh-CN"/>
                    </w:rPr>
                  </w:pPr>
                  <w:r>
                    <w:rPr>
                      <w:rFonts w:hint="eastAsia"/>
                      <w:color w:val="auto"/>
                      <w:szCs w:val="21"/>
                      <w:lang w:val="en-US" w:eastAsia="zh-CN"/>
                    </w:rPr>
                    <w:t>1次/年</w:t>
                  </w:r>
                </w:p>
              </w:tc>
              <w:tc>
                <w:tcPr>
                  <w:tcW w:w="3894" w:type="dxa"/>
                  <w:vMerge/>
                  <w:tcBorders>
                    <w:tl2br w:val="nil"/>
                    <w:tr2bl w:val="nil"/>
                  </w:tcBorders>
                  <w:vAlign w:val="center"/>
                </w:tcPr>
                <w:p/>
              </w:tc>
            </w:tr>
            <w:tr>
              <w:trPr>
                <w:trHeight w:val="765"/>
              </w:trPr>
              <w:tc>
                <w:tcPr>
                  <w:tcW w:w="1938" w:type="dxa"/>
                  <w:vMerge/>
                  <w:tcBorders>
                    <w:tl2br w:val="nil"/>
                    <w:tr2bl w:val="nil"/>
                  </w:tcBorders>
                  <w:vAlign w:val="center"/>
                </w:tcPr>
                <w:p/>
              </w:tc>
              <w:tc>
                <w:tcPr>
                  <w:tcW w:w="1590"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非甲烷总烃</w:t>
                  </w:r>
                </w:p>
              </w:tc>
              <w:tc>
                <w:tcPr>
                  <w:tcW w:w="1120" w:type="dxa"/>
                  <w:tcBorders>
                    <w:tl2br w:val="nil"/>
                    <w:tr2bl w:val="nil"/>
                  </w:tcBorders>
                  <w:vAlign w:val="center"/>
                </w:tcPr>
                <w:p>
                  <w:pPr>
                    <w:pStyle w:val="39"/>
                    <w:rPr>
                      <w:color w:val="auto"/>
                      <w:szCs w:val="21"/>
                      <w:lang w:val="en-US" w:eastAsia="zh-CN"/>
                    </w:rPr>
                  </w:pPr>
                  <w:r>
                    <w:rPr>
                      <w:rFonts w:hint="eastAsia"/>
                      <w:color w:val="auto"/>
                      <w:szCs w:val="21"/>
                      <w:lang w:val="en-US" w:eastAsia="zh-CN"/>
                    </w:rPr>
                    <w:t>1次/年</w:t>
                  </w:r>
                </w:p>
              </w:tc>
              <w:tc>
                <w:tcPr>
                  <w:tcW w:w="3894" w:type="dxa"/>
                  <w:vMerge/>
                  <w:tcBorders>
                    <w:tl2br w:val="nil"/>
                    <w:tr2bl w:val="nil"/>
                  </w:tcBorders>
                  <w:vAlign w:val="center"/>
                </w:tcPr>
                <w:p/>
              </w:tc>
            </w:tr>
            <w:tr>
              <w:trPr>
                <w:trHeight w:val="765"/>
              </w:trPr>
              <w:tc>
                <w:tcPr>
                  <w:tcW w:w="1938" w:type="dxa"/>
                  <w:tcBorders>
                    <w:tl2br w:val="nil"/>
                    <w:tr2bl w:val="nil"/>
                  </w:tcBorders>
                  <w:vAlign w:val="center"/>
                </w:tcPr>
                <w:p>
                  <w:pPr>
                    <w:pStyle w:val="39"/>
                    <w:rPr>
                      <w:rFonts w:eastAsia="宋体" w:hint="eastAsia"/>
                      <w:color w:val="auto"/>
                      <w:szCs w:val="21"/>
                      <w:lang w:val="en-US" w:eastAsia="zh-CN"/>
                    </w:rPr>
                  </w:pPr>
                  <w:r>
                    <w:rPr>
                      <w:rFonts w:hint="eastAsia"/>
                      <w:color w:val="auto"/>
                      <w:szCs w:val="21"/>
                      <w:lang w:val="en-US" w:eastAsia="zh-CN"/>
                    </w:rPr>
                    <w:t>厂区内</w:t>
                  </w:r>
                </w:p>
              </w:tc>
              <w:tc>
                <w:tcPr>
                  <w:tcW w:w="1590" w:type="dxa"/>
                  <w:tcBorders>
                    <w:tl2br w:val="nil"/>
                    <w:tr2bl w:val="nil"/>
                  </w:tcBorders>
                  <w:vAlign w:val="center"/>
                </w:tcPr>
                <w:p>
                  <w:pPr>
                    <w:pStyle w:val="39"/>
                    <w:rPr>
                      <w:color w:val="auto"/>
                      <w:szCs w:val="21"/>
                      <w:lang w:val="en-US" w:eastAsia="zh-CN"/>
                    </w:rPr>
                  </w:pPr>
                  <w:r>
                    <w:rPr>
                      <w:rFonts w:hint="eastAsia"/>
                      <w:color w:val="auto"/>
                      <w:szCs w:val="21"/>
                      <w:lang w:val="en-US" w:eastAsia="zh-CN"/>
                    </w:rPr>
                    <w:t>非甲烷总烃</w:t>
                  </w:r>
                </w:p>
              </w:tc>
              <w:tc>
                <w:tcPr>
                  <w:tcW w:w="1120" w:type="dxa"/>
                  <w:tcBorders>
                    <w:tl2br w:val="nil"/>
                    <w:tr2bl w:val="nil"/>
                  </w:tcBorders>
                  <w:vAlign w:val="center"/>
                </w:tcPr>
                <w:p>
                  <w:pPr>
                    <w:pStyle w:val="39"/>
                    <w:rPr>
                      <w:rFonts w:hint="eastAsia"/>
                      <w:color w:val="auto"/>
                      <w:szCs w:val="21"/>
                      <w:lang w:val="en-US" w:eastAsia="zh-CN"/>
                    </w:rPr>
                  </w:pPr>
                  <w:r>
                    <w:rPr>
                      <w:rFonts w:hint="eastAsia"/>
                      <w:color w:val="auto"/>
                      <w:szCs w:val="21"/>
                      <w:lang w:val="en-US" w:eastAsia="zh-CN"/>
                    </w:rPr>
                    <w:t>1次/年</w:t>
                  </w:r>
                </w:p>
              </w:tc>
              <w:tc>
                <w:tcPr>
                  <w:tcW w:w="3894" w:type="dxa"/>
                  <w:tcBorders>
                    <w:tl2br w:val="nil"/>
                    <w:tr2bl w:val="nil"/>
                  </w:tcBorders>
                  <w:vAlign w:val="center"/>
                </w:tcPr>
                <w:p>
                  <w:pPr>
                    <w:pStyle w:val="39"/>
                    <w:rPr>
                      <w:rFonts w:hint="eastAsia"/>
                      <w:color w:val="auto"/>
                      <w:szCs w:val="21"/>
                    </w:rPr>
                  </w:pPr>
                  <w:r>
                    <w:rPr>
                      <w:rFonts w:hint="eastAsia"/>
                      <w:color w:val="auto"/>
                      <w:szCs w:val="21"/>
                      <w:lang w:val="en-US" w:eastAsia="zh-CN"/>
                    </w:rPr>
                    <w:t>《工业企业挥发性有机物排放控制标准》（DB13/2322-2025）表1其他工业行业排放限值</w:t>
                  </w:r>
                </w:p>
              </w:tc>
            </w:tr>
          </w:tbl>
          <w:p>
            <w:pPr>
              <w:spacing w:line="480" w:lineRule="exact"/>
              <w:rPr>
                <w:color w:val="auto"/>
              </w:rPr>
            </w:pPr>
            <w:r>
              <w:rPr>
                <w:rFonts w:hint="eastAsia"/>
                <w:color w:val="auto"/>
              </w:rPr>
              <w:t>5</w:t>
            </w:r>
            <w:r>
              <w:rPr>
                <w:color w:val="auto"/>
              </w:rPr>
              <w:t>、非正常情况</w:t>
            </w:r>
          </w:p>
          <w:p>
            <w:pPr>
              <w:spacing w:line="480" w:lineRule="exact"/>
              <w:rPr>
                <w:color w:val="auto"/>
              </w:rPr>
            </w:pPr>
            <w:r>
              <w:rPr>
                <w:color w:val="auto"/>
              </w:rPr>
              <w:t>非正常生产情况是指系统开停车、停电、设备检修、系统出现异常以及管道泄漏、密封环损坏等情况。项目采用的生产工艺和治理设施先进，成熟可靠，因此在正常条件下，只要严格科学管理、精心操作，可避免污染事故的发生。</w:t>
            </w:r>
          </w:p>
          <w:p>
            <w:pPr>
              <w:spacing w:line="480" w:lineRule="exact"/>
              <w:rPr>
                <w:color w:val="auto"/>
              </w:rPr>
            </w:pPr>
            <w:r>
              <w:rPr>
                <w:color w:val="auto"/>
              </w:rPr>
              <w:t>①工艺装置开、停车、检修及临时性故障停车时废气污染物排放分析</w:t>
            </w:r>
          </w:p>
          <w:p>
            <w:pPr>
              <w:spacing w:line="480" w:lineRule="exact"/>
              <w:rPr>
                <w:color w:val="auto"/>
              </w:rPr>
            </w:pPr>
            <w:r>
              <w:rPr>
                <w:color w:val="auto"/>
              </w:rPr>
              <w:t>各工艺装置进行有计划检修、开、停车及临时性故障停车时，各工艺及环保设施均处于正常运行状态，开车时物料投料量逐渐加大、停车时物料停止投料，装置内物料量均较正常生产时小的多，污染物的排放量小于正常生产时的排放量，且开停车系统置换气均能按正常操作进入各工艺及环保设施，进行有效处理，废气污染物均可实现达标排放，不会对环境造成影响。</w:t>
            </w:r>
          </w:p>
          <w:p>
            <w:pPr>
              <w:spacing w:line="480" w:lineRule="exact"/>
              <w:rPr>
                <w:color w:val="auto"/>
              </w:rPr>
            </w:pPr>
            <w:r>
              <w:rPr>
                <w:color w:val="auto"/>
              </w:rPr>
              <w:t>②工艺设备及环保设施不正常运行污染物排放</w:t>
            </w:r>
          </w:p>
          <w:p>
            <w:pPr>
              <w:spacing w:line="480" w:lineRule="exact"/>
              <w:rPr>
                <w:color w:val="auto"/>
              </w:rPr>
            </w:pPr>
            <w:r>
              <w:rPr>
                <w:rFonts w:hint="eastAsia"/>
                <w:color w:val="auto"/>
                <w:szCs w:val="32"/>
              </w:rPr>
              <w:t>本项目</w:t>
            </w:r>
            <w:r>
              <w:rPr>
                <w:color w:val="auto"/>
              </w:rPr>
              <w:t>废气处理装置同时出现问题的</w:t>
            </w:r>
            <w:r>
              <w:rPr>
                <w:rFonts w:hint="eastAsia"/>
                <w:color w:val="auto"/>
              </w:rPr>
              <w:t>概率</w:t>
            </w:r>
            <w:r>
              <w:rPr>
                <w:color w:val="auto"/>
              </w:rPr>
              <w:t>极低，以最不利情况考虑，本次评价设定非正常工况为：</w:t>
            </w:r>
            <w:r>
              <w:rPr>
                <w:rFonts w:hint="eastAsia"/>
                <w:color w:val="auto"/>
              </w:rPr>
              <w:t>废气治理设施</w:t>
            </w:r>
            <w:r>
              <w:rPr>
                <w:color w:val="auto"/>
              </w:rPr>
              <w:t>发生故障不能正常运行，废气未经处理直接排放，造成废气的非正常排放。若尾气处理装置出现故障时，应立即停止生产，待故障解除后再进行生产，不会对环境产生不利影响。</w:t>
            </w:r>
            <w:r>
              <w:rPr>
                <w:rFonts w:hint="eastAsia"/>
                <w:color w:val="auto"/>
                <w:szCs w:val="32"/>
              </w:rPr>
              <w:t>本项目</w:t>
            </w:r>
            <w:r>
              <w:rPr>
                <w:color w:val="auto"/>
              </w:rPr>
              <w:t>废气污染源非正常工况污染物排放情况见表4-</w:t>
            </w:r>
            <w:r>
              <w:rPr>
                <w:rFonts w:hint="eastAsia"/>
                <w:color w:val="auto"/>
                <w:lang w:val="en-US" w:eastAsia="zh-CN"/>
              </w:rPr>
              <w:t>10</w:t>
            </w:r>
            <w:r>
              <w:rPr>
                <w:color w:val="auto"/>
              </w:rPr>
              <w:t>。</w:t>
            </w:r>
          </w:p>
          <w:p>
            <w:pPr>
              <w:pStyle w:val="40"/>
              <w:rPr>
                <w:color w:val="auto"/>
              </w:rPr>
            </w:pPr>
            <w:r>
              <w:rPr>
                <w:color w:val="auto"/>
              </w:rPr>
              <w:t>表4-</w:t>
            </w:r>
            <w:r>
              <w:rPr>
                <w:rFonts w:hint="eastAsia"/>
                <w:color w:val="auto"/>
                <w:lang w:val="en-US" w:eastAsia="zh-CN"/>
              </w:rPr>
              <w:t>10</w:t>
            </w:r>
            <w:r>
              <w:rPr>
                <w:rFonts w:hint="eastAsia"/>
                <w:color w:val="auto"/>
              </w:rPr>
              <w:t xml:space="preserve">  </w:t>
            </w:r>
            <w:r>
              <w:rPr>
                <w:rFonts w:hint="eastAsia"/>
                <w:color w:val="auto"/>
                <w:lang w:val="en-US" w:eastAsia="zh-CN"/>
              </w:rPr>
              <w:t>本项目</w:t>
            </w:r>
            <w:r>
              <w:rPr>
                <w:color w:val="auto"/>
              </w:rPr>
              <w:t>废气污染源非正常排放情况核算表</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301"/>
              <w:gridCol w:w="674"/>
              <w:gridCol w:w="788"/>
              <w:gridCol w:w="741"/>
              <w:gridCol w:w="585"/>
              <w:gridCol w:w="1004"/>
              <w:gridCol w:w="794"/>
              <w:gridCol w:w="865"/>
              <w:gridCol w:w="571"/>
              <w:gridCol w:w="1014"/>
            </w:tblGrid>
            <w:tr>
              <w:trPr>
                <w:trHeight w:val="611"/>
              </w:trPr>
              <w:tc>
                <w:tcPr>
                  <w:vMerge w:val="restart"/>
                  <w:vAlign w:val="center"/>
                </w:tcPr>
                <w:p>
                  <w:pPr>
                    <w:pStyle w:val="39"/>
                    <w:rPr>
                      <w:color w:val="auto"/>
                    </w:rPr>
                  </w:pPr>
                  <w:r>
                    <w:rPr>
                      <w:color w:val="auto"/>
                    </w:rPr>
                    <w:t>非正常排放源</w:t>
                  </w:r>
                </w:p>
              </w:tc>
              <w:tc>
                <w:tcPr>
                  <w:tcW w:w="698" w:type="dxa"/>
                  <w:vMerge w:val="restart"/>
                  <w:vAlign w:val="center"/>
                </w:tcPr>
                <w:p>
                  <w:pPr>
                    <w:pStyle w:val="39"/>
                    <w:rPr>
                      <w:color w:val="auto"/>
                    </w:rPr>
                  </w:pPr>
                  <w:r>
                    <w:rPr>
                      <w:color w:val="auto"/>
                    </w:rPr>
                    <w:t>非正常排放原因</w:t>
                  </w:r>
                </w:p>
              </w:tc>
              <w:tc>
                <w:tcPr>
                  <w:tcW w:w="816" w:type="dxa"/>
                  <w:vMerge w:val="restart"/>
                  <w:vAlign w:val="center"/>
                </w:tcPr>
                <w:p>
                  <w:pPr>
                    <w:pStyle w:val="39"/>
                    <w:rPr>
                      <w:color w:val="auto"/>
                    </w:rPr>
                  </w:pPr>
                  <w:r>
                    <w:rPr>
                      <w:color w:val="auto"/>
                    </w:rPr>
                    <w:t>污染物</w:t>
                  </w:r>
                </w:p>
              </w:tc>
              <w:tc>
                <w:tcPr>
                  <w:vMerge w:val="restart"/>
                  <w:vAlign w:val="center"/>
                </w:tcPr>
                <w:p>
                  <w:pPr>
                    <w:pStyle w:val="39"/>
                    <w:rPr>
                      <w:color w:val="auto"/>
                    </w:rPr>
                  </w:pPr>
                  <w:r>
                    <w:rPr>
                      <w:color w:val="auto"/>
                    </w:rPr>
                    <w:t>风量</w:t>
                  </w:r>
                  <w:r>
                    <w:rPr>
                      <w:rFonts w:hint="eastAsia"/>
                      <w:color w:val="auto"/>
                    </w:rPr>
                    <w:t>m³</w:t>
                  </w:r>
                  <w:r>
                    <w:rPr>
                      <w:color w:val="auto"/>
                    </w:rPr>
                    <w:t>/h</w:t>
                  </w:r>
                </w:p>
              </w:tc>
              <w:tc>
                <w:tcPr>
                  <w:vMerge w:val="restart"/>
                  <w:vAlign w:val="center"/>
                </w:tcPr>
                <w:p>
                  <w:pPr>
                    <w:pStyle w:val="39"/>
                    <w:rPr>
                      <w:color w:val="auto"/>
                    </w:rPr>
                  </w:pPr>
                  <w:r>
                    <w:rPr>
                      <w:color w:val="auto"/>
                    </w:rPr>
                    <w:t>处理效率</w:t>
                  </w:r>
                </w:p>
              </w:tc>
              <w:tc>
                <w:tcPr>
                  <w:gridSpan w:val="2"/>
                  <w:vAlign w:val="center"/>
                </w:tcPr>
                <w:p>
                  <w:pPr>
                    <w:pStyle w:val="39"/>
                    <w:rPr>
                      <w:color w:val="auto"/>
                    </w:rPr>
                  </w:pPr>
                  <w:r>
                    <w:rPr>
                      <w:color w:val="auto"/>
                    </w:rPr>
                    <w:t>排放情况</w:t>
                  </w:r>
                </w:p>
              </w:tc>
              <w:tc>
                <w:tcPr>
                  <w:vMerge w:val="restart"/>
                  <w:vAlign w:val="center"/>
                </w:tcPr>
                <w:p>
                  <w:pPr>
                    <w:pStyle w:val="39"/>
                    <w:rPr>
                      <w:color w:val="auto"/>
                    </w:rPr>
                  </w:pPr>
                  <w:r>
                    <w:rPr>
                      <w:color w:val="auto"/>
                    </w:rPr>
                    <w:t>单次持续时间</w:t>
                  </w:r>
                </w:p>
              </w:tc>
              <w:tc>
                <w:tcPr>
                  <w:vMerge w:val="restart"/>
                  <w:vAlign w:val="center"/>
                </w:tcPr>
                <w:p>
                  <w:pPr>
                    <w:pStyle w:val="39"/>
                    <w:rPr>
                      <w:color w:val="auto"/>
                    </w:rPr>
                  </w:pPr>
                  <w:r>
                    <w:rPr>
                      <w:color w:val="auto"/>
                    </w:rPr>
                    <w:t>年发生次数</w:t>
                  </w:r>
                </w:p>
              </w:tc>
              <w:tc>
                <w:tcPr>
                  <w:vMerge w:val="restart"/>
                  <w:vAlign w:val="center"/>
                </w:tcPr>
                <w:p>
                  <w:pPr>
                    <w:pStyle w:val="39"/>
                    <w:rPr>
                      <w:color w:val="auto"/>
                    </w:rPr>
                  </w:pPr>
                  <w:r>
                    <w:rPr>
                      <w:rFonts w:hint="eastAsia"/>
                      <w:color w:val="auto"/>
                    </w:rPr>
                    <w:t>应对措施</w:t>
                  </w:r>
                </w:p>
              </w:tc>
            </w:tr>
            <w:tr>
              <w:trPr>
                <w:trHeight w:val="488"/>
              </w:trPr>
              <w:tc>
                <w:tcPr>
                  <w:vMerge/>
                  <w:vAlign w:val="center"/>
                </w:tcPr>
                <w:p/>
              </w:tc>
              <w:tc>
                <w:tcPr>
                  <w:tcW w:w="698" w:type="dxa"/>
                  <w:vMerge/>
                  <w:tcBorders>
                    <w:left w:val="single" w:sz="4" w:space="0" w:color="auto"/>
                  </w:tcBorders>
                  <w:vAlign w:val="center"/>
                </w:tcPr>
                <w:p/>
              </w:tc>
              <w:tc>
                <w:tcPr>
                  <w:tcW w:w="816" w:type="dxa"/>
                  <w:vMerge/>
                  <w:tcBorders>
                    <w:left w:val="single" w:sz="4" w:space="0" w:color="auto"/>
                  </w:tcBorders>
                  <w:vAlign w:val="center"/>
                </w:tcPr>
                <w:p/>
              </w:tc>
              <w:tc>
                <w:tcPr>
                  <w:vMerge/>
                  <w:tcBorders>
                    <w:left w:val="single" w:sz="4" w:space="0" w:color="auto"/>
                  </w:tcBorders>
                  <w:vAlign w:val="center"/>
                </w:tcPr>
                <w:p/>
              </w:tc>
              <w:tc>
                <w:tcPr>
                  <w:vMerge/>
                  <w:tcBorders>
                    <w:left w:val="single" w:sz="4" w:space="0" w:color="auto"/>
                  </w:tcBorders>
                  <w:vAlign w:val="center"/>
                </w:tcPr>
                <w:p/>
              </w:tc>
              <w:tc>
                <w:tcPr>
                  <w:tcW w:w="1004" w:type="dxa"/>
                  <w:tcBorders>
                    <w:left w:val="single" w:sz="4" w:space="0" w:color="auto"/>
                  </w:tcBorders>
                  <w:vAlign w:val="center"/>
                </w:tcPr>
                <w:p>
                  <w:pPr>
                    <w:pStyle w:val="39"/>
                    <w:rPr>
                      <w:rFonts w:eastAsia="宋体" w:hint="eastAsia"/>
                      <w:color w:val="auto"/>
                      <w:lang w:val="en-US" w:eastAsia="zh-CN"/>
                    </w:rPr>
                  </w:pPr>
                  <w:r>
                    <w:rPr>
                      <w:color w:val="auto"/>
                    </w:rPr>
                    <w:t>排放量</w:t>
                  </w:r>
                  <w:r>
                    <w:rPr>
                      <w:rFonts w:hint="eastAsia"/>
                      <w:color w:val="auto"/>
                      <w:lang w:val="en-US" w:eastAsia="zh-CN"/>
                    </w:rPr>
                    <w:t>kg</w:t>
                  </w:r>
                </w:p>
              </w:tc>
              <w:tc>
                <w:tcPr>
                  <w:tcW w:w="794" w:type="dxa"/>
                  <w:tcBorders>
                    <w:left w:val="single" w:sz="4" w:space="0" w:color="auto"/>
                  </w:tcBorders>
                  <w:vAlign w:val="center"/>
                </w:tcPr>
                <w:p>
                  <w:pPr>
                    <w:pStyle w:val="39"/>
                    <w:rPr>
                      <w:color w:val="auto"/>
                    </w:rPr>
                  </w:pPr>
                  <w:r>
                    <w:rPr>
                      <w:color w:val="auto"/>
                    </w:rPr>
                    <w:t>排放浓度mg/</w:t>
                  </w:r>
                  <w:r>
                    <w:rPr>
                      <w:rFonts w:hint="eastAsia"/>
                      <w:color w:val="auto"/>
                    </w:rPr>
                    <w:t>m</w:t>
                  </w:r>
                  <w:r>
                    <w:rPr>
                      <w:color w:val="auto"/>
                    </w:rPr>
                    <w:t>³</w:t>
                  </w:r>
                </w:p>
              </w:tc>
              <w:tc>
                <w:tcPr>
                  <w:vMerge/>
                  <w:tcBorders>
                    <w:left w:val="single" w:sz="4" w:space="0" w:color="auto"/>
                  </w:tcBorders>
                  <w:vAlign w:val="center"/>
                </w:tcPr>
                <w:p/>
              </w:tc>
              <w:tc>
                <w:tcPr>
                  <w:vMerge/>
                  <w:tcBorders>
                    <w:left w:val="single" w:sz="4" w:space="0" w:color="auto"/>
                  </w:tcBorders>
                  <w:vAlign w:val="center"/>
                </w:tcPr>
                <w:p/>
              </w:tc>
              <w:tc>
                <w:tcPr>
                  <w:vMerge/>
                  <w:tcBorders>
                    <w:left w:val="single" w:sz="4" w:space="0" w:color="auto"/>
                  </w:tcBorders>
                  <w:vAlign w:val="center"/>
                </w:tcPr>
                <w:p/>
              </w:tc>
            </w:tr>
            <w:tr>
              <w:trPr>
                <w:trHeight w:val="597"/>
              </w:trPr>
              <w:tc>
                <w:tcPr>
                  <w:tcW w:w="1347" w:type="dxa"/>
                  <w:vMerge w:val="restart"/>
                  <w:vAlign w:val="center"/>
                </w:tcPr>
                <w:p>
                  <w:pPr>
                    <w:pStyle w:val="39"/>
                    <w:rPr>
                      <w:color w:val="auto"/>
                      <w:szCs w:val="21"/>
                    </w:rPr>
                  </w:pPr>
                  <w:r>
                    <w:rPr>
                      <w:rFonts w:hint="eastAsia"/>
                      <w:color w:val="auto"/>
                      <w:lang w:val="en-US" w:eastAsia="zh-CN"/>
                    </w:rPr>
                    <w:t>挤压造粒生产线车间</w:t>
                  </w:r>
                  <w:r>
                    <w:rPr>
                      <w:color w:val="auto"/>
                    </w:rPr>
                    <w:t>排气筒</w:t>
                  </w:r>
                  <w:r>
                    <w:rPr>
                      <w:rFonts w:hint="eastAsia"/>
                      <w:color w:val="auto"/>
                      <w:lang w:eastAsia="zh-CN"/>
                    </w:rPr>
                    <w:t>（</w:t>
                  </w:r>
                  <w:r>
                    <w:rPr>
                      <w:rFonts w:hint="eastAsia"/>
                      <w:color w:val="auto"/>
                      <w:lang w:val="en-US" w:eastAsia="zh-CN"/>
                    </w:rPr>
                    <w:t>P2</w:t>
                  </w:r>
                  <w:r>
                    <w:rPr>
                      <w:rFonts w:hint="eastAsia"/>
                      <w:color w:val="auto"/>
                      <w:lang w:eastAsia="zh-CN"/>
                    </w:rPr>
                    <w:t>）</w:t>
                  </w:r>
                </w:p>
              </w:tc>
              <w:tc>
                <w:tcPr>
                  <w:tcW w:w="698" w:type="dxa"/>
                  <w:vMerge w:val="restart"/>
                  <w:tcBorders>
                    <w:left w:val="single" w:sz="4" w:space="0" w:color="auto"/>
                  </w:tcBorders>
                  <w:vAlign w:val="center"/>
                </w:tcPr>
                <w:p>
                  <w:pPr>
                    <w:pStyle w:val="39"/>
                    <w:rPr>
                      <w:color w:val="auto"/>
                    </w:rPr>
                  </w:pPr>
                  <w:r>
                    <w:rPr>
                      <w:color w:val="auto"/>
                    </w:rPr>
                    <w:t>环保设备发生故障不能正常运行</w:t>
                  </w:r>
                </w:p>
              </w:tc>
              <w:tc>
                <w:tcPr>
                  <w:tcW w:w="816" w:type="dxa"/>
                  <w:tcBorders>
                    <w:left w:val="single" w:sz="4" w:space="0" w:color="auto"/>
                  </w:tcBorders>
                  <w:vAlign w:val="center"/>
                </w:tcPr>
                <w:p>
                  <w:pPr>
                    <w:pStyle w:val="39"/>
                    <w:rPr>
                      <w:color w:val="auto"/>
                      <w:szCs w:val="21"/>
                    </w:rPr>
                  </w:pPr>
                  <w:r>
                    <w:rPr>
                      <w:rFonts w:hint="eastAsia"/>
                      <w:color w:val="auto"/>
                      <w:szCs w:val="21"/>
                    </w:rPr>
                    <w:t>颗粒物</w:t>
                  </w:r>
                </w:p>
              </w:tc>
              <w:tc>
                <w:tcPr>
                  <w:tcW w:w="751" w:type="dxa"/>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28000</w:t>
                  </w:r>
                </w:p>
              </w:tc>
              <w:tc>
                <w:tcPr>
                  <w:tcW w:w="606" w:type="dxa"/>
                  <w:vMerge w:val="restart"/>
                  <w:tcBorders>
                    <w:left w:val="single" w:sz="4" w:space="0" w:color="auto"/>
                  </w:tcBorders>
                  <w:vAlign w:val="center"/>
                </w:tcPr>
                <w:p>
                  <w:pPr>
                    <w:pStyle w:val="39"/>
                    <w:rPr>
                      <w:color w:val="auto"/>
                    </w:rPr>
                  </w:pPr>
                  <w:r>
                    <w:rPr>
                      <w:rFonts w:hint="eastAsia"/>
                      <w:color w:val="auto"/>
                    </w:rPr>
                    <w:t>0%</w:t>
                  </w:r>
                </w:p>
              </w:tc>
              <w:tc>
                <w:tcPr>
                  <w:tcW w:w="1004"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83.125</w:t>
                  </w:r>
                </w:p>
              </w:tc>
              <w:tc>
                <w:tcPr>
                  <w:tcW w:w="79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5937.5</w:t>
                  </w:r>
                </w:p>
              </w:tc>
              <w:tc>
                <w:tcPr>
                  <w:tcW w:w="895" w:type="dxa"/>
                  <w:vMerge w:val="restart"/>
                  <w:tcBorders>
                    <w:left w:val="single" w:sz="4" w:space="0" w:color="auto"/>
                  </w:tcBorders>
                  <w:vAlign w:val="center"/>
                </w:tcPr>
                <w:p>
                  <w:pPr>
                    <w:pStyle w:val="39"/>
                    <w:rPr>
                      <w:color w:val="auto"/>
                    </w:rPr>
                  </w:pPr>
                  <w:r>
                    <w:rPr>
                      <w:rFonts w:hint="eastAsia"/>
                      <w:color w:val="auto"/>
                    </w:rPr>
                    <w:t>30min</w:t>
                  </w:r>
                </w:p>
              </w:tc>
              <w:tc>
                <w:tcPr>
                  <w:tcW w:w="591" w:type="dxa"/>
                  <w:vMerge w:val="restart"/>
                  <w:tcBorders>
                    <w:left w:val="single" w:sz="4" w:space="0" w:color="auto"/>
                  </w:tcBorders>
                  <w:vAlign w:val="center"/>
                </w:tcPr>
                <w:p>
                  <w:pPr>
                    <w:pStyle w:val="39"/>
                    <w:rPr>
                      <w:color w:val="auto"/>
                    </w:rPr>
                  </w:pPr>
                  <w:r>
                    <w:rPr>
                      <w:color w:val="auto"/>
                    </w:rPr>
                    <w:t>1</w:t>
                  </w:r>
                </w:p>
              </w:tc>
              <w:tc>
                <w:tcPr>
                  <w:tcW w:w="1050" w:type="dxa"/>
                  <w:vMerge w:val="restart"/>
                  <w:tcBorders>
                    <w:left w:val="single" w:sz="4" w:space="0" w:color="auto"/>
                  </w:tcBorders>
                  <w:vAlign w:val="center"/>
                </w:tcPr>
                <w:p>
                  <w:pPr>
                    <w:pStyle w:val="39"/>
                    <w:rPr>
                      <w:color w:val="auto"/>
                    </w:rPr>
                  </w:pPr>
                  <w:r>
                    <w:rPr>
                      <w:color w:val="auto"/>
                    </w:rPr>
                    <w:t>及时修理，并停止排放废气</w:t>
                  </w:r>
                </w:p>
              </w:tc>
            </w:tr>
            <w:tr>
              <w:trPr>
                <w:trHeight w:val="62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vAlign w:val="center"/>
                </w:tcPr>
                <w:p>
                  <w:pPr>
                    <w:pStyle w:val="39"/>
                    <w:rPr>
                      <w:rFonts w:eastAsia="宋体" w:hint="eastAsia"/>
                      <w:color w:val="auto"/>
                      <w:szCs w:val="21"/>
                      <w:lang w:val="en-US" w:eastAsia="zh-CN"/>
                    </w:rPr>
                  </w:pPr>
                  <w:r>
                    <w:rPr>
                      <w:rFonts w:hint="eastAsia"/>
                      <w:color w:val="auto"/>
                      <w:szCs w:val="21"/>
                      <w:lang w:val="en-US" w:eastAsia="zh-CN"/>
                    </w:rPr>
                    <w:t>氨</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0.016</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1.14</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vAlign w:val="center"/>
                </w:tcPr>
                <w:p>
                  <w:pPr>
                    <w:pStyle w:val="39"/>
                    <w:rPr>
                      <w:color w:val="auto"/>
                      <w:szCs w:val="21"/>
                      <w:lang w:val="en-US" w:eastAsia="zh-CN"/>
                    </w:rPr>
                  </w:pPr>
                  <w:r>
                    <w:rPr>
                      <w:rFonts w:hint="eastAsia"/>
                      <w:color w:val="auto"/>
                      <w:szCs w:val="21"/>
                      <w:lang w:val="en-US" w:eastAsia="zh-CN"/>
                    </w:rPr>
                    <w:t>甲醛</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0.0002</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0.014</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vAlign w:val="center"/>
                </w:tcPr>
                <w:p>
                  <w:pPr>
                    <w:pStyle w:val="39"/>
                    <w:rPr>
                      <w:color w:val="auto"/>
                      <w:szCs w:val="21"/>
                      <w:lang w:val="en-US" w:eastAsia="zh-CN"/>
                    </w:rPr>
                  </w:pPr>
                  <w:r>
                    <w:rPr>
                      <w:rFonts w:hint="eastAsia"/>
                      <w:color w:val="auto"/>
                      <w:szCs w:val="21"/>
                      <w:lang w:val="en-US" w:eastAsia="zh-CN"/>
                    </w:rPr>
                    <w:t>非甲烷总烃</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0.223</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15.9</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restart"/>
                  <w:vAlign w:val="center"/>
                </w:tcPr>
                <w:p>
                  <w:pPr>
                    <w:pStyle w:val="39"/>
                    <w:rPr>
                      <w:rFonts w:hint="eastAsia"/>
                      <w:color w:val="auto"/>
                      <w:lang w:val="en-US" w:eastAsia="zh-CN"/>
                    </w:rPr>
                  </w:pPr>
                  <w:r>
                    <w:rPr>
                      <w:rFonts w:hint="eastAsia"/>
                      <w:color w:val="auto"/>
                      <w:lang w:val="en-US" w:eastAsia="zh-CN"/>
                    </w:rPr>
                    <w:t>挤压造粒生产线车间烘干排气筒（P3）</w:t>
                  </w:r>
                </w:p>
              </w:tc>
              <w:tc>
                <w:tcPr>
                  <w:tcW w:w="698" w:type="dxa"/>
                  <w:vMerge/>
                  <w:tcBorders>
                    <w:left w:val="single" w:sz="4" w:space="0" w:color="auto"/>
                  </w:tcBorders>
                  <w:vAlign w:val="center"/>
                </w:tcPr>
                <w:p/>
              </w:tc>
              <w:tc>
                <w:tcPr>
                  <w:tcW w:w="816"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1"/>
                      <w:lang w:val="en-US" w:eastAsia="zh-CN" w:bidi="ar-SA"/>
                    </w:rPr>
                  </w:pPr>
                  <w:r>
                    <w:rPr>
                      <w:rFonts w:hint="eastAsia"/>
                      <w:color w:val="auto"/>
                      <w:szCs w:val="21"/>
                    </w:rPr>
                    <w:t>颗粒物</w:t>
                  </w:r>
                </w:p>
              </w:tc>
              <w:tc>
                <w:tcPr>
                  <w:tcW w:w="75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15000</w:t>
                  </w:r>
                </w:p>
              </w:tc>
              <w:tc>
                <w:tcPr>
                  <w:tcW w:w="606" w:type="dxa"/>
                  <w:vMerge w:val="restart"/>
                  <w:tcBorders>
                    <w:left w:val="single" w:sz="4" w:space="0" w:color="auto"/>
                  </w:tcBorders>
                  <w:vAlign w:val="center"/>
                </w:tcPr>
                <w:p>
                  <w:pPr>
                    <w:pStyle w:val="39"/>
                    <w:rPr>
                      <w:rFonts w:hint="eastAsia"/>
                      <w:color w:val="auto"/>
                    </w:rPr>
                  </w:pPr>
                  <w:r>
                    <w:rPr>
                      <w:rFonts w:hint="eastAsia"/>
                      <w:color w:val="auto"/>
                    </w:rPr>
                    <w:t>0%</w:t>
                  </w: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29.125</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3883.3</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1"/>
                      <w:lang w:val="en-US" w:eastAsia="zh-CN" w:bidi="ar-SA"/>
                    </w:rPr>
                  </w:pPr>
                  <w:r>
                    <w:rPr>
                      <w:rFonts w:hint="eastAsia"/>
                      <w:color w:val="auto"/>
                      <w:szCs w:val="21"/>
                      <w:lang w:val="en-US" w:eastAsia="zh-CN"/>
                    </w:rPr>
                    <w:t>氨</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0.047</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6.25</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1"/>
                      <w:lang w:val="en-US" w:eastAsia="zh-CN" w:bidi="ar-SA"/>
                    </w:rPr>
                  </w:pPr>
                  <w:r>
                    <w:rPr>
                      <w:rFonts w:hint="eastAsia"/>
                      <w:color w:val="auto"/>
                      <w:szCs w:val="21"/>
                      <w:lang w:val="en-US" w:eastAsia="zh-CN"/>
                    </w:rPr>
                    <w:t>甲醛</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0.0002</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0.028</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restart"/>
                  <w:vAlign w:val="center"/>
                </w:tcPr>
                <w:p>
                  <w:pPr>
                    <w:pStyle w:val="39"/>
                    <w:rPr>
                      <w:color w:val="auto"/>
                      <w:lang w:val="en-US" w:eastAsia="zh-CN"/>
                    </w:rPr>
                  </w:pPr>
                  <w:r>
                    <w:rPr>
                      <w:rFonts w:hint="eastAsia"/>
                      <w:color w:val="auto"/>
                      <w:lang w:val="en-US" w:eastAsia="zh-CN"/>
                    </w:rPr>
                    <w:t>化验室废气排气筒（P4）</w:t>
                  </w:r>
                </w:p>
              </w:tc>
              <w:tc>
                <w:tcPr>
                  <w:tcW w:w="698" w:type="dxa"/>
                  <w:vMerge/>
                  <w:tcBorders>
                    <w:left w:val="single" w:sz="4" w:space="0" w:color="auto"/>
                  </w:tcBorders>
                  <w:vAlign w:val="center"/>
                </w:tcPr>
                <w:p/>
              </w:tc>
              <w:tc>
                <w:tcPr>
                  <w:tcW w:w="816" w:type="dxa"/>
                  <w:tcBorders>
                    <w:left w:val="single" w:sz="4" w:space="0" w:color="auto"/>
                  </w:tcBorders>
                  <w:vAlign w:val="center"/>
                </w:tcPr>
                <w:p>
                  <w:pPr>
                    <w:pStyle w:val="39"/>
                    <w:rPr>
                      <w:color w:val="auto"/>
                      <w:szCs w:val="21"/>
                      <w:lang w:val="en-US" w:eastAsia="zh-CN"/>
                    </w:rPr>
                  </w:pPr>
                  <w:r>
                    <w:rPr>
                      <w:rFonts w:hint="eastAsia"/>
                      <w:color w:val="auto"/>
                      <w:szCs w:val="21"/>
                      <w:lang w:val="en-US" w:eastAsia="zh-CN"/>
                    </w:rPr>
                    <w:t>氯化氢</w:t>
                  </w:r>
                </w:p>
              </w:tc>
              <w:tc>
                <w:tcPr>
                  <w:tcW w:w="75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1000</w:t>
                  </w:r>
                </w:p>
              </w:tc>
              <w:tc>
                <w:tcPr>
                  <w:tcW w:w="606" w:type="dxa"/>
                  <w:vMerge w:val="restart"/>
                  <w:tcBorders>
                    <w:left w:val="single" w:sz="4" w:space="0" w:color="auto"/>
                  </w:tcBorders>
                  <w:vAlign w:val="center"/>
                </w:tcPr>
                <w:p>
                  <w:pPr>
                    <w:pStyle w:val="39"/>
                    <w:rPr>
                      <w:rFonts w:hint="eastAsia"/>
                      <w:color w:val="auto"/>
                    </w:rPr>
                  </w:pPr>
                  <w:r>
                    <w:rPr>
                      <w:rFonts w:hint="eastAsia"/>
                      <w:color w:val="auto"/>
                    </w:rPr>
                    <w:t>0%</w:t>
                  </w: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0.000115</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0.23</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vAlign w:val="center"/>
                </w:tcPr>
                <w:p>
                  <w:pPr>
                    <w:pStyle w:val="39"/>
                    <w:rPr>
                      <w:color w:val="auto"/>
                      <w:szCs w:val="21"/>
                      <w:lang w:val="en-US" w:eastAsia="zh-CN"/>
                    </w:rPr>
                  </w:pPr>
                  <w:r>
                    <w:rPr>
                      <w:rFonts w:hint="eastAsia"/>
                      <w:color w:val="auto"/>
                      <w:szCs w:val="21"/>
                      <w:lang w:val="en-US" w:eastAsia="zh-CN"/>
                    </w:rPr>
                    <w:t>硫酸雾</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0.00034</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0.68</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vAlign w:val="center"/>
                </w:tcPr>
                <w:p>
                  <w:pPr>
                    <w:pStyle w:val="39"/>
                    <w:rPr>
                      <w:color w:val="auto"/>
                      <w:szCs w:val="21"/>
                      <w:lang w:val="en-US" w:eastAsia="zh-CN"/>
                    </w:rPr>
                  </w:pPr>
                  <w:r>
                    <w:rPr>
                      <w:rFonts w:hint="eastAsia"/>
                      <w:color w:val="auto"/>
                      <w:szCs w:val="21"/>
                      <w:lang w:val="en-US" w:eastAsia="zh-CN"/>
                    </w:rPr>
                    <w:t>氮氧化物</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0.000225</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0.45</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r>
              <w:trPr>
                <w:trHeight w:val="402"/>
              </w:trPr>
              <w:tc>
                <w:tcPr>
                  <w:tcW w:w="1347" w:type="dxa"/>
                  <w:vMerge/>
                  <w:vAlign w:val="center"/>
                </w:tcPr>
                <w:p/>
              </w:tc>
              <w:tc>
                <w:tcPr>
                  <w:tcW w:w="698" w:type="dxa"/>
                  <w:vMerge/>
                  <w:tcBorders>
                    <w:left w:val="single" w:sz="4" w:space="0" w:color="auto"/>
                  </w:tcBorders>
                  <w:vAlign w:val="center"/>
                </w:tcPr>
                <w:p/>
              </w:tc>
              <w:tc>
                <w:tcPr>
                  <w:tcW w:w="816" w:type="dxa"/>
                  <w:tcBorders>
                    <w:left w:val="single" w:sz="4" w:space="0" w:color="auto"/>
                  </w:tcBorders>
                  <w:vAlign w:val="center"/>
                </w:tcPr>
                <w:p>
                  <w:pPr>
                    <w:pStyle w:val="39"/>
                    <w:rPr>
                      <w:color w:val="auto"/>
                      <w:szCs w:val="21"/>
                      <w:lang w:val="en-US" w:eastAsia="zh-CN"/>
                    </w:rPr>
                  </w:pPr>
                  <w:r>
                    <w:rPr>
                      <w:rFonts w:hint="eastAsia"/>
                      <w:color w:val="auto"/>
                      <w:szCs w:val="21"/>
                      <w:lang w:val="en-US" w:eastAsia="zh-CN"/>
                    </w:rPr>
                    <w:t>非甲烷总烃</w:t>
                  </w:r>
                </w:p>
              </w:tc>
              <w:tc>
                <w:tcPr>
                  <w:tcW w:w="751" w:type="dxa"/>
                  <w:vMerge/>
                  <w:tcBorders>
                    <w:left w:val="single" w:sz="4" w:space="0" w:color="auto"/>
                  </w:tcBorders>
                  <w:vAlign w:val="center"/>
                </w:tcPr>
                <w:p/>
              </w:tc>
              <w:tc>
                <w:tcPr>
                  <w:tcW w:w="606" w:type="dxa"/>
                  <w:vMerge/>
                  <w:tcBorders>
                    <w:left w:val="single" w:sz="4" w:space="0" w:color="auto"/>
                  </w:tcBorders>
                  <w:vAlign w:val="center"/>
                </w:tcPr>
                <w:p/>
              </w:tc>
              <w:tc>
                <w:tcPr>
                  <w:tcW w:w="1004" w:type="dxa"/>
                  <w:tcBorders>
                    <w:left w:val="single" w:sz="4" w:space="0" w:color="auto"/>
                  </w:tcBorders>
                  <w:vAlign w:val="center"/>
                </w:tcPr>
                <w:p>
                  <w:pPr>
                    <w:pStyle w:val="39"/>
                    <w:rPr>
                      <w:color w:val="auto"/>
                      <w:lang w:val="en-US" w:eastAsia="zh-CN"/>
                    </w:rPr>
                  </w:pPr>
                  <w:r>
                    <w:rPr>
                      <w:rFonts w:hint="eastAsia"/>
                      <w:color w:val="auto"/>
                      <w:lang w:val="en-US" w:eastAsia="zh-CN"/>
                    </w:rPr>
                    <w:t>0.005625</w:t>
                  </w:r>
                </w:p>
              </w:tc>
              <w:tc>
                <w:tcPr>
                  <w:tcW w:w="794" w:type="dxa"/>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11.25</w:t>
                  </w:r>
                </w:p>
              </w:tc>
              <w:tc>
                <w:tcPr>
                  <w:tcW w:w="895" w:type="dxa"/>
                  <w:vMerge/>
                  <w:tcBorders>
                    <w:left w:val="single" w:sz="4" w:space="0" w:color="auto"/>
                  </w:tcBorders>
                  <w:vAlign w:val="center"/>
                </w:tcPr>
                <w:p/>
              </w:tc>
              <w:tc>
                <w:tcPr>
                  <w:tcW w:w="591" w:type="dxa"/>
                  <w:vMerge/>
                  <w:tcBorders>
                    <w:left w:val="single" w:sz="4" w:space="0" w:color="auto"/>
                  </w:tcBorders>
                  <w:vAlign w:val="center"/>
                </w:tcPr>
                <w:p/>
              </w:tc>
              <w:tc>
                <w:tcPr>
                  <w:tcW w:w="1050" w:type="dxa"/>
                  <w:vMerge/>
                  <w:tcBorders>
                    <w:left w:val="single" w:sz="4" w:space="0" w:color="auto"/>
                  </w:tcBorders>
                  <w:vAlign w:val="center"/>
                </w:tcPr>
                <w:p/>
              </w:tc>
            </w:tr>
          </w:tbl>
          <w:p>
            <w:pPr>
              <w:rPr>
                <w:rFonts w:hint="eastAsia"/>
                <w:color w:val="auto"/>
                <w:highlight w:val="none"/>
              </w:rPr>
            </w:pPr>
            <w:r>
              <w:rPr>
                <w:rFonts w:hint="eastAsia"/>
                <w:color w:val="auto"/>
                <w:lang w:val="en-US" w:eastAsia="zh-CN"/>
                <w:highlight w:val="none"/>
              </w:rPr>
              <w:t>本项目废气经处理后排放可满足相关排放标准。废气经污染防治措施处理后，均能达标排放，不会突破环境质量底线，对周边大气环境的环境影响可接受。</w:t>
            </w:r>
          </w:p>
          <w:p>
            <w:pPr>
              <w:rPr>
                <w:color w:val="auto"/>
                <w:highlight w:val="yellow"/>
              </w:rPr>
            </w:pPr>
            <w:r>
              <w:rPr>
                <w:rFonts w:hint="eastAsia"/>
                <w:color w:val="auto"/>
                <w:highlight w:val="none"/>
              </w:rPr>
              <w:t>因此，</w:t>
            </w:r>
            <w:r>
              <w:rPr>
                <w:rFonts w:hint="eastAsia"/>
                <w:color w:val="auto"/>
                <w:lang w:val="en-US" w:eastAsia="zh-CN"/>
                <w:highlight w:val="none"/>
              </w:rPr>
              <w:t>本</w:t>
            </w:r>
            <w:r>
              <w:rPr>
                <w:rFonts w:hint="eastAsia"/>
                <w:color w:val="auto"/>
                <w:highlight w:val="none"/>
              </w:rPr>
              <w:t>项目对大气环境不会造成明显影响。</w:t>
            </w:r>
          </w:p>
          <w:p>
            <w:pPr>
              <w:rPr>
                <w:b/>
                <w:bCs/>
                <w:snapToGrid w:val="0"/>
                <w:color w:val="auto"/>
                <w:kern w:val="0"/>
              </w:rPr>
            </w:pPr>
            <w:r>
              <w:rPr>
                <w:rFonts w:hint="eastAsia"/>
                <w:b/>
                <w:bCs/>
                <w:snapToGrid w:val="0"/>
                <w:color w:val="auto"/>
                <w:kern w:val="0"/>
              </w:rPr>
              <w:t>二</w:t>
            </w:r>
            <w:r>
              <w:rPr>
                <w:b/>
                <w:bCs/>
                <w:snapToGrid w:val="0"/>
                <w:color w:val="auto"/>
                <w:kern w:val="0"/>
              </w:rPr>
              <w:t>、废水</w:t>
            </w:r>
          </w:p>
          <w:p>
            <w:pPr>
              <w:keepNext w:val="0"/>
              <w:keepLines w:val="0"/>
              <w:widowControl/>
              <w:suppressLineNumbers w:val="0"/>
              <w:jc w:val="left"/>
              <w:rPr>
                <w:rFonts w:eastAsia="宋体"/>
                <w:color w:val="auto"/>
                <w:lang w:val="en-US" w:eastAsia="zh-CN"/>
              </w:rPr>
            </w:pPr>
            <w:r>
              <w:rPr>
                <w:rFonts w:hint="eastAsia"/>
                <w:color w:val="auto"/>
              </w:rPr>
              <w:t>本项目</w:t>
            </w:r>
            <w:r>
              <w:rPr>
                <w:rFonts w:hint="eastAsia"/>
                <w:color w:val="auto"/>
                <w:lang w:val="en-US" w:eastAsia="zh-CN"/>
              </w:rPr>
              <w:t>不新增劳动定员，不新增用水量，不涉及废水排放</w:t>
            </w:r>
            <w:r>
              <w:rPr>
                <w:color w:val="auto"/>
              </w:rPr>
              <w:t>。</w:t>
            </w:r>
            <w:r>
              <w:rPr>
                <w:rFonts w:hint="eastAsia"/>
                <w:color w:val="auto"/>
                <w:lang w:val="en-US" w:eastAsia="zh-CN"/>
              </w:rPr>
              <w:t>项目现有</w:t>
            </w:r>
            <w:r>
              <w:rPr>
                <w:rFonts w:ascii="宋体" w:eastAsia="宋体" w:cs="宋体" w:hAnsi="宋体" w:hint="eastAsia"/>
                <w:color w:val="auto"/>
                <w:kern w:val="0"/>
                <w:sz w:val="24"/>
                <w:szCs w:val="24"/>
                <w:lang w:val="en-US" w:eastAsia="zh-CN"/>
              </w:rPr>
              <w:t>生活污水排水量</w:t>
            </w:r>
            <w:r>
              <w:rPr>
                <w:rFonts w:ascii="Times New Roman" w:eastAsia="宋体" w:cs="Times New Roman" w:hAnsi="Times New Roman"/>
                <w:color w:val="auto"/>
                <w:kern w:val="0"/>
                <w:sz w:val="24"/>
                <w:szCs w:val="24"/>
                <w:lang w:val="en-US" w:eastAsia="zh-CN"/>
              </w:rPr>
              <w:t>2.88m³/d</w:t>
            </w:r>
            <w:r>
              <w:rPr>
                <w:rFonts w:ascii="宋体" w:eastAsia="宋体" w:cs="宋体" w:hAnsi="宋体" w:hint="eastAsia"/>
                <w:color w:val="auto"/>
                <w:kern w:val="0"/>
                <w:sz w:val="24"/>
                <w:szCs w:val="24"/>
                <w:lang w:val="en-US" w:eastAsia="zh-CN"/>
              </w:rPr>
              <w:t>。生活污水进入厂区多格生物化粪池处理，处理后经园区污水管网进入石家庄装备制造基地绿源污水处理有限公司进一步处理。</w:t>
            </w:r>
          </w:p>
          <w:p>
            <w:pPr>
              <w:rPr>
                <w:b/>
                <w:bCs/>
                <w:color w:val="auto"/>
                <w:kern w:val="0"/>
              </w:rPr>
            </w:pPr>
            <w:r>
              <w:rPr>
                <w:rFonts w:hint="eastAsia"/>
                <w:b/>
                <w:bCs/>
                <w:color w:val="auto"/>
                <w:kern w:val="0"/>
              </w:rPr>
              <w:t>三</w:t>
            </w:r>
            <w:r>
              <w:rPr>
                <w:b/>
                <w:bCs/>
                <w:color w:val="auto"/>
                <w:kern w:val="0"/>
              </w:rPr>
              <w:t>、噪声</w:t>
            </w:r>
          </w:p>
          <w:p>
            <w:pPr>
              <w:rPr>
                <w:color w:val="auto"/>
                <w:lang w:val="en-US"/>
              </w:rPr>
            </w:pPr>
            <w:r>
              <w:rPr>
                <w:rFonts w:hint="eastAsia"/>
                <w:color w:val="auto"/>
                <w:szCs w:val="32"/>
                <w:lang w:val="en-US" w:eastAsia="zh-CN"/>
              </w:rPr>
              <w:t>本次技改完成后企业涉及夜间生产，本项目按全厂噪声源预测，</w:t>
            </w:r>
            <w:r>
              <w:rPr>
                <w:rFonts w:hint="eastAsia"/>
                <w:color w:val="auto"/>
              </w:rPr>
              <w:t>噪声源主要为车间内生产设备以及室外风机产生的机器噪声，噪声级为7</w:t>
            </w:r>
            <w:r>
              <w:rPr>
                <w:rFonts w:hint="eastAsia"/>
                <w:color w:val="auto"/>
                <w:lang w:val="en-US" w:eastAsia="zh-CN"/>
              </w:rPr>
              <w:t>0</w:t>
            </w:r>
            <w:r>
              <w:rPr>
                <w:rFonts w:hint="eastAsia"/>
                <w:color w:val="auto"/>
              </w:rPr>
              <w:t>~</w:t>
            </w:r>
            <w:r>
              <w:rPr>
                <w:rFonts w:hint="eastAsia"/>
                <w:color w:val="auto"/>
                <w:lang w:val="en-US" w:eastAsia="zh-CN"/>
              </w:rPr>
              <w:t>85</w:t>
            </w:r>
            <w:r>
              <w:rPr>
                <w:rFonts w:hint="eastAsia"/>
                <w:color w:val="auto"/>
              </w:rPr>
              <w:t>dB（A），</w:t>
            </w:r>
            <w:r>
              <w:rPr>
                <w:rFonts w:hint="eastAsia"/>
                <w:color w:val="auto"/>
                <w:lang w:val="en-US" w:eastAsia="zh-CN"/>
              </w:rPr>
              <w:t>本项目选用低噪声设备，生产设备采取基础减振措施，所有生产设备均设置于车间内，厂房进行隔声处理，经采取以上措施可削减噪声15dB(A)。</w:t>
            </w:r>
          </w:p>
          <w:p>
            <w:pPr>
              <w:rPr>
                <w:color w:val="auto"/>
              </w:rPr>
            </w:pPr>
            <w:r>
              <w:rPr>
                <w:rFonts w:hint="eastAsia"/>
                <w:color w:val="auto"/>
              </w:rPr>
              <w:t xml:space="preserve">（1）预测模式 </w:t>
            </w:r>
          </w:p>
          <w:p>
            <w:pPr>
              <w:rPr>
                <w:color w:val="auto"/>
              </w:rPr>
            </w:pPr>
            <w:r>
              <w:rPr>
                <w:rFonts w:hint="eastAsia"/>
                <w:color w:val="auto"/>
              </w:rPr>
              <w:t>采用《环境影响评价技术导则 声环境》（HJ2.4-2021）中推荐的模式进行计算。</w:t>
            </w:r>
          </w:p>
          <w:p>
            <w:pPr>
              <w:rPr>
                <w:color w:val="auto"/>
              </w:rPr>
            </w:pPr>
            <w:r>
              <w:rPr>
                <w:rFonts w:hint="eastAsia"/>
                <w:color w:val="auto"/>
              </w:rPr>
              <w:t xml:space="preserve">（2）噪声源参数的确定 </w:t>
            </w:r>
          </w:p>
          <w:p>
            <w:pPr>
              <w:rPr>
                <w:b/>
                <w:color w:val="auto"/>
                <w:kern w:val="0"/>
                <w:szCs w:val="28"/>
              </w:rPr>
            </w:pPr>
            <w:r>
              <w:rPr>
                <w:rFonts w:hint="eastAsia"/>
                <w:color w:val="auto"/>
                <w:lang w:val="en-US" w:eastAsia="zh-CN"/>
              </w:rPr>
              <w:t>室内噪声源以各生产车间中心为坐标原点（0,0,0）建立坐标系，室外噪声源以厂区中心为坐标原点（0,0,0）建立坐标系，类比同类设备产噪情况确定本项目各噪声源参数，见下表。</w:t>
            </w:r>
          </w:p>
          <w:p>
            <w:pPr>
              <w:rPr>
                <w:b/>
                <w:color w:val="auto"/>
                <w:kern w:val="0"/>
                <w:szCs w:val="28"/>
              </w:rPr>
            </w:pPr>
          </w:p>
          <w:p>
            <w:pPr>
              <w:rPr>
                <w:b/>
                <w:color w:val="auto"/>
                <w:kern w:val="0"/>
                <w:szCs w:val="28"/>
              </w:rPr>
            </w:pPr>
          </w:p>
        </w:tc>
      </w:tr>
    </w:tbl>
    <w:p>
      <w:pPr>
        <w:rPr>
          <w:b/>
          <w:color w:val="auto"/>
          <w:kern w:val="0"/>
          <w:szCs w:val="28"/>
        </w:rPr>
        <w:sectPr>
          <w:pgSz w:w="11907" w:h="16840"/>
          <w:pgMar w:top="1417" w:right="1417" w:bottom="1417" w:left="1417" w:header="851" w:footer="851" w:gutter="0"/>
          <w:cols w:num="1" w:space="720"/>
          <w:docGrid w:linePitch="312" w:charSpace="0"/>
        </w:sectPr>
      </w:pPr>
    </w:p>
    <w:tbl>
      <w:tblPr>
        <w:jc w:val="left"/>
        <w:tblInd w:w="0" w:type="dxa"/>
        <w:tblW w:w="13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44"/>
        <w:gridCol w:w="12784"/>
      </w:tblGrid>
      <w:tr>
        <w:tc>
          <w:tcPr>
            <w:tcW w:w="444" w:type="dxa"/>
          </w:tcPr>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p>
            <w:pPr>
              <w:rPr>
                <w:b/>
                <w:color w:val="auto"/>
                <w:kern w:val="0"/>
                <w:szCs w:val="28"/>
              </w:rPr>
            </w:pPr>
          </w:p>
          <w:p>
            <w:pPr>
              <w:ind w:left="420"/>
              <w:rPr>
                <w:b/>
                <w:color w:val="auto"/>
                <w:kern w:val="0"/>
                <w:szCs w:val="28"/>
              </w:rPr>
            </w:pPr>
          </w:p>
          <w:p>
            <w:pPr>
              <w:ind w:left="420"/>
              <w:rPr>
                <w:b/>
                <w:color w:val="auto"/>
                <w:kern w:val="0"/>
                <w:szCs w:val="28"/>
              </w:rPr>
            </w:pPr>
          </w:p>
          <w:p>
            <w:pPr>
              <w:ind w:left="420"/>
              <w:rPr>
                <w:b/>
                <w:color w:val="auto"/>
                <w:kern w:val="0"/>
                <w:szCs w:val="28"/>
              </w:rPr>
            </w:pPr>
          </w:p>
        </w:tc>
        <w:tc>
          <w:tcPr>
            <w:tcW w:w="12784" w:type="dxa"/>
          </w:tcPr>
          <w:p>
            <w:pPr>
              <w:pStyle w:val="40"/>
              <w:rPr>
                <w:color w:val="auto"/>
              </w:rPr>
            </w:pPr>
            <w:r>
              <w:rPr>
                <w:color w:val="auto"/>
              </w:rPr>
              <w:t>表4-</w:t>
            </w:r>
            <w:r>
              <w:rPr>
                <w:rFonts w:hint="eastAsia"/>
                <w:color w:val="auto"/>
                <w:lang w:val="en-US" w:eastAsia="zh-CN"/>
              </w:rPr>
              <w:t>11</w:t>
            </w:r>
            <w:r>
              <w:rPr>
                <w:color w:val="auto"/>
              </w:rPr>
              <w:t xml:space="preserve">  </w:t>
            </w:r>
            <w:r>
              <w:rPr>
                <w:rFonts w:hint="eastAsia"/>
                <w:color w:val="auto"/>
                <w:lang w:val="en-US" w:eastAsia="zh-CN"/>
              </w:rPr>
              <w:t>本项目完成后全厂生产车间室内</w:t>
            </w:r>
            <w:r>
              <w:rPr>
                <w:color w:val="auto"/>
              </w:rPr>
              <w:t>噪声源参数一览表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50"/>
              <w:gridCol w:w="1055"/>
              <w:gridCol w:w="830"/>
              <w:gridCol w:w="2129"/>
              <w:gridCol w:w="595"/>
              <w:gridCol w:w="595"/>
              <w:gridCol w:w="595"/>
              <w:gridCol w:w="590"/>
              <w:gridCol w:w="736"/>
              <w:gridCol w:w="1039"/>
              <w:gridCol w:w="623"/>
              <w:gridCol w:w="1072"/>
              <w:gridCol w:w="570"/>
              <w:gridCol w:w="711"/>
              <w:gridCol w:w="769"/>
            </w:tblGrid>
            <w:tr>
              <w:trPr>
                <w:trHeight w:val="23"/>
              </w:trPr>
              <w:tc>
                <w:tcPr>
                  <w:tcW w:w="95" w:type="dxa"/>
                  <w:vMerge w:val="restart"/>
                  <w:vAlign w:val="center"/>
                </w:tcPr>
                <w:p>
                  <w:pPr>
                    <w:pStyle w:val="39"/>
                    <w:rPr>
                      <w:rFonts w:eastAsia="宋体"/>
                      <w:color w:val="auto"/>
                      <w:lang w:val="en-US" w:eastAsia="zh-CN"/>
                    </w:rPr>
                  </w:pPr>
                  <w:r>
                    <w:rPr>
                      <w:rFonts w:hint="eastAsia"/>
                      <w:color w:val="auto"/>
                      <w:lang w:val="en-US" w:eastAsia="zh-CN"/>
                    </w:rPr>
                    <w:t>车间名称</w:t>
                  </w:r>
                </w:p>
              </w:tc>
              <w:tc>
                <w:tcPr>
                  <w:tcW w:w="183" w:type="dxa"/>
                  <w:vMerge w:val="restart"/>
                  <w:vAlign w:val="center"/>
                </w:tcPr>
                <w:p>
                  <w:pPr>
                    <w:pStyle w:val="39"/>
                    <w:rPr>
                      <w:color w:val="auto"/>
                    </w:rPr>
                  </w:pPr>
                  <w:r>
                    <w:rPr>
                      <w:color w:val="auto"/>
                    </w:rPr>
                    <w:t>声源</w:t>
                  </w:r>
                </w:p>
              </w:tc>
              <w:tc>
                <w:tcPr>
                  <w:tcW w:w="134" w:type="dxa"/>
                  <w:vMerge w:val="restart"/>
                  <w:vAlign w:val="center"/>
                </w:tcPr>
                <w:p>
                  <w:pPr>
                    <w:pStyle w:val="39"/>
                    <w:rPr>
                      <w:color w:val="auto"/>
                    </w:rPr>
                  </w:pPr>
                  <w:r>
                    <w:rPr>
                      <w:color w:val="auto"/>
                    </w:rPr>
                    <w:t>声功率级/dB（A）</w:t>
                  </w:r>
                </w:p>
              </w:tc>
              <w:tc>
                <w:tcPr>
                  <w:tcW w:w="382" w:type="dxa"/>
                  <w:vMerge w:val="restart"/>
                  <w:vAlign w:val="center"/>
                </w:tcPr>
                <w:p>
                  <w:pPr>
                    <w:pStyle w:val="39"/>
                    <w:rPr>
                      <w:color w:val="auto"/>
                    </w:rPr>
                  </w:pPr>
                  <w:r>
                    <w:rPr>
                      <w:color w:val="auto"/>
                    </w:rPr>
                    <w:t>声源控制措施</w:t>
                  </w:r>
                </w:p>
              </w:tc>
              <w:tc>
                <w:tcPr>
                  <w:tcW w:w="248" w:type="dxa"/>
                  <w:gridSpan w:val="3"/>
                  <w:vAlign w:val="center"/>
                </w:tcPr>
                <w:p>
                  <w:pPr>
                    <w:pStyle w:val="39"/>
                    <w:rPr>
                      <w:color w:val="auto"/>
                    </w:rPr>
                  </w:pPr>
                  <w:r>
                    <w:rPr>
                      <w:color w:val="auto"/>
                    </w:rPr>
                    <w:t>空间相对位置/m</w:t>
                  </w:r>
                </w:p>
              </w:tc>
              <w:tc>
                <w:tcPr>
                  <w:tcW w:w="195" w:type="dxa"/>
                  <w:gridSpan w:val="2"/>
                  <w:vMerge w:val="restart"/>
                  <w:vAlign w:val="center"/>
                </w:tcPr>
                <w:p>
                  <w:pPr>
                    <w:pStyle w:val="39"/>
                    <w:rPr>
                      <w:color w:val="auto"/>
                    </w:rPr>
                  </w:pPr>
                  <w:r>
                    <w:rPr>
                      <w:color w:val="auto"/>
                    </w:rPr>
                    <w:t>距室内边界距离/m</w:t>
                  </w:r>
                </w:p>
              </w:tc>
              <w:tc>
                <w:tcPr>
                  <w:tcW w:w="180" w:type="dxa"/>
                  <w:vMerge w:val="restart"/>
                  <w:vAlign w:val="center"/>
                </w:tcPr>
                <w:p>
                  <w:pPr>
                    <w:pStyle w:val="39"/>
                    <w:rPr>
                      <w:color w:val="auto"/>
                    </w:rPr>
                  </w:pPr>
                  <w:r>
                    <w:rPr>
                      <w:color w:val="auto"/>
                    </w:rPr>
                    <w:t>室内边界声级/dB（A）</w:t>
                  </w:r>
                </w:p>
              </w:tc>
              <w:tc>
                <w:tcPr>
                  <w:tcW w:w="89" w:type="dxa"/>
                  <w:vMerge w:val="restart"/>
                  <w:vAlign w:val="center"/>
                </w:tcPr>
                <w:p>
                  <w:pPr>
                    <w:pStyle w:val="39"/>
                    <w:rPr>
                      <w:color w:val="auto"/>
                    </w:rPr>
                  </w:pPr>
                  <w:r>
                    <w:rPr>
                      <w:color w:val="auto"/>
                    </w:rPr>
                    <w:t>运行时段</w:t>
                  </w:r>
                </w:p>
              </w:tc>
              <w:tc>
                <w:tcPr>
                  <w:tcW w:w="187" w:type="dxa"/>
                  <w:vMerge w:val="restart"/>
                  <w:vAlign w:val="center"/>
                </w:tcPr>
                <w:p>
                  <w:pPr>
                    <w:pStyle w:val="39"/>
                    <w:rPr>
                      <w:color w:val="auto"/>
                    </w:rPr>
                  </w:pPr>
                  <w:r>
                    <w:rPr>
                      <w:color w:val="auto"/>
                    </w:rPr>
                    <w:t>建筑物插入损失/dB（A）</w:t>
                  </w:r>
                </w:p>
              </w:tc>
              <w:tc>
                <w:tcPr>
                  <w:tcW w:w="306" w:type="dxa"/>
                  <w:gridSpan w:val="3"/>
                  <w:vAlign w:val="center"/>
                </w:tcPr>
                <w:p>
                  <w:pPr>
                    <w:pStyle w:val="39"/>
                    <w:rPr>
                      <w:color w:val="auto"/>
                    </w:rPr>
                  </w:pPr>
                  <w:r>
                    <w:rPr>
                      <w:color w:val="auto"/>
                    </w:rPr>
                    <w:t>建筑物外噪声</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tcBorders>
                    <w:left w:val="single" w:sz="4" w:space="0" w:color="auto"/>
                  </w:tcBorders>
                  <w:vAlign w:val="center"/>
                </w:tcPr>
                <w:p>
                  <w:pPr>
                    <w:pStyle w:val="39"/>
                    <w:rPr>
                      <w:color w:val="auto"/>
                    </w:rPr>
                  </w:pPr>
                  <w:r>
                    <w:rPr>
                      <w:color w:val="auto"/>
                    </w:rPr>
                    <w:t>X</w:t>
                  </w:r>
                </w:p>
              </w:tc>
              <w:tc>
                <w:tcPr>
                  <w:tcW w:w="83" w:type="dxa"/>
                  <w:tcBorders>
                    <w:left w:val="single" w:sz="4" w:space="0" w:color="auto"/>
                  </w:tcBorders>
                  <w:vAlign w:val="center"/>
                </w:tcPr>
                <w:p>
                  <w:pPr>
                    <w:pStyle w:val="39"/>
                    <w:rPr>
                      <w:color w:val="auto"/>
                    </w:rPr>
                  </w:pPr>
                  <w:r>
                    <w:rPr>
                      <w:color w:val="auto"/>
                    </w:rPr>
                    <w:t>Y</w:t>
                  </w:r>
                </w:p>
              </w:tc>
              <w:tc>
                <w:tcPr>
                  <w:tcW w:w="82" w:type="dxa"/>
                  <w:tcBorders>
                    <w:left w:val="single" w:sz="4" w:space="0" w:color="auto"/>
                  </w:tcBorders>
                  <w:vAlign w:val="center"/>
                </w:tcPr>
                <w:p>
                  <w:pPr>
                    <w:pStyle w:val="39"/>
                    <w:rPr>
                      <w:color w:val="auto"/>
                    </w:rPr>
                  </w:pPr>
                  <w:r>
                    <w:rPr>
                      <w:color w:val="auto"/>
                    </w:rPr>
                    <w:t>Z</w:t>
                  </w:r>
                </w:p>
              </w:tc>
              <w:tc>
                <w:tcPr>
                  <w:tcW w:w="195" w:type="dxa"/>
                  <w:gridSpan w:val="2"/>
                  <w:vMerge/>
                  <w:tcBorders>
                    <w:left w:val="single" w:sz="4" w:space="0" w:color="auto"/>
                  </w:tcBorders>
                  <w:vAlign w:val="center"/>
                </w:tcPr>
                <w:p/>
              </w:tc>
              <w:tc>
                <w:tcPr>
                  <w:tcW w:w="180" w:type="dxa"/>
                  <w:vMerge/>
                  <w:tcBorders>
                    <w:left w:val="single" w:sz="4" w:space="0" w:color="auto"/>
                  </w:tcBorders>
                  <w:vAlign w:val="center"/>
                </w:tcP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185" w:type="dxa"/>
                  <w:gridSpan w:val="2"/>
                  <w:tcBorders>
                    <w:left w:val="single" w:sz="4" w:space="0" w:color="auto"/>
                  </w:tcBorders>
                  <w:vAlign w:val="center"/>
                </w:tcPr>
                <w:p>
                  <w:pPr>
                    <w:pStyle w:val="39"/>
                    <w:rPr>
                      <w:color w:val="auto"/>
                    </w:rPr>
                  </w:pPr>
                  <w:r>
                    <w:rPr>
                      <w:color w:val="auto"/>
                    </w:rPr>
                    <w:t>声压级/dB（A）</w:t>
                  </w:r>
                </w:p>
              </w:tc>
              <w:tc>
                <w:tcPr>
                  <w:tcW w:w="121" w:type="dxa"/>
                  <w:tcBorders>
                    <w:left w:val="single" w:sz="4" w:space="0" w:color="auto"/>
                  </w:tcBorders>
                  <w:vAlign w:val="center"/>
                </w:tcPr>
                <w:p>
                  <w:pPr>
                    <w:pStyle w:val="39"/>
                    <w:rPr>
                      <w:color w:val="auto"/>
                    </w:rPr>
                  </w:pPr>
                  <w:r>
                    <w:rPr>
                      <w:color w:val="auto"/>
                    </w:rPr>
                    <w:t>建筑物外距离/m</w:t>
                  </w:r>
                </w:p>
              </w:tc>
            </w:tr>
            <w:tr>
              <w:trPr>
                <w:trHeight w:val="90"/>
              </w:trPr>
              <w:tc>
                <w:tcPr>
                  <w:tcW w:w="95" w:type="dxa"/>
                  <w:vMerge w:val="restart"/>
                  <w:vAlign w:val="center"/>
                </w:tcPr>
                <w:p>
                  <w:pPr>
                    <w:pStyle w:val="39"/>
                    <w:rPr>
                      <w:color w:val="auto"/>
                      <w:lang w:val="en-US" w:eastAsia="zh-CN"/>
                    </w:rPr>
                  </w:pPr>
                  <w:r>
                    <w:rPr>
                      <w:rFonts w:hint="eastAsia"/>
                      <w:color w:val="auto"/>
                      <w:lang w:val="en-US" w:eastAsia="zh-CN"/>
                    </w:rPr>
                    <w:t>中微量元素混合车间</w:t>
                  </w: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密闭式颗粒混合搅拌机</w:t>
                  </w:r>
                </w:p>
              </w:tc>
              <w:tc>
                <w:tcPr>
                  <w:tcW w:w="134" w:type="dxa"/>
                  <w:vMerge w:val="restart"/>
                  <w:tcBorders>
                    <w:left w:val="single" w:sz="4" w:space="0" w:color="auto"/>
                  </w:tcBorders>
                  <w:vAlign w:val="center"/>
                </w:tcPr>
                <w:p>
                  <w:pPr>
                    <w:pStyle w:val="39"/>
                    <w:rPr>
                      <w:color w:val="auto"/>
                      <w:lang w:val="en-US" w:eastAsia="zh-CN"/>
                    </w:rPr>
                  </w:pPr>
                  <w:bookmarkStart w:id="6" w:name="OLE_LINK1"/>
                  <w:r>
                    <w:rPr>
                      <w:rFonts w:hint="eastAsia"/>
                      <w:color w:val="auto"/>
                      <w:lang w:val="en-US" w:eastAsia="zh-CN"/>
                    </w:rPr>
                    <w:t>75</w:t>
                  </w:r>
                </w:p>
              </w:tc>
              <w:tc>
                <w:tcPr>
                  <w:tcW w:w="382" w:type="dxa"/>
                  <w:vMerge w:val="restart"/>
                  <w:tcBorders>
                    <w:left w:val="single" w:sz="4" w:space="0" w:color="auto"/>
                  </w:tcBorders>
                  <w:vAlign w:val="center"/>
                </w:tcPr>
                <w:p>
                  <w:pPr>
                    <w:pStyle w:val="39"/>
                    <w:rPr>
                      <w:color w:val="auto"/>
                    </w:rPr>
                  </w:pPr>
                  <w:r>
                    <w:rPr>
                      <w:color w:val="auto"/>
                    </w:rPr>
                    <w:t>选用低噪声设备，所有设备均设置于车间内，并对底部进行基础减振，厂房进行隔声等措施</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61.0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46.0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48.0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密闭式颗粒混合搅拌机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64.0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49.0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48.0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密闭式颗粒混合搅拌机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48.0</w:t>
                  </w:r>
                </w:p>
              </w:tc>
              <w:tc>
                <w:tcPr>
                  <w:tcW w:w="121" w:type="dxa"/>
                  <w:vMerge/>
                  <w:tcBorders>
                    <w:left w:val="single" w:sz="4" w:space="0" w:color="auto"/>
                  </w:tcBorders>
                  <w:vAlign w:val="center"/>
                </w:tcPr>
                <w:p/>
              </w:tc>
            </w:tr>
            <w:tr>
              <w:trPr>
                <w:trHeight w:val="90"/>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61.0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46.0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颗粒对辊破碎机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60.0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45.0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53.0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45.0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颗粒对辊破碎机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53.0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51.0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34.4</w:t>
                  </w:r>
                </w:p>
              </w:tc>
              <w:tc>
                <w:tcPr>
                  <w:tcW w:w="121" w:type="dxa"/>
                  <w:vMerge/>
                  <w:tcBorders>
                    <w:left w:val="single" w:sz="4" w:space="0" w:color="auto"/>
                  </w:tcBorders>
                  <w:vAlign w:val="center"/>
                </w:tcPr>
                <w:p/>
              </w:tc>
            </w:tr>
            <w:tr>
              <w:trPr>
                <w:trHeight w:val="23"/>
              </w:trPr>
              <w:tc>
                <w:tcPr>
                  <w:tcW w:w="95" w:type="dxa"/>
                  <w:vMerge w:val="restart"/>
                  <w:vAlign w:val="center"/>
                </w:tcPr>
                <w:p>
                  <w:pPr>
                    <w:pStyle w:val="39"/>
                    <w:rPr>
                      <w:color w:val="auto"/>
                      <w:lang w:val="en-US" w:eastAsia="zh-CN"/>
                    </w:rPr>
                  </w:pPr>
                  <w:r>
                    <w:rPr>
                      <w:rFonts w:hint="eastAsia"/>
                      <w:color w:val="auto"/>
                      <w:lang w:val="en-US" w:eastAsia="zh-CN"/>
                    </w:rPr>
                    <w:t>挤压造粒生产线车间</w:t>
                  </w: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28.7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13.7</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54.4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39.4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-51</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29.0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14.0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29.7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14.7</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-47</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29.3</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14.3</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29.9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14.9</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21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43.6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28.6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-36</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30.3</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15.3</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24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42.4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27.4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30.8</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15.8</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40.2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25.2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-27</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39.4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24.4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37.3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22.3</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20.8</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35.8</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20.8</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45.9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30.9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54.4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39.4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35.8</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20.8</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54.4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39.4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45.9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30.9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17</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37.1</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22.1</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23.9</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16.3</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31</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40.5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25.5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密闭式破碎机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-47</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39.3</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24.3</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57.1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42.1</w:t>
                  </w:r>
                </w:p>
              </w:tc>
              <w:tc>
                <w:tcPr>
                  <w:tcW w:w="121" w:type="dxa"/>
                  <w:vMerge/>
                  <w:tcBorders>
                    <w:left w:val="single" w:sz="4" w:space="0" w:color="auto"/>
                  </w:tcBorders>
                  <w:vAlign w:val="center"/>
                </w:tcPr>
                <w:p/>
              </w:tc>
            </w:tr>
            <w:tr>
              <w:trPr>
                <w:trHeight w:val="90"/>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密闭式破碎机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40.8</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25.8</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60.9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30.6</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15.6</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29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40.8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25.8</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17.9</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17.9</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密闭式混合送料机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29.9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14.9</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21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43.6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28.6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密闭式喂料机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34.0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19.0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34.6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19.6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密闭式喂料机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43.0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46.5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31.5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45.4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30.4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45.4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30.4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76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46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46.5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31.5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58.0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43.0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33.3</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18.3</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密闭式颗粒挤压机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33.3</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18.3</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46.5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31.5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密闭式筛分机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34.4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19.4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34.2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19.2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密闭式筛分机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34</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27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41.4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26.4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密闭式烘干机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天然气热风炉</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密闭式冷却机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38.2</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23.2</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包装封口机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54.4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39.4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32.1</w:t>
                  </w:r>
                </w:p>
              </w:tc>
              <w:tc>
                <w:tcPr>
                  <w:tcW w:w="121" w:type="dxa"/>
                  <w:vMerge/>
                  <w:tcBorders>
                    <w:left w:val="single" w:sz="4" w:space="0" w:color="auto"/>
                  </w:tcBorders>
                  <w:vAlign w:val="center"/>
                </w:tcPr>
                <w:p/>
              </w:tc>
            </w:tr>
            <w:tr>
              <w:trPr>
                <w:trHeight w:val="90"/>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28.7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13.7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包装封口机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54.4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39.4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28.7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13.7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烘干机引风机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-11.6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冷却引风机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23.4</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热风机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14</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41.6</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26.6</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37.5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22.5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55.0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40.0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空压机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42.7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27.7</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52.1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37.1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空压机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21</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43.0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28.0</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52.1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37.1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可调式水计量泵</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28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41.1</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26.1</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热风炉循环泵</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29.9</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74</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32.6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17.6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中微量元素给料机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-55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28.7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13.7</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54.4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39.4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密闭式颗粒整形机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80</w:t>
                  </w:r>
                </w:p>
              </w:tc>
              <w:tc>
                <w:tcPr>
                  <w:tcW w:w="382" w:type="dxa"/>
                  <w:vMerge/>
                  <w:tcBorders>
                    <w:left w:val="single" w:sz="4" w:space="0" w:color="auto"/>
                  </w:tcBorders>
                  <w:vAlign w:val="center"/>
                </w:tcPr>
                <w:p/>
              </w:tc>
              <w:tc>
                <w:tcPr>
                  <w:tcW w:w="83"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19</w:t>
                  </w:r>
                </w:p>
              </w:tc>
              <w:tc>
                <w:tcPr>
                  <w:tcW w:w="83"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4</w:t>
                  </w:r>
                </w:p>
              </w:tc>
              <w:tc>
                <w:tcPr>
                  <w:tcW w:w="82"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42</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52.5</w:t>
                  </w:r>
                </w:p>
              </w:tc>
              <w:tc>
                <w:tcPr>
                  <w:tcW w:w="89" w:type="dxa"/>
                  <w:vMerge w:val="restar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37.5</w:t>
                  </w:r>
                </w:p>
              </w:tc>
              <w:tc>
                <w:tcPr>
                  <w:tcW w:w="121"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17</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60.4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45.4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102</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44.8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29.8</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75.5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60.5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斗式提升机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85</w:t>
                  </w:r>
                </w:p>
              </w:tc>
              <w:tc>
                <w:tcPr>
                  <w:tcW w:w="382" w:type="dxa"/>
                  <w:vMerge/>
                  <w:tcBorders>
                    <w:left w:val="single" w:sz="4" w:space="0" w:color="auto"/>
                  </w:tcBorders>
                  <w:vAlign w:val="center"/>
                </w:tcPr>
                <w:p/>
              </w:tc>
              <w:tc>
                <w:tcPr>
                  <w:tcW w:w="83"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16</w:t>
                  </w:r>
                </w:p>
              </w:tc>
              <w:tc>
                <w:tcPr>
                  <w:tcW w:w="83"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6</w:t>
                  </w:r>
                </w:p>
              </w:tc>
              <w:tc>
                <w:tcPr>
                  <w:tcW w:w="82"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42</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52.5</w:t>
                  </w:r>
                </w:p>
              </w:tc>
              <w:tc>
                <w:tcPr>
                  <w:tcW w:w="89" w:type="dxa"/>
                  <w:vMerge w:val="restart"/>
                  <w:tcBorders>
                    <w:left w:val="single" w:sz="4" w:space="0" w:color="auto"/>
                  </w:tcBorders>
                  <w:shd w:val="clear" w:color="auto" w:fill="auto"/>
                  <w:vAlign w:val="center"/>
                </w:tcPr>
                <w:p>
                  <w:pPr>
                    <w:pStyle w:val="39"/>
                    <w:ind w:firstLine="0"/>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37.5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17</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60.4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45.4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102</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44.8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29.8</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3</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75.5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60.5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斗式提升机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85</w:t>
                  </w:r>
                </w:p>
              </w:tc>
              <w:tc>
                <w:tcPr>
                  <w:tcW w:w="382" w:type="dxa"/>
                  <w:vMerge/>
                  <w:tcBorders>
                    <w:left w:val="single" w:sz="4" w:space="0" w:color="auto"/>
                  </w:tcBorders>
                  <w:vAlign w:val="center"/>
                </w:tcPr>
                <w:p/>
              </w:tc>
              <w:tc>
                <w:tcPr>
                  <w:tcW w:w="83"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16</w:t>
                  </w:r>
                </w:p>
              </w:tc>
              <w:tc>
                <w:tcPr>
                  <w:tcW w:w="83"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-6</w:t>
                  </w:r>
                </w:p>
              </w:tc>
              <w:tc>
                <w:tcPr>
                  <w:tcW w:w="82"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42</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52.5</w:t>
                  </w:r>
                </w:p>
              </w:tc>
              <w:tc>
                <w:tcPr>
                  <w:tcW w:w="89" w:type="dxa"/>
                  <w:vMerge w:val="restart"/>
                  <w:tcBorders>
                    <w:left w:val="single" w:sz="4" w:space="0" w:color="auto"/>
                  </w:tcBorders>
                  <w:shd w:val="clear" w:color="auto" w:fill="auto"/>
                  <w:vAlign w:val="center"/>
                </w:tcPr>
                <w:p>
                  <w:pPr>
                    <w:pStyle w:val="39"/>
                    <w:ind w:firstLine="0"/>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37.5</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3</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75.5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60.5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102</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44.8</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29.8</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17</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cs="Times New Roman" w:hint="eastAsia"/>
                      <w:color w:val="auto"/>
                      <w:kern w:val="0"/>
                      <w:sz w:val="21"/>
                      <w:szCs w:val="24"/>
                      <w:lang w:val="en-US" w:eastAsia="zh-CN" w:bidi="ar-SA"/>
                    </w:rPr>
                    <w:t>60.4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45.4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防结块粉计量添加剂</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shd w:val="clear" w:color="auto" w:fill="auto"/>
                  <w:vAlign w:val="center"/>
                </w:tcPr>
                <w:p>
                  <w:pPr>
                    <w:pStyle w:val="39"/>
                    <w:ind w:firstLine="0"/>
                    <w:rPr>
                      <w:color w:val="auto"/>
                      <w:lang w:val="en-US" w:eastAsia="zh-CN"/>
                    </w:rPr>
                  </w:pPr>
                  <w:r>
                    <w:rPr>
                      <w:rFonts w:hint="eastAsia"/>
                      <w:color w:val="auto"/>
                      <w:lang w:val="en-US" w:eastAsia="zh-CN"/>
                    </w:rPr>
                    <w:t>48</w:t>
                  </w:r>
                </w:p>
              </w:tc>
              <w:tc>
                <w:tcPr>
                  <w:tcW w:w="83"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0</w:t>
                  </w:r>
                </w:p>
              </w:tc>
              <w:tc>
                <w:tcPr>
                  <w:tcW w:w="82"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1.5</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56.0</w:t>
                  </w:r>
                </w:p>
              </w:tc>
              <w:tc>
                <w:tcPr>
                  <w:tcW w:w="89" w:type="dxa"/>
                  <w:vMerge w:val="restart"/>
                  <w:tcBorders>
                    <w:left w:val="single" w:sz="4" w:space="0" w:color="auto"/>
                  </w:tcBorders>
                  <w:shd w:val="clear" w:color="auto" w:fill="auto"/>
                  <w:vAlign w:val="center"/>
                </w:tcPr>
                <w:p>
                  <w:pPr>
                    <w:pStyle w:val="39"/>
                    <w:ind w:firstLine="0"/>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shd w:val="clear" w:color="auto" w:fill="auto"/>
                  <w:vAlign w:val="center"/>
                </w:tcPr>
                <w:p>
                  <w:pPr>
                    <w:pStyle w:val="39"/>
                    <w:ind w:firstLine="0"/>
                    <w:rPr>
                      <w:rFonts w:hint="eastAsia"/>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41.0</w:t>
                  </w:r>
                </w:p>
              </w:tc>
              <w:tc>
                <w:tcPr>
                  <w:tcW w:w="121" w:type="dxa"/>
                  <w:vMerge w:val="restart"/>
                  <w:tcBorders>
                    <w:left w:val="single" w:sz="4" w:space="0" w:color="auto"/>
                  </w:tcBorders>
                  <w:vAlign w:val="center"/>
                </w:tcPr>
                <w:p>
                  <w:pPr>
                    <w:pStyle w:val="39"/>
                    <w:rPr>
                      <w:rFonts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9</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113</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28.9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13.9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9</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restart"/>
                  <w:vAlign w:val="center"/>
                </w:tcPr>
                <w:p>
                  <w:pPr>
                    <w:pStyle w:val="39"/>
                    <w:rPr>
                      <w:rFonts w:eastAsia="宋体"/>
                      <w:color w:val="auto"/>
                      <w:lang w:val="en-US" w:eastAsia="zh-CN"/>
                    </w:rPr>
                  </w:pPr>
                  <w:r>
                    <w:rPr>
                      <w:rFonts w:eastAsia="宋体" w:hint="eastAsia"/>
                      <w:color w:val="auto"/>
                      <w:lang w:val="en-US" w:eastAsia="zh-CN"/>
                    </w:rPr>
                    <w:t>复混肥生产线车间</w:t>
                  </w:r>
                </w:p>
              </w:tc>
              <w:tc>
                <w:tcPr>
                  <w:tcW w:w="1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密闭式筛分机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16.9</w:t>
                  </w:r>
                </w:p>
              </w:tc>
              <w:tc>
                <w:tcPr>
                  <w:tcW w:w="121"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20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15.4</w:t>
                  </w:r>
                </w:p>
              </w:tc>
              <w:tc>
                <w:tcPr>
                  <w:tcW w:w="121" w:type="dxa"/>
                  <w:vMerge w:val="restart"/>
                  <w:tcBorders>
                    <w:left w:val="single" w:sz="4" w:space="0" w:color="auto"/>
                  </w:tcBorders>
                  <w:vAlign w:val="center"/>
                </w:tcPr>
                <w:p>
                  <w:pPr>
                    <w:pStyle w:val="39"/>
                    <w:rPr>
                      <w:color w:val="auto"/>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41.0</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90</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30.9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15.9</w:t>
                  </w:r>
                </w:p>
              </w:tc>
              <w:tc>
                <w:tcPr>
                  <w:tcW w:w="121" w:type="dxa"/>
                  <w:vMerge w:val="restart"/>
                  <w:tcBorders>
                    <w:left w:val="single" w:sz="4" w:space="0" w:color="auto"/>
                  </w:tcBorders>
                  <w:vAlign w:val="center"/>
                </w:tcPr>
                <w:p>
                  <w:pPr>
                    <w:pStyle w:val="39"/>
                    <w:rPr>
                      <w:color w:val="auto"/>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11</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10</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50.0</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35.0</w:t>
                  </w:r>
                </w:p>
              </w:tc>
              <w:tc>
                <w:tcPr>
                  <w:tcW w:w="121" w:type="dxa"/>
                  <w:vMerge/>
                  <w:tcBorders>
                    <w:left w:val="single" w:sz="4" w:space="0" w:color="auto"/>
                  </w:tcBorders>
                  <w:vAlign w:val="center"/>
                </w:tcPr>
                <w:p/>
              </w:tc>
            </w:tr>
            <w:tr>
              <w:trPr>
                <w:trHeight w:val="90"/>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11</w:t>
                  </w:r>
                </w:p>
              </w:tc>
              <w:tc>
                <w:tcPr>
                  <w:tcW w:w="180" w:type="dxa"/>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60"/>
              </w:trPr>
              <w:tc>
                <w:tcPr>
                  <w:tcW w:w="95" w:type="dxa"/>
                  <w:vMerge/>
                  <w:vAlign w:val="center"/>
                </w:tcPr>
                <w:p/>
              </w:tc>
              <w:tc>
                <w:tcPr>
                  <w:tcW w:w="183" w:type="dxa"/>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16.4</w:t>
                  </w:r>
                </w:p>
              </w:tc>
              <w:tc>
                <w:tcPr>
                  <w:tcW w:w="121" w:type="dxa"/>
                  <w:vMerge w:val="restart"/>
                  <w:tcBorders>
                    <w:left w:val="single" w:sz="4" w:space="0" w:color="auto"/>
                  </w:tcBorders>
                  <w:vAlign w:val="center"/>
                </w:tcPr>
                <w:p>
                  <w:pPr>
                    <w:pStyle w:val="39"/>
                    <w:rPr>
                      <w:color w:val="auto"/>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46.5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31.5</w:t>
                  </w:r>
                </w:p>
              </w:tc>
              <w:tc>
                <w:tcPr>
                  <w:tcW w:w="121" w:type="dxa"/>
                  <w:vMerge/>
                  <w:tcBorders>
                    <w:left w:val="single" w:sz="4" w:space="0" w:color="auto"/>
                  </w:tcBorders>
                  <w:vAlign w:val="center"/>
                </w:tcPr>
                <w:p/>
              </w:tc>
            </w:tr>
            <w:tr>
              <w:trPr>
                <w:trHeight w:val="90"/>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33.1</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color w:val="auto"/>
                      <w:lang w:val="en-US" w:eastAsia="zh-CN"/>
                    </w:rPr>
                  </w:pPr>
                  <w:r>
                    <w:rPr>
                      <w:rFonts w:hint="eastAsia"/>
                      <w:color w:val="auto"/>
                      <w:lang w:val="en-US" w:eastAsia="zh-CN"/>
                    </w:rPr>
                    <w:t>18.1</w:t>
                  </w:r>
                </w:p>
              </w:tc>
              <w:tc>
                <w:tcPr>
                  <w:tcW w:w="121" w:type="dxa"/>
                  <w:vMerge w:val="restart"/>
                  <w:tcBorders>
                    <w:left w:val="single" w:sz="4" w:space="0" w:color="auto"/>
                  </w:tcBorders>
                  <w:vAlign w:val="center"/>
                </w:tcPr>
                <w:p>
                  <w:pPr>
                    <w:pStyle w:val="39"/>
                    <w:rPr>
                      <w:color w:val="auto"/>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40.5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25.5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39.9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24.9</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33.3</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18.3</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29.9</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rPr>
                  </w:pPr>
                  <w:r>
                    <w:rPr>
                      <w:rFonts w:hint="eastAsia"/>
                      <w:color w:val="auto"/>
                      <w:lang w:val="en-US" w:eastAsia="zh-CN"/>
                    </w:rPr>
                    <w:t>皮带输送机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53.1</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38.1</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16.7</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rPr>
                  </w:pPr>
                  <w:r>
                    <w:rPr>
                      <w:rFonts w:hint="eastAsia"/>
                      <w:color w:val="auto"/>
                      <w:lang w:val="en-US" w:eastAsia="zh-CN"/>
                    </w:rPr>
                    <w:t>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62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34.2</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19.2</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rPr>
                  </w:pPr>
                  <w:r>
                    <w:rPr>
                      <w:rFonts w:hint="eastAsia"/>
                      <w:color w:val="auto"/>
                      <w:lang w:val="en-US" w:eastAsia="zh-CN"/>
                    </w:rPr>
                    <w:t>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0</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53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20.5</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47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36.6</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21.6</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hint="eastAsia"/>
                      <w:color w:val="auto"/>
                    </w:rPr>
                  </w:pPr>
                  <w:r>
                    <w:rPr>
                      <w:rFonts w:hint="eastAsia"/>
                      <w:color w:val="auto"/>
                      <w:lang w:val="en-US" w:eastAsia="zh-CN"/>
                    </w:rPr>
                    <w:t>提升机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44.9</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29.9</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33.4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color w:val="auto"/>
                      <w:lang w:val="en-US" w:eastAsia="zh-CN"/>
                    </w:rPr>
                  </w:pPr>
                  <w:r>
                    <w:rPr>
                      <w:rFonts w:hint="eastAsia"/>
                      <w:color w:val="auto"/>
                      <w:lang w:val="en-US" w:eastAsia="zh-CN"/>
                    </w:rPr>
                    <w:t>密闭式混料机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40.5</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25.5</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49.2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34.2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16.9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包装封口机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35.0</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包装封口机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50.0</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35.0</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30.9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15.9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47.7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32.7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空压机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shd w:val="clear" w:color="auto" w:fill="auto"/>
                  <w:vAlign w:val="center"/>
                </w:tcPr>
                <w:p>
                  <w:pPr>
                    <w:pStyle w:val="39"/>
                    <w:rPr>
                      <w:rFonts w:hint="eastAsia"/>
                      <w:color w:val="auto"/>
                      <w:lang w:val="en-US" w:eastAsia="zh-CN"/>
                    </w:rPr>
                  </w:pPr>
                  <w:r>
                    <w:rPr>
                      <w:color w:val="auto"/>
                      <w:lang w:val="en-US" w:eastAsia="zh-CN"/>
                    </w:rPr>
                    <w:t>53.4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38.4</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shd w:val="clear" w:color="auto" w:fill="auto"/>
                  <w:vAlign w:val="center"/>
                </w:tcPr>
                <w:p>
                  <w:pPr>
                    <w:pStyle w:val="39"/>
                    <w:rPr>
                      <w:rFonts w:hint="eastAsia"/>
                      <w:color w:val="auto"/>
                      <w:lang w:val="en-US" w:eastAsia="zh-CN"/>
                    </w:rPr>
                  </w:pPr>
                  <w:r>
                    <w:rPr>
                      <w:color w:val="auto"/>
                      <w:lang w:val="en-US" w:eastAsia="zh-CN"/>
                    </w:rPr>
                    <w:t>52.7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37.7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88</w:t>
                  </w:r>
                </w:p>
              </w:tc>
              <w:tc>
                <w:tcPr>
                  <w:tcW w:w="180" w:type="dxa"/>
                  <w:tcBorders>
                    <w:left w:val="single" w:sz="4" w:space="0" w:color="auto"/>
                  </w:tcBorders>
                  <w:shd w:val="clear" w:color="auto" w:fill="auto"/>
                  <w:vAlign w:val="center"/>
                </w:tcPr>
                <w:p>
                  <w:pPr>
                    <w:pStyle w:val="39"/>
                    <w:rPr>
                      <w:rFonts w:hint="eastAsia"/>
                      <w:color w:val="auto"/>
                      <w:lang w:val="en-US" w:eastAsia="zh-CN"/>
                    </w:rPr>
                  </w:pPr>
                  <w:r>
                    <w:rPr>
                      <w:color w:val="auto"/>
                      <w:lang w:val="en-US" w:eastAsia="zh-CN"/>
                    </w:rPr>
                    <w:t>36.1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shd w:val="clear" w:color="auto" w:fill="auto"/>
                  <w:vAlign w:val="center"/>
                </w:tcPr>
                <w:p>
                  <w:pPr>
                    <w:pStyle w:val="39"/>
                    <w:rPr>
                      <w:rFonts w:hint="eastAsia"/>
                      <w:color w:val="auto"/>
                      <w:lang w:val="en-US" w:eastAsia="zh-CN"/>
                    </w:rPr>
                  </w:pPr>
                  <w:r>
                    <w:rPr>
                      <w:color w:val="auto"/>
                      <w:lang w:val="en-US" w:eastAsia="zh-CN"/>
                    </w:rPr>
                    <w:t>58.1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43.1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空压机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38</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38.4</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55.9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40.9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11</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54.2</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39.2</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空压机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-35</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-3</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36.4</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21.4</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58.1</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43.1</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13</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52.7</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37.7</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空压机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75</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-42</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92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35.7</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20.7</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53.4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38.4</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56.9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41.9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密闭式筛分机</w:t>
                  </w:r>
                </w:p>
              </w:tc>
              <w:tc>
                <w:tcPr>
                  <w:tcW w:w="134"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382" w:type="dxa"/>
                  <w:vMerge/>
                  <w:tcBorders>
                    <w:left w:val="single" w:sz="4" w:space="0" w:color="auto"/>
                  </w:tcBorders>
                  <w:vAlign w:val="center"/>
                </w:tcP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-20</w:t>
                  </w:r>
                </w:p>
              </w:tc>
              <w:tc>
                <w:tcPr>
                  <w:tcW w:w="83"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2</w:t>
                  </w: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33.1</w:t>
                  </w:r>
                </w:p>
              </w:tc>
              <w:tc>
                <w:tcPr>
                  <w:tcW w:w="89" w:type="dxa"/>
                  <w:vMerge w:val="restart"/>
                  <w:tcBorders>
                    <w:left w:val="single" w:sz="4" w:space="0" w:color="auto"/>
                  </w:tcBorders>
                  <w:vAlign w:val="center"/>
                </w:tcPr>
                <w:p>
                  <w:pPr>
                    <w:pStyle w:val="39"/>
                    <w:rPr>
                      <w:color w:val="auto"/>
                    </w:rPr>
                  </w:pPr>
                  <w:r>
                    <w:rPr>
                      <w:color w:val="auto"/>
                    </w:rPr>
                    <w:t>昼间</w:t>
                  </w:r>
                  <w:r>
                    <w:rPr>
                      <w:rFonts w:hint="eastAsia"/>
                      <w:color w:val="auto"/>
                      <w:lang w:eastAsia="zh-CN"/>
                    </w:rPr>
                    <w:t>、</w:t>
                  </w:r>
                  <w:r>
                    <w:rPr>
                      <w:rFonts w:hint="eastAsia"/>
                      <w:color w:val="auto"/>
                      <w:lang w:val="en-US" w:eastAsia="zh-CN"/>
                    </w:rPr>
                    <w:t>夜间</w:t>
                  </w:r>
                </w:p>
              </w:tc>
              <w:tc>
                <w:tcPr>
                  <w:tcW w:w="187" w:type="dxa"/>
                  <w:vMerge w:val="restart"/>
                  <w:tcBorders>
                    <w:left w:val="single" w:sz="4" w:space="0" w:color="auto"/>
                  </w:tcBorders>
                  <w:vAlign w:val="center"/>
                </w:tcPr>
                <w:p>
                  <w:pPr>
                    <w:pStyle w:val="39"/>
                    <w:rPr>
                      <w:color w:val="auto"/>
                      <w:lang w:val="en-US" w:eastAsia="zh-CN"/>
                    </w:rPr>
                  </w:pPr>
                  <w:r>
                    <w:rPr>
                      <w:rFonts w:hint="eastAsia"/>
                      <w:color w:val="auto"/>
                      <w:lang w:val="en-US" w:eastAsia="zh-CN"/>
                    </w:rPr>
                    <w:t>15</w:t>
                  </w: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东</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18.1</w:t>
                  </w:r>
                </w:p>
              </w:tc>
              <w:tc>
                <w:tcPr>
                  <w:tcW w:w="121" w:type="dxa"/>
                  <w:vMerge w:val="restar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1</w:t>
                  </w: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8</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51.9</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36.9</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40.5</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西</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25.5</w:t>
                  </w:r>
                </w:p>
              </w:tc>
              <w:tc>
                <w:tcPr>
                  <w:tcW w:w="121" w:type="dxa"/>
                  <w:vMerge/>
                  <w:tcBorders>
                    <w:left w:val="single" w:sz="4" w:space="0" w:color="auto"/>
                  </w:tcBorders>
                  <w:vAlign w:val="center"/>
                </w:tcPr>
                <w:p/>
              </w:tc>
            </w:tr>
            <w:tr>
              <w:trPr>
                <w:trHeight w:val="23"/>
              </w:trPr>
              <w:tc>
                <w:tcPr>
                  <w:tcW w:w="95" w:type="dxa"/>
                  <w:vMerge/>
                  <w:vAlign w:val="center"/>
                </w:tcPr>
                <w:p/>
              </w:tc>
              <w:tc>
                <w:tcPr>
                  <w:tcW w:w="183" w:type="dxa"/>
                  <w:vMerge/>
                  <w:tcBorders>
                    <w:left w:val="single" w:sz="4" w:space="0" w:color="auto"/>
                  </w:tcBorders>
                  <w:vAlign w:val="center"/>
                </w:tcPr>
                <w:p/>
              </w:tc>
              <w:tc>
                <w:tcPr>
                  <w:tcW w:w="134" w:type="dxa"/>
                  <w:vMerge/>
                  <w:tcBorders>
                    <w:left w:val="single" w:sz="4" w:space="0" w:color="auto"/>
                  </w:tcBorders>
                  <w:vAlign w:val="center"/>
                </w:tcPr>
                <w:p/>
              </w:tc>
              <w:tc>
                <w:tcPr>
                  <w:tcW w:w="382" w:type="dxa"/>
                  <w:vMerge/>
                  <w:tcBorders>
                    <w:left w:val="single" w:sz="4" w:space="0" w:color="auto"/>
                  </w:tcBorders>
                  <w:vAlign w:val="center"/>
                </w:tcPr>
                <w:p/>
              </w:tc>
              <w:tc>
                <w:tcPr>
                  <w:tcW w:w="83" w:type="dxa"/>
                  <w:vMerge/>
                  <w:tcBorders>
                    <w:left w:val="single" w:sz="4" w:space="0" w:color="auto"/>
                  </w:tcBorders>
                  <w:vAlign w:val="center"/>
                </w:tcPr>
                <w:p/>
              </w:tc>
              <w:tc>
                <w:tcPr>
                  <w:tcW w:w="83" w:type="dxa"/>
                  <w:vMerge/>
                  <w:tcBorders>
                    <w:left w:val="single" w:sz="4" w:space="0" w:color="auto"/>
                  </w:tcBorders>
                  <w:vAlign w:val="center"/>
                </w:tcPr>
                <w:p/>
              </w:tc>
              <w:tc>
                <w:tcPr>
                  <w:tcW w:w="82" w:type="dxa"/>
                  <w:vMerge/>
                  <w:tcBorders>
                    <w:left w:val="single" w:sz="4" w:space="0" w:color="auto"/>
                  </w:tcBorders>
                  <w:vAlign w:val="center"/>
                </w:tcPr>
                <w:p/>
              </w:tc>
              <w:tc>
                <w:tcPr>
                  <w:tcW w:w="82"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bookmarkEnd w:id="6"/>
                  <w:r>
                    <w:rPr>
                      <w:rFonts w:hint="eastAsia"/>
                      <w:color w:val="auto"/>
                    </w:rPr>
                    <w:t>北</w:t>
                  </w:r>
                </w:p>
              </w:tc>
              <w:tc>
                <w:tcPr>
                  <w:tcW w:w="114" w:type="dxa"/>
                  <w:tcBorders>
                    <w:left w:val="single" w:sz="4" w:space="0" w:color="auto"/>
                  </w:tcBorders>
                  <w:vAlign w:val="center"/>
                </w:tcPr>
                <w:p>
                  <w:pPr>
                    <w:pStyle w:val="39"/>
                    <w:rPr>
                      <w:color w:val="auto"/>
                      <w:lang w:val="en-US" w:eastAsia="zh-CN"/>
                    </w:rPr>
                  </w:pPr>
                  <w:r>
                    <w:rPr>
                      <w:rFonts w:hint="eastAsia"/>
                      <w:color w:val="auto"/>
                      <w:lang w:val="en-US" w:eastAsia="zh-CN"/>
                    </w:rPr>
                    <w:t>12</w:t>
                  </w:r>
                </w:p>
              </w:tc>
              <w:tc>
                <w:tcPr>
                  <w:tcW w:w="180" w:type="dxa"/>
                  <w:tcBorders>
                    <w:left w:val="single" w:sz="4" w:space="0" w:color="auto"/>
                  </w:tcBorders>
                  <w:vAlign w:val="center"/>
                </w:tcPr>
                <w:p>
                  <w:pPr>
                    <w:pStyle w:val="39"/>
                    <w:rPr>
                      <w:color w:val="auto"/>
                      <w:lang w:val="en-US" w:eastAsia="zh-CN"/>
                    </w:rPr>
                  </w:pPr>
                  <w:r>
                    <w:rPr>
                      <w:rFonts w:hint="eastAsia"/>
                      <w:color w:val="auto"/>
                      <w:lang w:val="en-US" w:eastAsia="zh-CN"/>
                    </w:rPr>
                    <w:t>48.4</w:t>
                  </w:r>
                </w:p>
              </w:tc>
              <w:tc>
                <w:tcPr>
                  <w:tcW w:w="89" w:type="dxa"/>
                  <w:vMerge/>
                  <w:tcBorders>
                    <w:left w:val="single" w:sz="4" w:space="0" w:color="auto"/>
                  </w:tcBorders>
                  <w:vAlign w:val="center"/>
                </w:tcPr>
                <w:p/>
              </w:tc>
              <w:tc>
                <w:tcPr>
                  <w:tcW w:w="187" w:type="dxa"/>
                  <w:vMerge/>
                  <w:tcBorders>
                    <w:left w:val="single" w:sz="4" w:space="0" w:color="auto"/>
                  </w:tcBorders>
                  <w:vAlign w:val="center"/>
                </w:tcPr>
                <w:p/>
              </w:tc>
              <w:tc>
                <w:tcPr>
                  <w:tcW w:w="77"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rPr>
                    <w:t>北</w:t>
                  </w:r>
                </w:p>
              </w:tc>
              <w:tc>
                <w:tcPr>
                  <w:tcW w:w="108" w:type="dxa"/>
                  <w:tcBorders>
                    <w:left w:val="single" w:sz="4" w:space="0" w:color="auto"/>
                  </w:tcBorders>
                  <w:shd w:val="clear" w:color="auto" w:fill="auto"/>
                  <w:vAlign w:val="center"/>
                </w:tcPr>
                <w:p>
                  <w:pPr>
                    <w:pStyle w:val="39"/>
                    <w:rPr>
                      <w:rFonts w:hint="eastAsia"/>
                      <w:color w:val="auto"/>
                      <w:lang w:val="en-US" w:eastAsia="zh-CN"/>
                    </w:rPr>
                  </w:pPr>
                  <w:r>
                    <w:rPr>
                      <w:rFonts w:hint="eastAsia"/>
                      <w:color w:val="auto"/>
                      <w:lang w:val="en-US" w:eastAsia="zh-CN"/>
                    </w:rPr>
                    <w:t>33.4</w:t>
                  </w:r>
                </w:p>
              </w:tc>
              <w:tc>
                <w:tcPr>
                  <w:tcW w:w="121" w:type="dxa"/>
                  <w:vMerge/>
                  <w:tcBorders>
                    <w:left w:val="single" w:sz="4" w:space="0" w:color="auto"/>
                  </w:tcBorders>
                  <w:vAlign w:val="center"/>
                </w:tcPr>
                <w:p/>
              </w:tc>
            </w:tr>
          </w:tbl>
          <w:p>
            <w:pPr>
              <w:pStyle w:val="40"/>
              <w:rPr>
                <w:color w:val="auto"/>
              </w:rPr>
            </w:pPr>
            <w:r>
              <w:rPr>
                <w:rFonts w:hint="eastAsia"/>
                <w:color w:val="auto"/>
              </w:rPr>
              <w:t>表4-1</w:t>
            </w:r>
            <w:r>
              <w:rPr>
                <w:rFonts w:hint="eastAsia"/>
                <w:color w:val="auto"/>
                <w:lang w:val="en-US" w:eastAsia="zh-CN"/>
              </w:rPr>
              <w:t>2</w:t>
            </w:r>
            <w:r>
              <w:rPr>
                <w:rFonts w:hint="eastAsia"/>
                <w:color w:val="auto"/>
              </w:rPr>
              <w:t xml:space="preserve">  </w:t>
            </w:r>
            <w:r>
              <w:rPr>
                <w:rFonts w:hint="eastAsia"/>
                <w:color w:val="auto"/>
                <w:lang w:val="en-US" w:eastAsia="zh-CN"/>
              </w:rPr>
              <w:t>本项目完成后全厂</w:t>
            </w:r>
            <w:r>
              <w:rPr>
                <w:rFonts w:hint="eastAsia"/>
                <w:color w:val="auto"/>
              </w:rPr>
              <w:t>室外噪声源参数一览表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172"/>
              <w:gridCol w:w="3570"/>
              <w:gridCol w:w="2724"/>
              <w:gridCol w:w="1064"/>
              <w:gridCol w:w="1062"/>
              <w:gridCol w:w="1009"/>
              <w:gridCol w:w="1946"/>
            </w:tblGrid>
            <w:tr>
              <w:trPr>
                <w:trHeight w:val="23"/>
              </w:trPr>
              <w:tc>
                <w:tcPr>
                  <w:tcW w:w="467" w:type="pct"/>
                  <w:vMerge w:val="restart"/>
                  <w:vAlign w:val="center"/>
                </w:tcPr>
                <w:p>
                  <w:pPr>
                    <w:pStyle w:val="39"/>
                    <w:rPr>
                      <w:color w:val="auto"/>
                    </w:rPr>
                  </w:pPr>
                  <w:r>
                    <w:rPr>
                      <w:color w:val="auto"/>
                    </w:rPr>
                    <w:t>声源</w:t>
                  </w:r>
                </w:p>
              </w:tc>
              <w:tc>
                <w:tcPr>
                  <w:tcW w:w="1422" w:type="pct"/>
                  <w:vMerge w:val="restart"/>
                  <w:vAlign w:val="center"/>
                </w:tcPr>
                <w:p>
                  <w:pPr>
                    <w:pStyle w:val="39"/>
                    <w:rPr>
                      <w:color w:val="auto"/>
                    </w:rPr>
                  </w:pPr>
                  <w:r>
                    <w:rPr>
                      <w:color w:val="auto"/>
                    </w:rPr>
                    <w:t>声功率级/dB（A）</w:t>
                  </w:r>
                </w:p>
              </w:tc>
              <w:tc>
                <w:tcPr>
                  <w:tcW w:w="1085" w:type="pct"/>
                  <w:vMerge w:val="restart"/>
                  <w:vAlign w:val="center"/>
                </w:tcPr>
                <w:p>
                  <w:pPr>
                    <w:pStyle w:val="39"/>
                    <w:rPr>
                      <w:color w:val="auto"/>
                    </w:rPr>
                  </w:pPr>
                  <w:r>
                    <w:rPr>
                      <w:color w:val="auto"/>
                    </w:rPr>
                    <w:t>声源控制措施</w:t>
                  </w:r>
                </w:p>
              </w:tc>
              <w:tc>
                <w:tcPr>
                  <w:tcW w:w="1249" w:type="pct"/>
                  <w:gridSpan w:val="3"/>
                  <w:vAlign w:val="center"/>
                </w:tcPr>
                <w:p>
                  <w:pPr>
                    <w:pStyle w:val="39"/>
                    <w:rPr>
                      <w:color w:val="auto"/>
                    </w:rPr>
                  </w:pPr>
                  <w:r>
                    <w:rPr>
                      <w:color w:val="auto"/>
                    </w:rPr>
                    <w:t>空间相对位置/m</w:t>
                  </w:r>
                </w:p>
              </w:tc>
              <w:tc>
                <w:tcPr>
                  <w:tcW w:w="775" w:type="pct"/>
                  <w:vMerge w:val="restart"/>
                  <w:vAlign w:val="center"/>
                </w:tcPr>
                <w:p>
                  <w:pPr>
                    <w:pStyle w:val="39"/>
                    <w:rPr>
                      <w:color w:val="auto"/>
                    </w:rPr>
                  </w:pPr>
                  <w:r>
                    <w:rPr>
                      <w:color w:val="auto"/>
                    </w:rPr>
                    <w:t>运行时段</w:t>
                  </w:r>
                </w:p>
              </w:tc>
            </w:tr>
            <w:tr>
              <w:trPr>
                <w:trHeight w:val="23"/>
              </w:trPr>
              <w:tc>
                <w:tcPr>
                  <w:tcW w:w="467" w:type="pct"/>
                  <w:vMerge/>
                  <w:vAlign w:val="center"/>
                </w:tcPr>
                <w:p/>
              </w:tc>
              <w:tc>
                <w:tcPr>
                  <w:tcW w:w="1422" w:type="pct"/>
                  <w:vMerge/>
                  <w:tcBorders>
                    <w:left w:val="single" w:sz="4" w:space="0" w:color="auto"/>
                  </w:tcBorders>
                  <w:vAlign w:val="center"/>
                </w:tcPr>
                <w:p/>
              </w:tc>
              <w:tc>
                <w:tcPr>
                  <w:tcW w:w="1085" w:type="pct"/>
                  <w:vMerge/>
                  <w:tcBorders>
                    <w:left w:val="single" w:sz="4" w:space="0" w:color="auto"/>
                  </w:tcBorders>
                  <w:vAlign w:val="center"/>
                </w:tcPr>
                <w:p/>
              </w:tc>
              <w:tc>
                <w:tcPr>
                  <w:tcW w:w="424" w:type="pct"/>
                  <w:tcBorders>
                    <w:left w:val="single" w:sz="4" w:space="0" w:color="auto"/>
                  </w:tcBorders>
                  <w:vAlign w:val="center"/>
                </w:tcPr>
                <w:p>
                  <w:pPr>
                    <w:pStyle w:val="39"/>
                    <w:rPr>
                      <w:color w:val="auto"/>
                    </w:rPr>
                  </w:pPr>
                  <w:r>
                    <w:rPr>
                      <w:color w:val="auto"/>
                    </w:rPr>
                    <w:t>X</w:t>
                  </w:r>
                </w:p>
              </w:tc>
              <w:tc>
                <w:tcPr>
                  <w:tcW w:w="423" w:type="pct"/>
                  <w:tcBorders>
                    <w:left w:val="single" w:sz="4" w:space="0" w:color="auto"/>
                  </w:tcBorders>
                  <w:vAlign w:val="center"/>
                </w:tcPr>
                <w:p>
                  <w:pPr>
                    <w:pStyle w:val="39"/>
                    <w:rPr>
                      <w:color w:val="auto"/>
                    </w:rPr>
                  </w:pPr>
                  <w:r>
                    <w:rPr>
                      <w:color w:val="auto"/>
                    </w:rPr>
                    <w:t>Y</w:t>
                  </w:r>
                </w:p>
              </w:tc>
              <w:tc>
                <w:tcPr>
                  <w:tcW w:w="401" w:type="pct"/>
                  <w:tcBorders>
                    <w:left w:val="single" w:sz="4" w:space="0" w:color="auto"/>
                  </w:tcBorders>
                  <w:vAlign w:val="center"/>
                </w:tcPr>
                <w:p>
                  <w:pPr>
                    <w:pStyle w:val="39"/>
                    <w:rPr>
                      <w:color w:val="auto"/>
                    </w:rPr>
                  </w:pPr>
                  <w:r>
                    <w:rPr>
                      <w:color w:val="auto"/>
                    </w:rPr>
                    <w:t>Z</w:t>
                  </w:r>
                </w:p>
              </w:tc>
              <w:tc>
                <w:tcPr>
                  <w:tcW w:w="775" w:type="pct"/>
                  <w:vMerge/>
                  <w:tcBorders>
                    <w:left w:val="single" w:sz="4" w:space="0" w:color="auto"/>
                  </w:tcBorders>
                  <w:vAlign w:val="center"/>
                </w:tcPr>
                <w:p/>
              </w:tc>
            </w:tr>
            <w:tr>
              <w:trPr>
                <w:trHeight w:val="23"/>
              </w:trPr>
              <w:tc>
                <w:tcPr>
                  <w:tcW w:w="467" w:type="pct"/>
                  <w:vAlign w:val="center"/>
                </w:tcPr>
                <w:p>
                  <w:pPr>
                    <w:pStyle w:val="39"/>
                    <w:rPr>
                      <w:color w:val="auto"/>
                    </w:rPr>
                  </w:pPr>
                  <w:r>
                    <w:rPr>
                      <w:rFonts w:hint="eastAsia"/>
                      <w:color w:val="auto"/>
                    </w:rPr>
                    <w:t>风机</w:t>
                  </w:r>
                </w:p>
              </w:tc>
              <w:tc>
                <w:tcPr>
                  <w:tcW w:w="1422" w:type="pct"/>
                  <w:tcBorders>
                    <w:left w:val="single" w:sz="4" w:space="0" w:color="auto"/>
                  </w:tcBorders>
                  <w:vAlign w:val="center"/>
                </w:tcPr>
                <w:p>
                  <w:pPr>
                    <w:pStyle w:val="39"/>
                    <w:rPr>
                      <w:color w:val="auto"/>
                    </w:rPr>
                  </w:pPr>
                  <w:r>
                    <w:rPr>
                      <w:rFonts w:hint="eastAsia"/>
                      <w:color w:val="auto"/>
                    </w:rPr>
                    <w:t>80</w:t>
                  </w:r>
                </w:p>
              </w:tc>
              <w:tc>
                <w:tcPr>
                  <w:tcW w:w="1085" w:type="pct"/>
                  <w:vMerge w:val="restart"/>
                  <w:tcBorders>
                    <w:left w:val="single" w:sz="4" w:space="0" w:color="auto"/>
                  </w:tcBorders>
                  <w:vAlign w:val="center"/>
                </w:tcPr>
                <w:p>
                  <w:pPr>
                    <w:pStyle w:val="39"/>
                    <w:rPr>
                      <w:color w:val="auto"/>
                    </w:rPr>
                  </w:pPr>
                  <w:r>
                    <w:rPr>
                      <w:rFonts w:hint="eastAsia"/>
                      <w:color w:val="auto"/>
                    </w:rPr>
                    <w:t>选用低噪声设备，采取基础减振、风机软连接等措施</w:t>
                  </w:r>
                </w:p>
              </w:tc>
              <w:tc>
                <w:tcPr>
                  <w:tcW w:w="424"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76</w:t>
                  </w:r>
                </w:p>
              </w:tc>
              <w:tc>
                <w:tcPr>
                  <w:tcW w:w="423"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-50</w:t>
                  </w:r>
                </w:p>
              </w:tc>
              <w:tc>
                <w:tcPr>
                  <w:tcW w:w="401"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1</w:t>
                  </w:r>
                </w:p>
              </w:tc>
              <w:tc>
                <w:tcPr>
                  <w:tcW w:w="775" w:type="pct"/>
                  <w:vMerge w:val="restart"/>
                  <w:tcBorders>
                    <w:left w:val="single" w:sz="4" w:space="0" w:color="auto"/>
                  </w:tcBorders>
                  <w:vAlign w:val="center"/>
                </w:tcPr>
                <w:p>
                  <w:pPr>
                    <w:pStyle w:val="39"/>
                    <w:rPr>
                      <w:rFonts w:eastAsia="宋体"/>
                      <w:color w:val="auto"/>
                      <w:lang w:val="en-US" w:eastAsia="zh-CN"/>
                    </w:rPr>
                  </w:pPr>
                  <w:r>
                    <w:rPr>
                      <w:rFonts w:hint="eastAsia"/>
                      <w:color w:val="auto"/>
                    </w:rPr>
                    <w:t>昼间</w:t>
                  </w:r>
                  <w:r>
                    <w:rPr>
                      <w:rFonts w:hint="eastAsia"/>
                      <w:color w:val="auto"/>
                      <w:lang w:val="en-US" w:eastAsia="zh-CN"/>
                    </w:rPr>
                    <w:t>.夜间</w:t>
                  </w:r>
                </w:p>
              </w:tc>
            </w:tr>
            <w:tr>
              <w:trPr>
                <w:trHeight w:val="23"/>
              </w:trPr>
              <w:tc>
                <w:tcPr>
                  <w:tcW w:w="467" w:type="pct"/>
                  <w:vAlign w:val="center"/>
                </w:tcPr>
                <w:p>
                  <w:pPr>
                    <w:pStyle w:val="39"/>
                    <w:rPr>
                      <w:rFonts w:hint="eastAsia"/>
                      <w:color w:val="auto"/>
                    </w:rPr>
                  </w:pPr>
                  <w:r>
                    <w:rPr>
                      <w:rFonts w:hint="eastAsia"/>
                      <w:color w:val="auto"/>
                    </w:rPr>
                    <w:t>风机</w:t>
                  </w:r>
                </w:p>
              </w:tc>
              <w:tc>
                <w:tcPr>
                  <w:tcW w:w="1422" w:type="pct"/>
                  <w:tcBorders>
                    <w:left w:val="single" w:sz="4" w:space="0" w:color="auto"/>
                  </w:tcBorders>
                  <w:vAlign w:val="center"/>
                </w:tcPr>
                <w:p>
                  <w:pPr>
                    <w:pStyle w:val="39"/>
                    <w:rPr>
                      <w:rFonts w:hint="eastAsia"/>
                      <w:color w:val="auto"/>
                    </w:rPr>
                  </w:pPr>
                  <w:r>
                    <w:rPr>
                      <w:rFonts w:hint="eastAsia"/>
                      <w:color w:val="auto"/>
                    </w:rPr>
                    <w:t>80</w:t>
                  </w:r>
                </w:p>
              </w:tc>
              <w:tc>
                <w:tcPr>
                  <w:tcW w:w="1085" w:type="pct"/>
                  <w:vMerge/>
                  <w:tcBorders>
                    <w:left w:val="single" w:sz="4" w:space="0" w:color="auto"/>
                  </w:tcBorders>
                  <w:vAlign w:val="center"/>
                </w:tcPr>
                <w:p/>
              </w:tc>
              <w:tc>
                <w:tcPr>
                  <w:tcW w:w="42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-63</w:t>
                  </w:r>
                </w:p>
              </w:tc>
              <w:tc>
                <w:tcPr>
                  <w:tcW w:w="423"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-55</w:t>
                  </w:r>
                </w:p>
              </w:tc>
              <w:tc>
                <w:tcPr>
                  <w:tcW w:w="401"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1</w:t>
                  </w:r>
                </w:p>
              </w:tc>
              <w:tc>
                <w:tcPr>
                  <w:tcW w:w="775" w:type="pct"/>
                  <w:vMerge/>
                  <w:tcBorders>
                    <w:left w:val="single" w:sz="4" w:space="0" w:color="auto"/>
                  </w:tcBorders>
                  <w:vAlign w:val="center"/>
                </w:tcPr>
                <w:p/>
              </w:tc>
            </w:tr>
            <w:tr>
              <w:trPr>
                <w:trHeight w:val="23"/>
              </w:trPr>
              <w:tc>
                <w:tcPr>
                  <w:tcW w:w="467" w:type="pct"/>
                  <w:vAlign w:val="center"/>
                </w:tcPr>
                <w:p>
                  <w:pPr>
                    <w:pStyle w:val="39"/>
                    <w:rPr>
                      <w:rFonts w:hint="eastAsia"/>
                      <w:color w:val="auto"/>
                    </w:rPr>
                  </w:pPr>
                  <w:r>
                    <w:rPr>
                      <w:rFonts w:hint="eastAsia"/>
                      <w:color w:val="auto"/>
                    </w:rPr>
                    <w:t>风机</w:t>
                  </w:r>
                </w:p>
              </w:tc>
              <w:tc>
                <w:tcPr>
                  <w:tcW w:w="1422" w:type="pct"/>
                  <w:tcBorders>
                    <w:left w:val="single" w:sz="4" w:space="0" w:color="auto"/>
                  </w:tcBorders>
                  <w:vAlign w:val="center"/>
                </w:tcPr>
                <w:p>
                  <w:pPr>
                    <w:pStyle w:val="39"/>
                    <w:rPr>
                      <w:rFonts w:hint="eastAsia"/>
                      <w:color w:val="auto"/>
                    </w:rPr>
                  </w:pPr>
                  <w:r>
                    <w:rPr>
                      <w:rFonts w:hint="eastAsia"/>
                      <w:color w:val="auto"/>
                    </w:rPr>
                    <w:t>80</w:t>
                  </w:r>
                </w:p>
              </w:tc>
              <w:tc>
                <w:tcPr>
                  <w:tcW w:w="1085" w:type="pct"/>
                  <w:vMerge/>
                  <w:tcBorders>
                    <w:left w:val="single" w:sz="4" w:space="0" w:color="auto"/>
                  </w:tcBorders>
                  <w:vAlign w:val="center"/>
                </w:tcPr>
                <w:p/>
              </w:tc>
              <w:tc>
                <w:tcPr>
                  <w:tcW w:w="424" w:type="pct"/>
                  <w:tcBorders>
                    <w:left w:val="single" w:sz="4" w:space="0" w:color="auto"/>
                  </w:tcBorders>
                  <w:vAlign w:val="center"/>
                </w:tcPr>
                <w:p>
                  <w:pPr>
                    <w:pStyle w:val="39"/>
                    <w:rPr>
                      <w:color w:val="auto"/>
                      <w:lang w:val="en-US" w:eastAsia="zh-CN"/>
                    </w:rPr>
                  </w:pPr>
                  <w:r>
                    <w:rPr>
                      <w:rFonts w:hint="eastAsia"/>
                      <w:color w:val="auto"/>
                      <w:lang w:val="en-US" w:eastAsia="zh-CN"/>
                    </w:rPr>
                    <w:t>-63</w:t>
                  </w:r>
                </w:p>
              </w:tc>
              <w:tc>
                <w:tcPr>
                  <w:tcW w:w="423" w:type="pct"/>
                  <w:tcBorders>
                    <w:left w:val="single" w:sz="4" w:space="0" w:color="auto"/>
                  </w:tcBorders>
                  <w:vAlign w:val="center"/>
                </w:tcPr>
                <w:p>
                  <w:pPr>
                    <w:pStyle w:val="39"/>
                    <w:rPr>
                      <w:color w:val="auto"/>
                      <w:lang w:val="en-US" w:eastAsia="zh-CN"/>
                    </w:rPr>
                  </w:pPr>
                  <w:r>
                    <w:rPr>
                      <w:rFonts w:hint="eastAsia"/>
                      <w:color w:val="auto"/>
                      <w:lang w:val="en-US" w:eastAsia="zh-CN"/>
                    </w:rPr>
                    <w:t>-60</w:t>
                  </w:r>
                </w:p>
              </w:tc>
              <w:tc>
                <w:tcPr>
                  <w:tcW w:w="401" w:type="pc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775" w:type="pct"/>
                  <w:vMerge/>
                  <w:tcBorders>
                    <w:left w:val="single" w:sz="4" w:space="0" w:color="auto"/>
                  </w:tcBorders>
                  <w:vAlign w:val="center"/>
                </w:tcPr>
                <w:p/>
              </w:tc>
            </w:tr>
            <w:tr>
              <w:trPr>
                <w:trHeight w:val="23"/>
              </w:trPr>
              <w:tc>
                <w:tcPr>
                  <w:tcW w:w="467" w:type="pct"/>
                  <w:vAlign w:val="center"/>
                </w:tcPr>
                <w:p>
                  <w:pPr>
                    <w:pStyle w:val="39"/>
                    <w:rPr>
                      <w:rFonts w:hint="eastAsia"/>
                      <w:color w:val="auto"/>
                    </w:rPr>
                  </w:pPr>
                  <w:r>
                    <w:rPr>
                      <w:rFonts w:hint="eastAsia"/>
                      <w:color w:val="auto"/>
                    </w:rPr>
                    <w:t>风机</w:t>
                  </w:r>
                </w:p>
              </w:tc>
              <w:tc>
                <w:tcPr>
                  <w:tcW w:w="1422" w:type="pct"/>
                  <w:tcBorders>
                    <w:left w:val="single" w:sz="4" w:space="0" w:color="auto"/>
                  </w:tcBorders>
                  <w:vAlign w:val="center"/>
                </w:tcPr>
                <w:p>
                  <w:pPr>
                    <w:pStyle w:val="39"/>
                    <w:rPr>
                      <w:rFonts w:hint="eastAsia"/>
                      <w:color w:val="auto"/>
                    </w:rPr>
                  </w:pPr>
                  <w:r>
                    <w:rPr>
                      <w:rFonts w:hint="eastAsia"/>
                      <w:color w:val="auto"/>
                    </w:rPr>
                    <w:t>80</w:t>
                  </w:r>
                </w:p>
              </w:tc>
              <w:tc>
                <w:tcPr>
                  <w:tcW w:w="1085" w:type="pct"/>
                  <w:vMerge/>
                  <w:tcBorders>
                    <w:left w:val="single" w:sz="4" w:space="0" w:color="auto"/>
                  </w:tcBorders>
                  <w:vAlign w:val="center"/>
                </w:tcPr>
                <w:p/>
              </w:tc>
              <w:tc>
                <w:tcPr>
                  <w:tcW w:w="424" w:type="pct"/>
                  <w:tcBorders>
                    <w:left w:val="single" w:sz="4" w:space="0" w:color="auto"/>
                  </w:tcBorders>
                  <w:vAlign w:val="center"/>
                </w:tcPr>
                <w:p>
                  <w:pPr>
                    <w:pStyle w:val="39"/>
                    <w:rPr>
                      <w:color w:val="auto"/>
                      <w:lang w:val="en-US" w:eastAsia="zh-CN"/>
                    </w:rPr>
                  </w:pPr>
                  <w:r>
                    <w:rPr>
                      <w:rFonts w:hint="eastAsia"/>
                      <w:color w:val="auto"/>
                      <w:lang w:val="en-US" w:eastAsia="zh-CN"/>
                    </w:rPr>
                    <w:t>-70</w:t>
                  </w:r>
                </w:p>
              </w:tc>
              <w:tc>
                <w:tcPr>
                  <w:tcW w:w="423" w:type="pct"/>
                  <w:tcBorders>
                    <w:left w:val="single" w:sz="4" w:space="0" w:color="auto"/>
                  </w:tcBorders>
                  <w:vAlign w:val="center"/>
                </w:tcPr>
                <w:p>
                  <w:pPr>
                    <w:pStyle w:val="39"/>
                    <w:rPr>
                      <w:color w:val="auto"/>
                      <w:lang w:val="en-US" w:eastAsia="zh-CN"/>
                    </w:rPr>
                  </w:pPr>
                  <w:r>
                    <w:rPr>
                      <w:rFonts w:hint="eastAsia"/>
                      <w:color w:val="auto"/>
                      <w:lang w:val="en-US" w:eastAsia="zh-CN"/>
                    </w:rPr>
                    <w:t>30</w:t>
                  </w:r>
                </w:p>
              </w:tc>
              <w:tc>
                <w:tcPr>
                  <w:tcW w:w="401" w:type="pct"/>
                  <w:tcBorders>
                    <w:left w:val="single" w:sz="4" w:space="0" w:color="auto"/>
                  </w:tcBorders>
                  <w:vAlign w:val="center"/>
                </w:tcPr>
                <w:p>
                  <w:pPr>
                    <w:pStyle w:val="39"/>
                    <w:rPr>
                      <w:color w:val="auto"/>
                      <w:lang w:val="en-US" w:eastAsia="zh-CN"/>
                    </w:rPr>
                  </w:pPr>
                  <w:r>
                    <w:rPr>
                      <w:rFonts w:hint="eastAsia"/>
                      <w:color w:val="auto"/>
                      <w:lang w:val="en-US" w:eastAsia="zh-CN"/>
                    </w:rPr>
                    <w:t>1</w:t>
                  </w:r>
                </w:p>
              </w:tc>
              <w:tc>
                <w:tcPr>
                  <w:tcW w:w="775" w:type="pct"/>
                  <w:vMerge/>
                  <w:tcBorders>
                    <w:left w:val="single" w:sz="4" w:space="0" w:color="auto"/>
                  </w:tcBorders>
                  <w:vAlign w:val="center"/>
                </w:tcPr>
                <w:p/>
              </w:tc>
            </w:tr>
          </w:tbl>
          <w:p>
            <w:pPr>
              <w:rPr>
                <w:b/>
                <w:color w:val="auto"/>
                <w:kern w:val="0"/>
                <w:szCs w:val="28"/>
              </w:rPr>
            </w:pPr>
          </w:p>
          <w:p>
            <w:pPr>
              <w:ind w:left="0" w:firstLineChars="0" w:firstLine="0"/>
              <w:rPr>
                <w:b/>
                <w:color w:val="auto"/>
                <w:kern w:val="0"/>
                <w:szCs w:val="28"/>
              </w:rPr>
            </w:pPr>
          </w:p>
        </w:tc>
      </w:tr>
    </w:tbl>
    <w:p>
      <w:pPr>
        <w:ind w:left="420"/>
        <w:rPr>
          <w:b/>
          <w:color w:val="auto"/>
          <w:kern w:val="0"/>
          <w:szCs w:val="28"/>
        </w:rPr>
        <w:sectPr>
          <w:pgSz w:w="16840" w:h="11907" w:orient="landscape"/>
          <w:pgMar w:top="1417" w:right="1417" w:bottom="1417" w:left="1417" w:header="851" w:footer="851" w:gutter="0"/>
          <w:cols w:num="1" w:space="720"/>
          <w:docGrid w:linePitch="312" w:charSpace="0"/>
        </w:sectPr>
      </w:pPr>
    </w:p>
    <w:tbl>
      <w:tblPr>
        <w:jc w:val="left"/>
        <w:tblInd w:w="0" w:type="dxa"/>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57"/>
        <w:gridCol w:w="8604"/>
      </w:tblGrid>
      <w:tr>
        <w:trPr>
          <w:trHeight w:val="13887"/>
        </w:trPr>
        <w:tc>
          <w:tcPr>
            <w:tcW w:w="457" w:type="dxa"/>
          </w:tcPr>
          <w:p>
            <w:pPr>
              <w:ind w:left="420"/>
              <w:rPr>
                <w:b/>
                <w:color w:val="auto"/>
                <w:kern w:val="0"/>
                <w:szCs w:val="28"/>
              </w:rPr>
            </w:pPr>
          </w:p>
        </w:tc>
        <w:tc>
          <w:tcPr>
            <w:tcW w:w="8604" w:type="dxa"/>
          </w:tcPr>
          <w:p>
            <w:pPr>
              <w:rPr>
                <w:snapToGrid w:val="0"/>
                <w:color w:val="auto"/>
                <w:szCs w:val="22"/>
              </w:rPr>
            </w:pPr>
            <w:r>
              <w:rPr>
                <w:rFonts w:hint="eastAsia"/>
                <w:snapToGrid w:val="0"/>
                <w:color w:val="auto"/>
                <w:szCs w:val="22"/>
              </w:rPr>
              <w:t>（3）预测模式的确定</w:t>
            </w:r>
          </w:p>
          <w:p>
            <w:pPr>
              <w:rPr>
                <w:snapToGrid w:val="0"/>
                <w:color w:val="auto"/>
                <w:szCs w:val="22"/>
              </w:rPr>
            </w:pPr>
            <w:r>
              <w:rPr>
                <w:rFonts w:hint="eastAsia"/>
                <w:snapToGrid w:val="0"/>
                <w:color w:val="auto"/>
                <w:szCs w:val="22"/>
              </w:rPr>
              <w:t>噪声从声源传至受声点，因受传播距离、空气吸收、阻挡物的反射与屏障等因素影响，会使其产生衰减。</w:t>
            </w:r>
          </w:p>
          <w:p>
            <w:pPr>
              <w:rPr>
                <w:snapToGrid w:val="0"/>
                <w:color w:val="auto"/>
                <w:szCs w:val="22"/>
              </w:rPr>
            </w:pPr>
            <w:r>
              <w:rPr>
                <w:rFonts w:hint="eastAsia"/>
                <w:snapToGrid w:val="0"/>
                <w:color w:val="auto"/>
                <w:szCs w:val="22"/>
              </w:rPr>
              <w:t>室内声源对噪声预测点贡献值预测模式</w:t>
            </w:r>
          </w:p>
          <w:p>
            <w:pPr>
              <w:rPr>
                <w:snapToGrid w:val="0"/>
                <w:color w:val="auto"/>
                <w:szCs w:val="22"/>
              </w:rPr>
            </w:pPr>
            <w:r>
              <w:rPr>
                <w:rFonts w:hint="eastAsia"/>
                <w:snapToGrid w:val="0"/>
                <w:color w:val="auto"/>
                <w:szCs w:val="22"/>
              </w:rPr>
              <w:t>1）首先计算出某个室内声源靠近围护结构处的倍频带声压级：</w:t>
            </w:r>
          </w:p>
          <w:p>
            <w:pPr>
              <w:jc w:val="center"/>
              <w:rPr>
                <w:snapToGrid w:val="0"/>
                <w:color w:val="auto"/>
                <w:szCs w:val="22"/>
              </w:rPr>
            </w:pPr>
            <w:r>
              <w:rPr>
                <w:rFonts w:hint="eastAsia"/>
                <w:snapToGrid w:val="0"/>
                <w:color w:val="auto"/>
                <w:szCs w:val="22"/>
              </w:rPr>
              <w:drawing>
                <wp:inline distT="0" distB="0" distL="114300" distR="114300">
                  <wp:extent cx="1706245" cy="391159"/>
                  <wp:effectExtent l="0" t="0" r="0" b="1"/>
                  <wp:docPr id="1051" name="图片 12" descr="说明: 形状&#10;&#10;中度可信度描述已自动生成"/>
                  <wp:cNvGraphicFramePr>
                    <a:graphicFrameLocks noChangeAspect="1"/>
                  </wp:cNvGraphicFramePr>
                  <a:graphic>
                    <a:graphicData uri="http://schemas.openxmlformats.org/drawingml/2006/picture">
                      <pic:pic>
                        <pic:nvPicPr>
                          <pic:cNvPr id="477" name="图片 12 477"/>
                          <pic:cNvPicPr/>
                        </pic:nvPicPr>
                        <pic:blipFill>
                          <a:blip r:embed="rId20"/>
                          <a:stretch>
                            <a:fillRect/>
                          </a:stretch>
                        </pic:blipFill>
                        <pic:spPr>
                          <a:xfrm rot="0">
                            <a:off x="0" y="0"/>
                            <a:ext cx="1706245" cy="391159"/>
                          </a:xfrm>
                          <a:prstGeom prst="rect"/>
                          <a:noFill/>
                          <a:ln cmpd="sng" cap="flat">
                            <a:noFill/>
                            <a:prstDash val="solid"/>
                            <a:round/>
                          </a:ln>
                        </pic:spPr>
                      </pic:pic>
                    </a:graphicData>
                  </a:graphic>
                </wp:inline>
              </w:drawing>
            </w:r>
          </w:p>
          <w:p>
            <w:pPr>
              <w:rPr>
                <w:snapToGrid w:val="0"/>
                <w:color w:val="auto"/>
                <w:szCs w:val="22"/>
              </w:rPr>
            </w:pPr>
            <w:r>
              <w:rPr>
                <w:rFonts w:hint="eastAsia"/>
                <w:snapToGrid w:val="0"/>
                <w:color w:val="auto"/>
                <w:szCs w:val="22"/>
              </w:rPr>
              <w:t>式中：</w:t>
            </w:r>
            <w:r>
              <w:rPr>
                <w:rFonts w:hint="eastAsia"/>
                <w:snapToGrid w:val="0"/>
                <w:color w:val="auto"/>
                <w:szCs w:val="22"/>
              </w:rPr>
              <w:drawing>
                <wp:inline distT="0" distB="0" distL="114300" distR="114300">
                  <wp:extent cx="220345" cy="239395"/>
                  <wp:effectExtent l="0" t="0" r="1" b="1"/>
                  <wp:docPr id="1052" name="图片 65"/>
                  <wp:cNvGraphicFramePr>
                    <a:graphicFrameLocks noChangeAspect="1"/>
                  </wp:cNvGraphicFramePr>
                  <a:graphic>
                    <a:graphicData uri="http://schemas.openxmlformats.org/drawingml/2006/picture">
                      <pic:pic>
                        <pic:nvPicPr>
                          <pic:cNvPr id="479" name="图片 65 479"/>
                          <pic:cNvPicPr/>
                        </pic:nvPicPr>
                        <pic:blipFill>
                          <a:blip r:embed="rId21"/>
                          <a:stretch>
                            <a:fillRect/>
                          </a:stretch>
                        </pic:blipFill>
                        <pic:spPr>
                          <a:xfrm rot="0">
                            <a:off x="0" y="0"/>
                            <a:ext cx="220345" cy="239395"/>
                          </a:xfrm>
                          <a:prstGeom prst="rect"/>
                          <a:noFill/>
                          <a:ln cmpd="sng" cap="flat">
                            <a:noFill/>
                            <a:prstDash val="solid"/>
                            <a:round/>
                          </a:ln>
                        </pic:spPr>
                      </pic:pic>
                    </a:graphicData>
                  </a:graphic>
                </wp:inline>
              </w:drawing>
            </w:r>
            <w:r>
              <w:rPr>
                <w:rFonts w:hint="eastAsia"/>
                <w:snapToGrid w:val="0"/>
                <w:color w:val="auto"/>
                <w:szCs w:val="22"/>
              </w:rPr>
              <w:t>——室内声源在靠近围护结构处产生的倍频带声压级，dB；</w:t>
            </w:r>
          </w:p>
          <w:p>
            <w:pPr>
              <w:rPr>
                <w:snapToGrid w:val="0"/>
                <w:color w:val="auto"/>
                <w:szCs w:val="22"/>
              </w:rPr>
            </w:pPr>
            <w:r>
              <w:rPr>
                <w:rFonts w:hint="eastAsia"/>
                <w:snapToGrid w:val="0"/>
                <w:color w:val="auto"/>
                <w:szCs w:val="22"/>
              </w:rPr>
              <w:drawing>
                <wp:inline distT="0" distB="0" distL="114300" distR="114300">
                  <wp:extent cx="200660" cy="220345"/>
                  <wp:effectExtent l="0" t="0" r="0" b="1"/>
                  <wp:docPr id="1053" name="图片 66"/>
                  <wp:cNvGraphicFramePr>
                    <a:graphicFrameLocks noChangeAspect="1"/>
                  </wp:cNvGraphicFramePr>
                  <a:graphic>
                    <a:graphicData uri="http://schemas.openxmlformats.org/drawingml/2006/picture">
                      <pic:pic>
                        <pic:nvPicPr>
                          <pic:cNvPr id="481" name="图片 66 481"/>
                          <pic:cNvPicPr/>
                        </pic:nvPicPr>
                        <pic:blipFill>
                          <a:blip r:embed="rId22"/>
                          <a:stretch>
                            <a:fillRect/>
                          </a:stretch>
                        </pic:blipFill>
                        <pic:spPr>
                          <a:xfrm rot="0">
                            <a:off x="0" y="0"/>
                            <a:ext cx="200660" cy="220345"/>
                          </a:xfrm>
                          <a:prstGeom prst="rect"/>
                          <a:noFill/>
                          <a:ln cmpd="sng" cap="flat">
                            <a:noFill/>
                            <a:prstDash val="solid"/>
                            <a:round/>
                          </a:ln>
                        </pic:spPr>
                      </pic:pic>
                    </a:graphicData>
                  </a:graphic>
                </wp:inline>
              </w:drawing>
            </w:r>
            <w:r>
              <w:rPr>
                <w:rFonts w:hint="eastAsia"/>
                <w:snapToGrid w:val="0"/>
                <w:color w:val="auto"/>
                <w:szCs w:val="22"/>
              </w:rPr>
              <w:t>——声源的倍频带声功率级，dB；</w:t>
            </w:r>
          </w:p>
          <w:p>
            <w:pPr>
              <w:rPr>
                <w:snapToGrid w:val="0"/>
                <w:color w:val="auto"/>
                <w:szCs w:val="22"/>
              </w:rPr>
            </w:pPr>
            <w:r>
              <w:rPr>
                <w:rFonts w:hint="eastAsia"/>
                <w:snapToGrid w:val="0"/>
                <w:color w:val="auto"/>
                <w:szCs w:val="22"/>
              </w:rPr>
              <w:drawing>
                <wp:inline distT="0" distB="0" distL="114300" distR="114300">
                  <wp:extent cx="117475" cy="122555"/>
                  <wp:effectExtent l="0" t="0" r="1" b="0"/>
                  <wp:docPr id="1054" name="图片 67"/>
                  <wp:cNvGraphicFramePr>
                    <a:graphicFrameLocks noChangeAspect="1"/>
                  </wp:cNvGraphicFramePr>
                  <a:graphic>
                    <a:graphicData uri="http://schemas.openxmlformats.org/drawingml/2006/picture">
                      <pic:pic>
                        <pic:nvPicPr>
                          <pic:cNvPr id="483" name="图片 67 483"/>
                          <pic:cNvPicPr/>
                        </pic:nvPicPr>
                        <pic:blipFill>
                          <a:blip r:embed="rId23"/>
                          <a:stretch>
                            <a:fillRect/>
                          </a:stretch>
                        </pic:blipFill>
                        <pic:spPr>
                          <a:xfrm rot="0">
                            <a:off x="0" y="0"/>
                            <a:ext cx="117475" cy="122555"/>
                          </a:xfrm>
                          <a:prstGeom prst="rect"/>
                          <a:noFill/>
                          <a:ln cmpd="sng" cap="flat">
                            <a:noFill/>
                            <a:prstDash val="solid"/>
                            <a:round/>
                          </a:ln>
                        </pic:spPr>
                      </pic:pic>
                    </a:graphicData>
                  </a:graphic>
                </wp:inline>
              </w:drawing>
            </w:r>
            <w:r>
              <w:rPr>
                <w:rFonts w:hint="eastAsia"/>
                <w:snapToGrid w:val="0"/>
                <w:color w:val="auto"/>
                <w:szCs w:val="22"/>
              </w:rPr>
              <w:t>——声源到靠近围护结构某点处的距离，m；</w:t>
            </w:r>
          </w:p>
          <w:p>
            <w:pPr>
              <w:rPr>
                <w:snapToGrid w:val="0"/>
                <w:color w:val="auto"/>
                <w:szCs w:val="22"/>
              </w:rPr>
            </w:pPr>
            <w:r>
              <w:rPr>
                <w:rFonts w:hint="eastAsia"/>
                <w:snapToGrid w:val="0"/>
                <w:color w:val="auto"/>
                <w:szCs w:val="22"/>
              </w:rPr>
              <w:drawing>
                <wp:inline distT="0" distB="0" distL="114300" distR="114300">
                  <wp:extent cx="151764" cy="200660"/>
                  <wp:effectExtent l="0" t="0" r="0" b="0"/>
                  <wp:docPr id="1055" name="图片 68"/>
                  <wp:cNvGraphicFramePr>
                    <a:graphicFrameLocks noChangeAspect="1"/>
                  </wp:cNvGraphicFramePr>
                  <a:graphic>
                    <a:graphicData uri="http://schemas.openxmlformats.org/drawingml/2006/picture">
                      <pic:pic>
                        <pic:nvPicPr>
                          <pic:cNvPr id="485" name="图片 68 485"/>
                          <pic:cNvPicPr/>
                        </pic:nvPicPr>
                        <pic:blipFill>
                          <a:blip r:embed="rId24"/>
                          <a:stretch>
                            <a:fillRect/>
                          </a:stretch>
                        </pic:blipFill>
                        <pic:spPr>
                          <a:xfrm rot="0">
                            <a:off x="0" y="0"/>
                            <a:ext cx="151764" cy="200660"/>
                          </a:xfrm>
                          <a:prstGeom prst="rect"/>
                          <a:noFill/>
                          <a:ln cmpd="sng" cap="flat">
                            <a:noFill/>
                            <a:prstDash val="solid"/>
                            <a:round/>
                          </a:ln>
                        </pic:spPr>
                      </pic:pic>
                    </a:graphicData>
                  </a:graphic>
                </wp:inline>
              </w:drawing>
            </w:r>
            <w:r>
              <w:rPr>
                <w:rFonts w:hint="eastAsia"/>
                <w:snapToGrid w:val="0"/>
                <w:color w:val="auto"/>
                <w:szCs w:val="22"/>
              </w:rPr>
              <w:t>——指向性因子；</w:t>
            </w:r>
          </w:p>
          <w:p>
            <w:pPr>
              <w:rPr>
                <w:snapToGrid w:val="0"/>
                <w:color w:val="auto"/>
                <w:szCs w:val="22"/>
              </w:rPr>
            </w:pPr>
            <w:r>
              <w:rPr>
                <w:rFonts w:hint="eastAsia"/>
                <w:snapToGrid w:val="0"/>
                <w:color w:val="auto"/>
                <w:szCs w:val="22"/>
              </w:rPr>
              <w:drawing>
                <wp:inline distT="0" distB="0" distL="114300" distR="114300">
                  <wp:extent cx="151764" cy="171450"/>
                  <wp:effectExtent l="0" t="0" r="0" b="0"/>
                  <wp:docPr id="1056" name="图片 69"/>
                  <wp:cNvGraphicFramePr>
                    <a:graphicFrameLocks noChangeAspect="1"/>
                  </wp:cNvGraphicFramePr>
                  <a:graphic>
                    <a:graphicData uri="http://schemas.openxmlformats.org/drawingml/2006/picture">
                      <pic:pic>
                        <pic:nvPicPr>
                          <pic:cNvPr id="487" name="图片 69 487"/>
                          <pic:cNvPicPr/>
                        </pic:nvPicPr>
                        <pic:blipFill>
                          <a:blip r:embed="rId25"/>
                          <a:stretch>
                            <a:fillRect/>
                          </a:stretch>
                        </pic:blipFill>
                        <pic:spPr>
                          <a:xfrm rot="0">
                            <a:off x="0" y="0"/>
                            <a:ext cx="151764" cy="171450"/>
                          </a:xfrm>
                          <a:prstGeom prst="rect"/>
                          <a:noFill/>
                          <a:ln cmpd="sng" cap="flat">
                            <a:noFill/>
                            <a:prstDash val="solid"/>
                            <a:round/>
                          </a:ln>
                        </pic:spPr>
                      </pic:pic>
                    </a:graphicData>
                  </a:graphic>
                </wp:inline>
              </w:drawing>
            </w:r>
            <w:r>
              <w:rPr>
                <w:rFonts w:hint="eastAsia"/>
                <w:snapToGrid w:val="0"/>
                <w:color w:val="auto"/>
                <w:szCs w:val="22"/>
              </w:rPr>
              <w:t>——房间常数，</w:t>
            </w:r>
            <w:r>
              <w:rPr>
                <w:rFonts w:hint="eastAsia"/>
                <w:snapToGrid w:val="0"/>
                <w:color w:val="auto"/>
                <w:szCs w:val="22"/>
              </w:rPr>
              <w:drawing>
                <wp:inline distT="0" distB="0" distL="114300" distR="114300">
                  <wp:extent cx="963294" cy="200660"/>
                  <wp:effectExtent l="0" t="0" r="1" b="0"/>
                  <wp:docPr id="1057" name="图片 70"/>
                  <wp:cNvGraphicFramePr>
                    <a:graphicFrameLocks noChangeAspect="1"/>
                  </wp:cNvGraphicFramePr>
                  <a:graphic>
                    <a:graphicData uri="http://schemas.openxmlformats.org/drawingml/2006/picture">
                      <pic:pic>
                        <pic:nvPicPr>
                          <pic:cNvPr id="489" name="图片 70 489"/>
                          <pic:cNvPicPr/>
                        </pic:nvPicPr>
                        <pic:blipFill>
                          <a:blip r:embed="rId26"/>
                          <a:stretch>
                            <a:fillRect/>
                          </a:stretch>
                        </pic:blipFill>
                        <pic:spPr>
                          <a:xfrm rot="0">
                            <a:off x="0" y="0"/>
                            <a:ext cx="963294" cy="200660"/>
                          </a:xfrm>
                          <a:prstGeom prst="rect"/>
                          <a:noFill/>
                          <a:ln cmpd="sng" cap="flat">
                            <a:noFill/>
                            <a:prstDash val="solid"/>
                            <a:round/>
                          </a:ln>
                        </pic:spPr>
                      </pic:pic>
                    </a:graphicData>
                  </a:graphic>
                </wp:inline>
              </w:drawing>
            </w:r>
            <w:r>
              <w:rPr>
                <w:rFonts w:hint="eastAsia"/>
                <w:snapToGrid w:val="0"/>
                <w:color w:val="auto"/>
                <w:szCs w:val="22"/>
              </w:rPr>
              <w:t>，</w:t>
            </w:r>
            <w:r>
              <w:rPr>
                <w:rFonts w:hint="eastAsia"/>
                <w:snapToGrid w:val="0"/>
                <w:color w:val="auto"/>
                <w:szCs w:val="22"/>
              </w:rPr>
              <w:drawing>
                <wp:inline distT="0" distB="0" distL="114300" distR="114300">
                  <wp:extent cx="141605" cy="180975"/>
                  <wp:effectExtent l="0" t="0" r="0" b="0"/>
                  <wp:docPr id="1058" name="图片 71"/>
                  <wp:cNvGraphicFramePr>
                    <a:graphicFrameLocks noChangeAspect="1"/>
                  </wp:cNvGraphicFramePr>
                  <a:graphic>
                    <a:graphicData uri="http://schemas.openxmlformats.org/drawingml/2006/picture">
                      <pic:pic>
                        <pic:nvPicPr>
                          <pic:cNvPr id="491" name="图片 71 491"/>
                          <pic:cNvPicPr/>
                        </pic:nvPicPr>
                        <pic:blipFill>
                          <a:blip r:embed="rId27"/>
                          <a:stretch>
                            <a:fillRect/>
                          </a:stretch>
                        </pic:blipFill>
                        <pic:spPr>
                          <a:xfrm rot="0">
                            <a:off x="0" y="0"/>
                            <a:ext cx="141605" cy="180975"/>
                          </a:xfrm>
                          <a:prstGeom prst="rect"/>
                          <a:noFill/>
                          <a:ln cmpd="sng" cap="flat">
                            <a:noFill/>
                            <a:prstDash val="solid"/>
                            <a:round/>
                          </a:ln>
                        </pic:spPr>
                      </pic:pic>
                    </a:graphicData>
                  </a:graphic>
                </wp:inline>
              </w:drawing>
            </w:r>
            <w:r>
              <w:rPr>
                <w:rFonts w:hint="eastAsia"/>
                <w:snapToGrid w:val="0"/>
                <w:color w:val="auto"/>
                <w:szCs w:val="22"/>
              </w:rPr>
              <w:t>为房间内表面面积，㎡，</w:t>
            </w:r>
            <w:r>
              <w:rPr>
                <w:rFonts w:hint="eastAsia"/>
                <w:snapToGrid w:val="0"/>
                <w:color w:val="auto"/>
                <w:szCs w:val="22"/>
              </w:rPr>
              <w:drawing>
                <wp:inline distT="0" distB="0" distL="114300" distR="114300">
                  <wp:extent cx="151764" cy="141605"/>
                  <wp:effectExtent l="0" t="0" r="0" b="0"/>
                  <wp:docPr id="1059" name="图片 72"/>
                  <wp:cNvGraphicFramePr>
                    <a:graphicFrameLocks noChangeAspect="1"/>
                  </wp:cNvGraphicFramePr>
                  <a:graphic>
                    <a:graphicData uri="http://schemas.openxmlformats.org/drawingml/2006/picture">
                      <pic:pic>
                        <pic:nvPicPr>
                          <pic:cNvPr id="493" name="图片 72 493"/>
                          <pic:cNvPicPr/>
                        </pic:nvPicPr>
                        <pic:blipFill>
                          <a:blip r:embed="rId28"/>
                          <a:stretch>
                            <a:fillRect/>
                          </a:stretch>
                        </pic:blipFill>
                        <pic:spPr>
                          <a:xfrm rot="0">
                            <a:off x="0" y="0"/>
                            <a:ext cx="151764" cy="141605"/>
                          </a:xfrm>
                          <a:prstGeom prst="rect"/>
                          <a:noFill/>
                          <a:ln cmpd="sng" cap="flat">
                            <a:noFill/>
                            <a:prstDash val="solid"/>
                            <a:round/>
                          </a:ln>
                        </pic:spPr>
                      </pic:pic>
                    </a:graphicData>
                  </a:graphic>
                </wp:inline>
              </w:drawing>
            </w:r>
            <w:r>
              <w:rPr>
                <w:rFonts w:hint="eastAsia"/>
                <w:snapToGrid w:val="0"/>
                <w:color w:val="auto"/>
                <w:szCs w:val="22"/>
              </w:rPr>
              <w:t>为平均吸声系数。</w:t>
            </w:r>
          </w:p>
          <w:p>
            <w:pPr>
              <w:rPr>
                <w:snapToGrid w:val="0"/>
                <w:color w:val="auto"/>
                <w:szCs w:val="22"/>
              </w:rPr>
            </w:pPr>
            <w:r>
              <w:rPr>
                <w:rFonts w:hint="eastAsia"/>
                <w:snapToGrid w:val="0"/>
                <w:color w:val="auto"/>
                <w:szCs w:val="22"/>
              </w:rPr>
              <w:t>2）计算出所有室内声源在靠近围护结构处产生的</w:t>
            </w:r>
            <w:r>
              <w:rPr>
                <w:rFonts w:hint="eastAsia"/>
                <w:snapToGrid w:val="0"/>
                <w:color w:val="auto"/>
                <w:szCs w:val="22"/>
              </w:rPr>
              <w:drawing>
                <wp:inline distT="0" distB="0" distL="114300" distR="114300">
                  <wp:extent cx="83185" cy="171450"/>
                  <wp:effectExtent l="0" t="0" r="1" b="0"/>
                  <wp:docPr id="1060" name="图片 73"/>
                  <wp:cNvGraphicFramePr>
                    <a:graphicFrameLocks noChangeAspect="1"/>
                  </wp:cNvGraphicFramePr>
                  <a:graphic>
                    <a:graphicData uri="http://schemas.openxmlformats.org/drawingml/2006/picture">
                      <pic:pic>
                        <pic:nvPicPr>
                          <pic:cNvPr id="495" name="图片 73 495"/>
                          <pic:cNvPicPr/>
                        </pic:nvPicPr>
                        <pic:blipFill>
                          <a:blip r:embed="rId29"/>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Cs w:val="22"/>
              </w:rPr>
              <w:t>倍频带叠加声压级：</w:t>
            </w:r>
          </w:p>
          <w:p>
            <w:pPr>
              <w:jc w:val="center"/>
              <w:rPr>
                <w:snapToGrid w:val="0"/>
                <w:color w:val="auto"/>
                <w:szCs w:val="22"/>
              </w:rPr>
            </w:pPr>
            <w:r>
              <w:rPr>
                <w:rFonts w:hint="eastAsia"/>
                <w:snapToGrid w:val="0"/>
                <w:color w:val="auto"/>
                <w:position w:val="-30"/>
                <w:szCs w:val="2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filled="f" style="width:132.0pt;height:36.0pt;" o:ole="">
                  <v:imagedata r:id="rId30" o:title="image27"/>
                  <o:lock aspectratio="t"/>
                  <w10:anchorLock/>
                </v:shape>
                <o:OLEObject Type="Embed" ProgID="Equation.KSEE3" ShapeID="_x0000_i1025" DrawAspect="Content" ObjectID="_1393063351" r:id="rId31"/>
              </w:object>
            </w:r>
          </w:p>
          <w:p>
            <w:pPr>
              <w:rPr>
                <w:snapToGrid w:val="0"/>
                <w:color w:val="auto"/>
                <w:szCs w:val="22"/>
              </w:rPr>
            </w:pPr>
            <w:r>
              <w:rPr>
                <w:rFonts w:hint="eastAsia"/>
                <w:snapToGrid w:val="0"/>
                <w:color w:val="auto"/>
                <w:szCs w:val="22"/>
              </w:rPr>
              <w:t>式中：</w:t>
            </w:r>
            <w:r>
              <w:rPr>
                <w:rFonts w:hint="eastAsia"/>
                <w:snapToGrid w:val="0"/>
                <w:color w:val="auto"/>
                <w:szCs w:val="22"/>
              </w:rPr>
              <w:drawing>
                <wp:inline distT="0" distB="0" distL="114300" distR="114300">
                  <wp:extent cx="464820" cy="239395"/>
                  <wp:effectExtent l="0" t="0" r="0" b="0"/>
                  <wp:docPr id="1061" name="图片 74"/>
                  <wp:cNvGraphicFramePr>
                    <a:graphicFrameLocks noChangeAspect="1"/>
                  </wp:cNvGraphicFramePr>
                  <a:graphic>
                    <a:graphicData uri="http://schemas.openxmlformats.org/drawingml/2006/picture">
                      <pic:pic>
                        <pic:nvPicPr>
                          <pic:cNvPr id="499" name="图片 74 499"/>
                          <pic:cNvPicPr/>
                        </pic:nvPicPr>
                        <pic:blipFill>
                          <a:blip r:embed="rId32"/>
                          <a:stretch>
                            <a:fillRect/>
                          </a:stretch>
                        </pic:blipFill>
                        <pic:spPr>
                          <a:xfrm rot="0">
                            <a:off x="0" y="0"/>
                            <a:ext cx="464820" cy="239395"/>
                          </a:xfrm>
                          <a:prstGeom prst="rect"/>
                          <a:noFill/>
                          <a:ln cmpd="sng" cap="flat">
                            <a:noFill/>
                            <a:prstDash val="solid"/>
                            <a:round/>
                          </a:ln>
                        </pic:spPr>
                      </pic:pic>
                    </a:graphicData>
                  </a:graphic>
                </wp:inline>
              </w:drawing>
            </w:r>
            <w:r>
              <w:rPr>
                <w:rFonts w:hint="eastAsia"/>
                <w:snapToGrid w:val="0"/>
                <w:color w:val="auto"/>
                <w:szCs w:val="22"/>
              </w:rPr>
              <w:t>——靠近围护结构处室内N个声源</w:t>
            </w:r>
            <w:r>
              <w:rPr>
                <w:rFonts w:hint="eastAsia"/>
                <w:snapToGrid w:val="0"/>
                <w:color w:val="auto"/>
                <w:szCs w:val="22"/>
              </w:rPr>
              <w:drawing>
                <wp:inline distT="0" distB="0" distL="114300" distR="114300">
                  <wp:extent cx="83185" cy="171450"/>
                  <wp:effectExtent l="0" t="0" r="1" b="0"/>
                  <wp:docPr id="1062" name="图片 75"/>
                  <wp:cNvGraphicFramePr>
                    <a:graphicFrameLocks noChangeAspect="1"/>
                  </wp:cNvGraphicFramePr>
                  <a:graphic>
                    <a:graphicData uri="http://schemas.openxmlformats.org/drawingml/2006/picture">
                      <pic:pic>
                        <pic:nvPicPr>
                          <pic:cNvPr id="500" name="图片 75 500"/>
                          <pic:cNvPicPr/>
                        </pic:nvPicPr>
                        <pic:blipFill>
                          <a:blip r:embed="rId33"/>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Cs w:val="22"/>
              </w:rPr>
              <w:t>倍频带的叠加声压级，dB；</w:t>
            </w:r>
          </w:p>
          <w:p>
            <w:pPr>
              <w:rPr>
                <w:snapToGrid w:val="0"/>
                <w:color w:val="auto"/>
                <w:szCs w:val="22"/>
              </w:rPr>
            </w:pPr>
            <w:r>
              <w:rPr>
                <w:rFonts w:hint="eastAsia"/>
                <w:snapToGrid w:val="0"/>
                <w:color w:val="auto"/>
                <w:szCs w:val="22"/>
              </w:rPr>
              <w:drawing>
                <wp:inline distT="0" distB="0" distL="114300" distR="114300">
                  <wp:extent cx="283845" cy="239395"/>
                  <wp:effectExtent l="0" t="0" r="0" b="0"/>
                  <wp:docPr id="1063" name="图片 76"/>
                  <wp:cNvGraphicFramePr>
                    <a:graphicFrameLocks noChangeAspect="1"/>
                  </wp:cNvGraphicFramePr>
                  <a:graphic>
                    <a:graphicData uri="http://schemas.openxmlformats.org/drawingml/2006/picture">
                      <pic:pic>
                        <pic:nvPicPr>
                          <pic:cNvPr id="502" name="图片 76 502"/>
                          <pic:cNvPicPr/>
                        </pic:nvPicPr>
                        <pic:blipFill>
                          <a:blip r:embed="rId34"/>
                          <a:stretch>
                            <a:fillRect/>
                          </a:stretch>
                        </pic:blipFill>
                        <pic:spPr>
                          <a:xfrm rot="0">
                            <a:off x="0" y="0"/>
                            <a:ext cx="283845" cy="239395"/>
                          </a:xfrm>
                          <a:prstGeom prst="rect"/>
                          <a:noFill/>
                          <a:ln cmpd="sng" cap="flat">
                            <a:noFill/>
                            <a:prstDash val="solid"/>
                            <a:round/>
                          </a:ln>
                        </pic:spPr>
                      </pic:pic>
                    </a:graphicData>
                  </a:graphic>
                </wp:inline>
              </w:drawing>
            </w:r>
            <w:r>
              <w:rPr>
                <w:rFonts w:hint="eastAsia"/>
                <w:snapToGrid w:val="0"/>
                <w:color w:val="auto"/>
                <w:szCs w:val="22"/>
              </w:rPr>
              <w:t>——室内</w:t>
            </w:r>
            <w:r>
              <w:rPr>
                <w:rFonts w:hint="eastAsia"/>
                <w:snapToGrid w:val="0"/>
                <w:color w:val="auto"/>
                <w:szCs w:val="22"/>
              </w:rPr>
              <w:drawing>
                <wp:inline distT="0" distB="0" distL="114300" distR="114300">
                  <wp:extent cx="122555" cy="190500"/>
                  <wp:effectExtent l="0" t="0" r="0" b="0"/>
                  <wp:docPr id="1064" name="图片 77"/>
                  <wp:cNvGraphicFramePr>
                    <a:graphicFrameLocks noChangeAspect="1"/>
                  </wp:cNvGraphicFramePr>
                  <a:graphic>
                    <a:graphicData uri="http://schemas.openxmlformats.org/drawingml/2006/picture">
                      <pic:pic>
                        <pic:nvPicPr>
                          <pic:cNvPr id="504" name="图片 77 504"/>
                          <pic:cNvPicPr/>
                        </pic:nvPicPr>
                        <pic:blipFill>
                          <a:blip r:embed="rId35"/>
                          <a:stretch>
                            <a:fillRect/>
                          </a:stretch>
                        </pic:blipFill>
                        <pic:spPr>
                          <a:xfrm rot="0">
                            <a:off x="0" y="0"/>
                            <a:ext cx="122555" cy="190500"/>
                          </a:xfrm>
                          <a:prstGeom prst="rect"/>
                          <a:noFill/>
                          <a:ln cmpd="sng" cap="flat">
                            <a:noFill/>
                            <a:prstDash val="solid"/>
                            <a:round/>
                          </a:ln>
                        </pic:spPr>
                      </pic:pic>
                    </a:graphicData>
                  </a:graphic>
                </wp:inline>
              </w:drawing>
            </w:r>
            <w:r>
              <w:rPr>
                <w:rFonts w:hint="eastAsia"/>
                <w:snapToGrid w:val="0"/>
                <w:color w:val="auto"/>
                <w:szCs w:val="22"/>
              </w:rPr>
              <w:t>声源</w:t>
            </w:r>
            <w:r>
              <w:rPr>
                <w:rFonts w:hint="eastAsia"/>
                <w:snapToGrid w:val="0"/>
                <w:color w:val="auto"/>
                <w:szCs w:val="22"/>
              </w:rPr>
              <w:drawing>
                <wp:inline distT="0" distB="0" distL="114300" distR="114300">
                  <wp:extent cx="83185" cy="171450"/>
                  <wp:effectExtent l="0" t="0" r="1" b="0"/>
                  <wp:docPr id="1065" name="图片 78"/>
                  <wp:cNvGraphicFramePr>
                    <a:graphicFrameLocks noChangeAspect="1"/>
                  </wp:cNvGraphicFramePr>
                  <a:graphic>
                    <a:graphicData uri="http://schemas.openxmlformats.org/drawingml/2006/picture">
                      <pic:pic>
                        <pic:nvPicPr>
                          <pic:cNvPr id="505" name="图片 78 505"/>
                          <pic:cNvPicPr/>
                        </pic:nvPicPr>
                        <pic:blipFill>
                          <a:blip r:embed="rId36"/>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Cs w:val="22"/>
              </w:rPr>
              <w:t>倍频带的声压级，dB；</w:t>
            </w:r>
          </w:p>
          <w:p>
            <w:pPr>
              <w:rPr>
                <w:snapToGrid w:val="0"/>
                <w:color w:val="auto"/>
                <w:szCs w:val="22"/>
              </w:rPr>
            </w:pPr>
            <w:r>
              <w:rPr>
                <w:rFonts w:hint="eastAsia"/>
                <w:snapToGrid w:val="0"/>
                <w:color w:val="auto"/>
                <w:szCs w:val="22"/>
              </w:rPr>
              <w:drawing>
                <wp:inline distT="0" distB="0" distL="114300" distR="114300">
                  <wp:extent cx="180975" cy="180975"/>
                  <wp:effectExtent l="0" t="0" r="0" b="0"/>
                  <wp:docPr id="1066" name="图片 79"/>
                  <wp:cNvGraphicFramePr>
                    <a:graphicFrameLocks noChangeAspect="1"/>
                  </wp:cNvGraphicFramePr>
                  <a:graphic>
                    <a:graphicData uri="http://schemas.openxmlformats.org/drawingml/2006/picture">
                      <pic:pic>
                        <pic:nvPicPr>
                          <pic:cNvPr id="507" name="图片 79 507"/>
                          <pic:cNvPicPr/>
                        </pic:nvPicPr>
                        <pic:blipFill>
                          <a:blip r:embed="rId37"/>
                          <a:stretch>
                            <a:fillRect/>
                          </a:stretch>
                        </pic:blipFill>
                        <pic:spPr>
                          <a:xfrm rot="0">
                            <a:off x="0" y="0"/>
                            <a:ext cx="180975" cy="180975"/>
                          </a:xfrm>
                          <a:prstGeom prst="rect"/>
                          <a:noFill/>
                          <a:ln cmpd="sng" cap="flat">
                            <a:noFill/>
                            <a:prstDash val="solid"/>
                            <a:round/>
                          </a:ln>
                        </pic:spPr>
                      </pic:pic>
                    </a:graphicData>
                  </a:graphic>
                </wp:inline>
              </w:drawing>
            </w:r>
            <w:r>
              <w:rPr>
                <w:rFonts w:hint="eastAsia"/>
                <w:snapToGrid w:val="0"/>
                <w:color w:val="auto"/>
                <w:szCs w:val="22"/>
              </w:rPr>
              <w:t>——室内声源总数。</w:t>
            </w:r>
          </w:p>
          <w:p>
            <w:pPr>
              <w:rPr>
                <w:snapToGrid w:val="0"/>
                <w:color w:val="auto"/>
                <w:szCs w:val="22"/>
              </w:rPr>
            </w:pPr>
            <w:r>
              <w:rPr>
                <w:rFonts w:hint="eastAsia"/>
                <w:snapToGrid w:val="0"/>
                <w:color w:val="auto"/>
                <w:szCs w:val="22"/>
              </w:rPr>
              <w:t>3）计算出室外靠近围护结构处的声压级：</w:t>
            </w:r>
          </w:p>
          <w:p>
            <w:pPr>
              <w:jc w:val="center"/>
              <w:rPr>
                <w:snapToGrid w:val="0"/>
                <w:color w:val="auto"/>
                <w:szCs w:val="22"/>
              </w:rPr>
            </w:pPr>
            <w:r>
              <w:rPr>
                <w:rFonts w:hint="eastAsia"/>
                <w:snapToGrid w:val="0"/>
                <w:color w:val="auto"/>
                <w:szCs w:val="22"/>
              </w:rPr>
              <w:drawing>
                <wp:inline distT="0" distB="0" distL="114300" distR="114300">
                  <wp:extent cx="1780539" cy="239395"/>
                  <wp:effectExtent l="0" t="0" r="0" b="0"/>
                  <wp:docPr id="1067" name="图片 80"/>
                  <wp:cNvGraphicFramePr>
                    <a:graphicFrameLocks noChangeAspect="1"/>
                  </wp:cNvGraphicFramePr>
                  <a:graphic>
                    <a:graphicData uri="http://schemas.openxmlformats.org/drawingml/2006/picture">
                      <pic:pic>
                        <pic:nvPicPr>
                          <pic:cNvPr id="509" name="图片 80 509"/>
                          <pic:cNvPicPr/>
                        </pic:nvPicPr>
                        <pic:blipFill>
                          <a:blip r:embed="rId38"/>
                          <a:stretch>
                            <a:fillRect/>
                          </a:stretch>
                        </pic:blipFill>
                        <pic:spPr>
                          <a:xfrm rot="0">
                            <a:off x="0" y="0"/>
                            <a:ext cx="1780539" cy="239395"/>
                          </a:xfrm>
                          <a:prstGeom prst="rect"/>
                          <a:noFill/>
                          <a:ln cmpd="sng" cap="flat">
                            <a:noFill/>
                            <a:prstDash val="solid"/>
                            <a:round/>
                          </a:ln>
                        </pic:spPr>
                      </pic:pic>
                    </a:graphicData>
                  </a:graphic>
                </wp:inline>
              </w:drawing>
            </w:r>
          </w:p>
          <w:p>
            <w:pPr>
              <w:rPr>
                <w:snapToGrid w:val="0"/>
                <w:color w:val="auto"/>
                <w:szCs w:val="22"/>
              </w:rPr>
            </w:pPr>
            <w:r>
              <w:rPr>
                <w:rFonts w:hint="eastAsia"/>
                <w:snapToGrid w:val="0"/>
                <w:color w:val="auto"/>
                <w:szCs w:val="22"/>
              </w:rPr>
              <w:t>式中：</w:t>
            </w:r>
            <w:r>
              <w:rPr>
                <w:rFonts w:hint="eastAsia"/>
                <w:snapToGrid w:val="0"/>
                <w:color w:val="auto"/>
                <w:szCs w:val="22"/>
              </w:rPr>
              <w:drawing>
                <wp:inline distT="0" distB="0" distL="114300" distR="114300">
                  <wp:extent cx="503555" cy="239395"/>
                  <wp:effectExtent l="0" t="0" r="0" b="0"/>
                  <wp:docPr id="1068" name="图片 81"/>
                  <wp:cNvGraphicFramePr>
                    <a:graphicFrameLocks noChangeAspect="1"/>
                  </wp:cNvGraphicFramePr>
                  <a:graphic>
                    <a:graphicData uri="http://schemas.openxmlformats.org/drawingml/2006/picture">
                      <pic:pic>
                        <pic:nvPicPr>
                          <pic:cNvPr id="511" name="图片 81 511"/>
                          <pic:cNvPicPr/>
                        </pic:nvPicPr>
                        <pic:blipFill>
                          <a:blip r:embed="rId39"/>
                          <a:stretch>
                            <a:fillRect/>
                          </a:stretch>
                        </pic:blipFill>
                        <pic:spPr>
                          <a:xfrm rot="0">
                            <a:off x="0" y="0"/>
                            <a:ext cx="503555" cy="239395"/>
                          </a:xfrm>
                          <a:prstGeom prst="rect"/>
                          <a:noFill/>
                          <a:ln cmpd="sng" cap="flat">
                            <a:noFill/>
                            <a:prstDash val="solid"/>
                            <a:round/>
                          </a:ln>
                        </pic:spPr>
                      </pic:pic>
                    </a:graphicData>
                  </a:graphic>
                </wp:inline>
              </w:drawing>
            </w:r>
            <w:r>
              <w:rPr>
                <w:rFonts w:hint="eastAsia"/>
                <w:snapToGrid w:val="0"/>
                <w:color w:val="auto"/>
                <w:szCs w:val="22"/>
              </w:rPr>
              <w:t>——靠近围护结构处室外N个声源</w:t>
            </w:r>
            <w:r>
              <w:rPr>
                <w:rFonts w:hint="eastAsia"/>
                <w:snapToGrid w:val="0"/>
                <w:color w:val="auto"/>
                <w:szCs w:val="22"/>
              </w:rPr>
              <w:drawing>
                <wp:inline distT="0" distB="0" distL="114300" distR="114300">
                  <wp:extent cx="83185" cy="171450"/>
                  <wp:effectExtent l="0" t="0" r="1" b="0"/>
                  <wp:docPr id="1069" name="图片 82"/>
                  <wp:cNvGraphicFramePr>
                    <a:graphicFrameLocks noChangeAspect="1"/>
                  </wp:cNvGraphicFramePr>
                  <a:graphic>
                    <a:graphicData uri="http://schemas.openxmlformats.org/drawingml/2006/picture">
                      <pic:pic>
                        <pic:nvPicPr>
                          <pic:cNvPr id="512" name="图片 82 512"/>
                          <pic:cNvPicPr/>
                        </pic:nvPicPr>
                        <pic:blipFill>
                          <a:blip r:embed="rId40"/>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Cs w:val="22"/>
              </w:rPr>
              <w:t>倍频带的叠加声压级，dB；</w:t>
            </w:r>
          </w:p>
          <w:p>
            <w:pPr>
              <w:rPr>
                <w:snapToGrid w:val="0"/>
                <w:color w:val="auto"/>
                <w:szCs w:val="22"/>
              </w:rPr>
            </w:pPr>
            <w:r>
              <w:rPr>
                <w:rFonts w:hint="eastAsia"/>
                <w:snapToGrid w:val="0"/>
                <w:color w:val="auto"/>
                <w:szCs w:val="22"/>
              </w:rPr>
              <w:drawing>
                <wp:inline distT="0" distB="0" distL="114300" distR="114300">
                  <wp:extent cx="239395" cy="239395"/>
                  <wp:effectExtent l="0" t="0" r="1" b="0"/>
                  <wp:docPr id="1070" name="图片 83"/>
                  <wp:cNvGraphicFramePr>
                    <a:graphicFrameLocks noChangeAspect="1"/>
                  </wp:cNvGraphicFramePr>
                  <a:graphic>
                    <a:graphicData uri="http://schemas.openxmlformats.org/drawingml/2006/picture">
                      <pic:pic>
                        <pic:nvPicPr>
                          <pic:cNvPr id="514" name="图片 83 514"/>
                          <pic:cNvPicPr/>
                        </pic:nvPicPr>
                        <pic:blipFill>
                          <a:blip r:embed="rId41"/>
                          <a:stretch>
                            <a:fillRect/>
                          </a:stretch>
                        </pic:blipFill>
                        <pic:spPr>
                          <a:xfrm rot="0">
                            <a:off x="0" y="0"/>
                            <a:ext cx="239395" cy="239395"/>
                          </a:xfrm>
                          <a:prstGeom prst="rect"/>
                          <a:noFill/>
                          <a:ln cmpd="sng" cap="flat">
                            <a:noFill/>
                            <a:prstDash val="solid"/>
                            <a:round/>
                          </a:ln>
                        </pic:spPr>
                      </pic:pic>
                    </a:graphicData>
                  </a:graphic>
                </wp:inline>
              </w:drawing>
            </w:r>
            <w:r>
              <w:rPr>
                <w:rFonts w:hint="eastAsia"/>
                <w:snapToGrid w:val="0"/>
                <w:color w:val="auto"/>
                <w:szCs w:val="22"/>
              </w:rPr>
              <w:t>——围护结构</w:t>
            </w:r>
            <w:r>
              <w:rPr>
                <w:rFonts w:hint="eastAsia"/>
                <w:snapToGrid w:val="0"/>
                <w:color w:val="auto"/>
                <w:szCs w:val="22"/>
              </w:rPr>
              <w:drawing>
                <wp:inline distT="0" distB="0" distL="114300" distR="114300">
                  <wp:extent cx="83185" cy="171450"/>
                  <wp:effectExtent l="0" t="0" r="1" b="0"/>
                  <wp:docPr id="1071" name="图片 84"/>
                  <wp:cNvGraphicFramePr>
                    <a:graphicFrameLocks noChangeAspect="1"/>
                  </wp:cNvGraphicFramePr>
                  <a:graphic>
                    <a:graphicData uri="http://schemas.openxmlformats.org/drawingml/2006/picture">
                      <pic:pic>
                        <pic:nvPicPr>
                          <pic:cNvPr id="515" name="图片 84 515"/>
                          <pic:cNvPicPr/>
                        </pic:nvPicPr>
                        <pic:blipFill>
                          <a:blip r:embed="rId42"/>
                          <a:stretch>
                            <a:fillRect/>
                          </a:stretch>
                        </pic:blipFill>
                        <pic:spPr>
                          <a:xfrm rot="0">
                            <a:off x="0" y="0"/>
                            <a:ext cx="83185" cy="171450"/>
                          </a:xfrm>
                          <a:prstGeom prst="rect"/>
                          <a:noFill/>
                          <a:ln cmpd="sng" cap="flat">
                            <a:noFill/>
                            <a:prstDash val="solid"/>
                            <a:round/>
                          </a:ln>
                        </pic:spPr>
                      </pic:pic>
                    </a:graphicData>
                  </a:graphic>
                </wp:inline>
              </w:drawing>
            </w:r>
            <w:r>
              <w:rPr>
                <w:rFonts w:hint="eastAsia"/>
                <w:snapToGrid w:val="0"/>
                <w:color w:val="auto"/>
                <w:szCs w:val="22"/>
              </w:rPr>
              <w:t>倍频带的隔声量，dB；</w:t>
            </w:r>
          </w:p>
          <w:p>
            <w:pPr>
              <w:rPr>
                <w:snapToGrid w:val="0"/>
                <w:color w:val="auto"/>
                <w:szCs w:val="22"/>
              </w:rPr>
            </w:pPr>
            <w:r>
              <w:rPr>
                <w:rFonts w:hint="eastAsia"/>
                <w:snapToGrid w:val="0"/>
                <w:color w:val="auto"/>
                <w:szCs w:val="22"/>
              </w:rPr>
              <w:t>4）将室外声源的声压级和透过面积换算成等效的室外声源，计算出中心位置位于透声面积(S)处的等效声源的倍频带声功率级。</w:t>
            </w:r>
          </w:p>
          <w:p>
            <w:pPr>
              <w:spacing w:line="240" w:lineRule="auto"/>
              <w:ind w:firstLineChars="0" w:firstLine="0"/>
              <w:jc w:val="center"/>
              <w:rPr>
                <w:snapToGrid w:val="0"/>
                <w:color w:val="auto"/>
                <w:szCs w:val="22"/>
              </w:rPr>
            </w:pPr>
            <w:r>
              <w:rPr>
                <w:rFonts w:hint="eastAsia"/>
                <w:snapToGrid w:val="0"/>
                <w:color w:val="auto"/>
                <w:szCs w:val="22"/>
              </w:rPr>
              <w:drawing>
                <wp:inline distT="0" distB="0" distL="114300" distR="114300">
                  <wp:extent cx="1334769" cy="239395"/>
                  <wp:effectExtent l="0" t="0" r="0" b="0"/>
                  <wp:docPr id="1072" name="图片 14"/>
                  <wp:cNvGraphicFramePr>
                    <a:graphicFrameLocks noChangeAspect="1"/>
                  </wp:cNvGraphicFramePr>
                  <a:graphic>
                    <a:graphicData uri="http://schemas.openxmlformats.org/drawingml/2006/picture">
                      <pic:pic>
                        <pic:nvPicPr>
                          <pic:cNvPr id="517" name="图片 14 517"/>
                          <pic:cNvPicPr/>
                        </pic:nvPicPr>
                        <pic:blipFill>
                          <a:blip r:embed="rId43"/>
                          <a:stretch>
                            <a:fillRect/>
                          </a:stretch>
                        </pic:blipFill>
                        <pic:spPr>
                          <a:xfrm rot="0">
                            <a:off x="0" y="0"/>
                            <a:ext cx="1334769" cy="239395"/>
                          </a:xfrm>
                          <a:prstGeom prst="rect"/>
                          <a:noFill/>
                          <a:ln cmpd="sng" cap="flat">
                            <a:noFill/>
                            <a:prstDash val="solid"/>
                            <a:round/>
                          </a:ln>
                        </pic:spPr>
                      </pic:pic>
                    </a:graphicData>
                  </a:graphic>
                </wp:inline>
              </w:drawing>
            </w:r>
          </w:p>
          <w:p>
            <w:pPr>
              <w:rPr>
                <w:snapToGrid w:val="0"/>
                <w:color w:val="auto"/>
                <w:szCs w:val="22"/>
              </w:rPr>
            </w:pPr>
            <w:r>
              <w:rPr>
                <w:rFonts w:hint="eastAsia"/>
                <w:snapToGrid w:val="0"/>
                <w:color w:val="auto"/>
                <w:szCs w:val="22"/>
              </w:rPr>
              <w:t>5）等效室外声源的位置为围护结构的位置，其倍频带声功率级为</w:t>
            </w:r>
            <w:r>
              <w:rPr>
                <w:rFonts w:hint="eastAsia"/>
                <w:snapToGrid w:val="0"/>
                <w:color w:val="auto"/>
                <w:szCs w:val="22"/>
              </w:rPr>
              <w:drawing>
                <wp:inline distT="0" distB="0" distL="114300" distR="114300">
                  <wp:extent cx="200660" cy="239395"/>
                  <wp:effectExtent l="0" t="0" r="0" b="0"/>
                  <wp:docPr id="1073" name="图片 85"/>
                  <wp:cNvGraphicFramePr>
                    <a:graphicFrameLocks noChangeAspect="1"/>
                  </wp:cNvGraphicFramePr>
                  <a:graphic>
                    <a:graphicData uri="http://schemas.openxmlformats.org/drawingml/2006/picture">
                      <pic:pic>
                        <pic:nvPicPr>
                          <pic:cNvPr id="519" name="图片 85 519"/>
                          <pic:cNvPicPr/>
                        </pic:nvPicPr>
                        <pic:blipFill>
                          <a:blip r:embed="rId44"/>
                          <a:stretch>
                            <a:fillRect/>
                          </a:stretch>
                        </pic:blipFill>
                        <pic:spPr>
                          <a:xfrm rot="0">
                            <a:off x="0" y="0"/>
                            <a:ext cx="200660" cy="239395"/>
                          </a:xfrm>
                          <a:prstGeom prst="rect"/>
                          <a:noFill/>
                          <a:ln cmpd="sng" cap="flat">
                            <a:noFill/>
                            <a:prstDash val="solid"/>
                            <a:round/>
                          </a:ln>
                        </pic:spPr>
                      </pic:pic>
                    </a:graphicData>
                  </a:graphic>
                </wp:inline>
              </w:drawing>
            </w:r>
            <w:r>
              <w:rPr>
                <w:rFonts w:hint="eastAsia"/>
                <w:snapToGrid w:val="0"/>
                <w:color w:val="auto"/>
                <w:szCs w:val="22"/>
              </w:rPr>
              <w:t>，根据厂房结构(门、窗)和预测点的位置关系，分别按照面声源、线声源和点声源的衰减模式，计算预测点处的声级。</w:t>
            </w:r>
          </w:p>
          <w:p>
            <w:pPr>
              <w:rPr>
                <w:snapToGrid w:val="0"/>
                <w:color w:val="auto"/>
                <w:szCs w:val="22"/>
              </w:rPr>
            </w:pPr>
            <w:r>
              <w:rPr>
                <w:rFonts w:hint="eastAsia"/>
                <w:snapToGrid w:val="0"/>
                <w:color w:val="auto"/>
                <w:szCs w:val="22"/>
              </w:rPr>
              <w:t>假设窗户的宽度为a，高度为b，窗户个数为n；预测点距墙中心的距离为。预测点的声级按照下述公式进行预测：</w:t>
            </w:r>
          </w:p>
          <w:p>
            <w:pPr>
              <w:ind w:firstLineChars="0" w:firstLine="0"/>
              <w:jc w:val="center"/>
              <w:rPr>
                <w:snapToGrid w:val="0"/>
                <w:color w:val="auto"/>
                <w:szCs w:val="22"/>
              </w:rPr>
            </w:pPr>
            <w:r>
              <w:rPr>
                <w:rFonts w:hint="eastAsia"/>
                <w:snapToGrid w:val="0"/>
                <w:color w:val="auto"/>
                <w:szCs w:val="22"/>
              </w:rPr>
              <w:drawing>
                <wp:inline distT="0" distB="0" distL="114300" distR="114300">
                  <wp:extent cx="4133215" cy="1666875"/>
                  <wp:effectExtent l="0" t="0" r="0" b="0"/>
                  <wp:docPr id="1074" name="图片 15"/>
                  <wp:cNvGraphicFramePr>
                    <a:graphicFrameLocks noChangeAspect="1"/>
                  </wp:cNvGraphicFramePr>
                  <a:graphic>
                    <a:graphicData uri="http://schemas.openxmlformats.org/drawingml/2006/picture">
                      <pic:pic>
                        <pic:nvPicPr>
                          <pic:cNvPr id="521" name="图片 15 521"/>
                          <pic:cNvPicPr/>
                        </pic:nvPicPr>
                        <pic:blipFill>
                          <a:blip r:embed="rId45"/>
                          <a:stretch>
                            <a:fillRect/>
                          </a:stretch>
                        </pic:blipFill>
                        <pic:spPr>
                          <a:xfrm rot="0">
                            <a:off x="0" y="0"/>
                            <a:ext cx="4133215" cy="1666875"/>
                          </a:xfrm>
                          <a:prstGeom prst="rect"/>
                          <a:noFill/>
                          <a:ln cmpd="sng" cap="flat">
                            <a:noFill/>
                            <a:prstDash val="solid"/>
                            <a:round/>
                          </a:ln>
                        </pic:spPr>
                      </pic:pic>
                    </a:graphicData>
                  </a:graphic>
                </wp:inline>
              </w:drawing>
            </w:r>
          </w:p>
          <w:p>
            <w:pPr>
              <w:rPr>
                <w:snapToGrid w:val="0"/>
                <w:color w:val="auto"/>
                <w:szCs w:val="22"/>
              </w:rPr>
            </w:pPr>
            <w:r>
              <w:rPr>
                <w:rFonts w:hint="eastAsia"/>
                <w:snapToGrid w:val="0"/>
                <w:color w:val="auto"/>
                <w:szCs w:val="22"/>
              </w:rPr>
              <w:t>（4）预测步骤</w:t>
            </w:r>
          </w:p>
          <w:p>
            <w:pPr>
              <w:rPr>
                <w:snapToGrid w:val="0"/>
                <w:color w:val="auto"/>
                <w:szCs w:val="22"/>
              </w:rPr>
            </w:pPr>
            <w:r>
              <w:rPr>
                <w:rFonts w:hint="eastAsia"/>
                <w:snapToGrid w:val="0"/>
                <w:color w:val="auto"/>
                <w:szCs w:val="22"/>
              </w:rPr>
              <w:t>1）室内声源以项目车间中心为坐标原点，室外噪声以项目厂区中心为坐标原点，建立一个坐标系，确定各噪声源及厂界预测点坐标。</w:t>
            </w:r>
          </w:p>
          <w:p>
            <w:pPr>
              <w:rPr>
                <w:snapToGrid w:val="0"/>
                <w:color w:val="auto"/>
                <w:szCs w:val="22"/>
              </w:rPr>
            </w:pPr>
            <w:r>
              <w:rPr>
                <w:rFonts w:hint="eastAsia"/>
                <w:snapToGrid w:val="0"/>
                <w:color w:val="auto"/>
                <w:szCs w:val="22"/>
              </w:rPr>
              <w:t>2）根据已获得的声源参数和声波从声源到预测点的传播条件，计算出各声源单独作用在预测点时产生的A声级Li：</w:t>
            </w:r>
          </w:p>
          <w:p>
            <w:pPr>
              <w:rPr>
                <w:snapToGrid w:val="0"/>
                <w:color w:val="auto"/>
                <w:szCs w:val="22"/>
              </w:rPr>
            </w:pPr>
            <w:r>
              <w:rPr>
                <w:rFonts w:hint="eastAsia"/>
                <w:snapToGrid w:val="0"/>
                <w:color w:val="auto"/>
                <w:szCs w:val="22"/>
              </w:rPr>
              <w:t>3）将各声源对某预测点产生的A声级按下式叠加，得到该预测点的声级值L1：</w:t>
            </w:r>
          </w:p>
          <w:p>
            <w:pPr>
              <w:spacing w:line="240" w:lineRule="auto"/>
              <w:jc w:val="center"/>
              <w:rPr>
                <w:snapToGrid w:val="0"/>
                <w:color w:val="auto"/>
                <w:szCs w:val="22"/>
              </w:rPr>
            </w:pPr>
            <w:r>
              <w:rPr>
                <w:rFonts w:hint="eastAsia"/>
                <w:snapToGrid w:val="0"/>
                <w:color w:val="auto"/>
                <w:position w:val="-28"/>
                <w:szCs w:val="22"/>
              </w:rPr>
              <w:object>
                <v:shape id="_x0000_i1026" type="#_x0000_t75" filled="f" style="width:102.0pt;height:36.0pt;" o:ole="">
                  <v:imagedata r:id="rId46" o:title="image38"/>
                  <o:lock aspectratio="t"/>
                  <w10:anchorLock/>
                </v:shape>
                <o:OLEObject Type="Embed" ProgID="Equation.KSEE3" ShapeID="_x0000_i1026" DrawAspect="Content" ObjectID="_1393063352" r:id="rId47"/>
              </w:object>
            </w:r>
          </w:p>
          <w:p>
            <w:pPr>
              <w:rPr>
                <w:snapToGrid w:val="0"/>
                <w:color w:val="auto"/>
                <w:szCs w:val="22"/>
              </w:rPr>
            </w:pPr>
            <w:r>
              <w:rPr>
                <w:rFonts w:hint="eastAsia"/>
                <w:snapToGrid w:val="0"/>
                <w:color w:val="auto"/>
                <w:szCs w:val="22"/>
              </w:rPr>
              <w:t>4）将厂界噪声现状监测值与工程噪声贡献值叠加，即得噪声预测值。</w:t>
            </w:r>
          </w:p>
          <w:p>
            <w:pPr>
              <w:spacing w:line="240" w:lineRule="auto"/>
              <w:jc w:val="center"/>
              <w:rPr>
                <w:snapToGrid w:val="0"/>
                <w:color w:val="auto"/>
                <w:szCs w:val="22"/>
              </w:rPr>
            </w:pPr>
            <w:r>
              <w:rPr>
                <w:rFonts w:hint="eastAsia"/>
                <w:snapToGrid w:val="0"/>
                <w:color w:val="auto"/>
                <w:position w:val="-12"/>
                <w:szCs w:val="22"/>
              </w:rPr>
              <w:object>
                <v:shape id="_x0000_i1027" type="#_x0000_t75" filled="f" style="width:180.0pt;height:18.0pt;" o:ole="">
                  <v:imagedata r:id="rId48" o:title="image39"/>
                  <o:lock aspectratio="t"/>
                  <w10:anchorLock/>
                </v:shape>
                <o:OLEObject Type="Embed" ProgID="Equation.KSEE3" ShapeID="_x0000_i1027" DrawAspect="Content" ObjectID="_1393063353" r:id="rId49"/>
              </w:object>
            </w:r>
          </w:p>
          <w:p>
            <w:pPr>
              <w:rPr>
                <w:snapToGrid w:val="0"/>
                <w:color w:val="auto"/>
                <w:szCs w:val="22"/>
              </w:rPr>
            </w:pPr>
            <w:r>
              <w:rPr>
                <w:rFonts w:hint="eastAsia"/>
                <w:snapToGrid w:val="0"/>
                <w:color w:val="auto"/>
                <w:szCs w:val="22"/>
              </w:rPr>
              <w:t>（5）预测结果与评价</w:t>
            </w:r>
          </w:p>
          <w:p>
            <w:pPr>
              <w:rPr>
                <w:snapToGrid w:val="0"/>
                <w:color w:val="auto"/>
                <w:szCs w:val="22"/>
              </w:rPr>
            </w:pPr>
            <w:r>
              <w:rPr>
                <w:rFonts w:hint="eastAsia"/>
                <w:snapToGrid w:val="0"/>
                <w:color w:val="auto"/>
                <w:szCs w:val="22"/>
              </w:rPr>
              <w:t>厂界噪声预测结果见下表。</w:t>
            </w:r>
          </w:p>
          <w:p>
            <w:pPr>
              <w:pStyle w:val="40"/>
              <w:rPr>
                <w:color w:val="auto"/>
              </w:rPr>
            </w:pPr>
            <w:r>
              <w:rPr>
                <w:color w:val="auto"/>
              </w:rPr>
              <w:t>表4-1</w:t>
            </w:r>
            <w:r>
              <w:rPr>
                <w:rFonts w:hint="eastAsia"/>
                <w:color w:val="auto"/>
                <w:lang w:val="en-US" w:eastAsia="zh-CN"/>
              </w:rPr>
              <w:t>3</w:t>
            </w:r>
            <w:r>
              <w:rPr>
                <w:rFonts w:hint="eastAsia"/>
                <w:color w:val="auto"/>
              </w:rPr>
              <w:t xml:space="preserve">  全厂</w:t>
            </w:r>
            <w:r>
              <w:rPr>
                <w:color w:val="auto"/>
              </w:rPr>
              <w:t>厂界噪声</w:t>
            </w:r>
            <w:r>
              <w:rPr>
                <w:rFonts w:hint="eastAsia"/>
                <w:color w:val="auto"/>
              </w:rPr>
              <w:t>预测</w:t>
            </w:r>
            <w:r>
              <w:rPr>
                <w:color w:val="auto"/>
              </w:rPr>
              <w:t>值结果一览表</w:t>
            </w:r>
            <w:r>
              <w:rPr>
                <w:rFonts w:hint="eastAsia"/>
                <w:color w:val="auto"/>
              </w:rPr>
              <w:t xml:space="preserve">        </w:t>
            </w:r>
            <w:r>
              <w:rPr>
                <w:color w:val="auto"/>
              </w:rPr>
              <w:t>单位：dB(A)</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216"/>
              <w:gridCol w:w="900"/>
              <w:gridCol w:w="890"/>
              <w:gridCol w:w="898"/>
              <w:gridCol w:w="886"/>
              <w:gridCol w:w="907"/>
              <w:gridCol w:w="867"/>
              <w:gridCol w:w="922"/>
              <w:gridCol w:w="887"/>
            </w:tblGrid>
            <w:tr>
              <w:trPr>
                <w:trHeight w:val="23"/>
              </w:trPr>
              <w:tc>
                <w:tcPr>
                  <w:tcW w:w="565" w:type="dxa"/>
                  <w:vMerge w:val="restart"/>
                  <w:vAlign w:val="center"/>
                </w:tcPr>
                <w:p>
                  <w:pPr>
                    <w:pStyle w:val="39"/>
                    <w:rPr>
                      <w:color w:val="auto"/>
                    </w:rPr>
                  </w:pPr>
                  <w:r>
                    <w:rPr>
                      <w:color w:val="auto"/>
                    </w:rPr>
                    <w:t>预测点</w:t>
                  </w:r>
                </w:p>
              </w:tc>
              <w:tc>
                <w:tcPr>
                  <w:tcW w:w="359" w:type="dxa"/>
                  <w:gridSpan w:val="2"/>
                  <w:vAlign w:val="center"/>
                </w:tcPr>
                <w:p>
                  <w:pPr>
                    <w:pStyle w:val="39"/>
                    <w:rPr>
                      <w:color w:val="auto"/>
                    </w:rPr>
                  </w:pPr>
                  <w:r>
                    <w:rPr>
                      <w:color w:val="auto"/>
                    </w:rPr>
                    <w:t>东厂界</w:t>
                  </w:r>
                </w:p>
              </w:tc>
              <w:tc>
                <w:tcPr>
                  <w:tcW w:w="354" w:type="dxa"/>
                  <w:gridSpan w:val="2"/>
                  <w:vAlign w:val="center"/>
                </w:tcPr>
                <w:p>
                  <w:pPr>
                    <w:pStyle w:val="39"/>
                    <w:rPr>
                      <w:color w:val="auto"/>
                    </w:rPr>
                  </w:pPr>
                  <w:r>
                    <w:rPr>
                      <w:rFonts w:hint="eastAsia"/>
                      <w:color w:val="auto"/>
                    </w:rPr>
                    <w:t>南</w:t>
                  </w:r>
                  <w:r>
                    <w:rPr>
                      <w:color w:val="auto"/>
                    </w:rPr>
                    <w:t>厂界</w:t>
                  </w:r>
                </w:p>
              </w:tc>
              <w:tc>
                <w:tcPr>
                  <w:tcW w:w="345" w:type="dxa"/>
                  <w:gridSpan w:val="2"/>
                  <w:vAlign w:val="center"/>
                </w:tcPr>
                <w:p>
                  <w:pPr>
                    <w:pStyle w:val="39"/>
                    <w:rPr>
                      <w:color w:val="auto"/>
                    </w:rPr>
                  </w:pPr>
                  <w:r>
                    <w:rPr>
                      <w:rFonts w:hint="eastAsia"/>
                      <w:color w:val="auto"/>
                    </w:rPr>
                    <w:t>西</w:t>
                  </w:r>
                  <w:r>
                    <w:rPr>
                      <w:color w:val="auto"/>
                    </w:rPr>
                    <w:t>厂界</w:t>
                  </w:r>
                </w:p>
              </w:tc>
              <w:tc>
                <w:tcPr>
                  <w:tcW w:w="376" w:type="dxa"/>
                  <w:gridSpan w:val="2"/>
                  <w:vAlign w:val="center"/>
                </w:tcPr>
                <w:p>
                  <w:pPr>
                    <w:pStyle w:val="39"/>
                    <w:rPr>
                      <w:color w:val="auto"/>
                    </w:rPr>
                  </w:pPr>
                  <w:r>
                    <w:rPr>
                      <w:rFonts w:hint="eastAsia"/>
                      <w:color w:val="auto"/>
                    </w:rPr>
                    <w:t>北</w:t>
                  </w:r>
                  <w:r>
                    <w:rPr>
                      <w:color w:val="auto"/>
                    </w:rPr>
                    <w:t>厂界</w:t>
                  </w:r>
                </w:p>
              </w:tc>
            </w:tr>
            <w:tr>
              <w:trPr>
                <w:trHeight w:val="23"/>
              </w:trPr>
              <w:tc>
                <w:tcPr>
                  <w:tcW w:w="565" w:type="dxa"/>
                  <w:vMerge/>
                  <w:vAlign w:val="center"/>
                </w:tcPr>
                <w:p/>
              </w:tc>
              <w:tc>
                <w:tcPr>
                  <w:tcW w:w="184" w:type="dxa"/>
                  <w:tcBorders>
                    <w:left w:val="single" w:sz="4" w:space="0" w:color="auto"/>
                  </w:tcBorders>
                  <w:vAlign w:val="center"/>
                </w:tcPr>
                <w:p>
                  <w:pPr>
                    <w:pStyle w:val="39"/>
                    <w:rPr>
                      <w:color w:val="auto"/>
                    </w:rPr>
                  </w:pPr>
                  <w:r>
                    <w:rPr>
                      <w:color w:val="auto"/>
                    </w:rPr>
                    <w:t>昼间</w:t>
                  </w:r>
                </w:p>
              </w:tc>
              <w:tc>
                <w:tcPr>
                  <w:tcW w:w="175" w:type="dxa"/>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夜间</w:t>
                  </w:r>
                </w:p>
              </w:tc>
              <w:tc>
                <w:tcPr>
                  <w:tcW w:w="182" w:type="dxa"/>
                  <w:tcBorders>
                    <w:left w:val="single" w:sz="4" w:space="0" w:color="auto"/>
                  </w:tcBorders>
                  <w:vAlign w:val="center"/>
                </w:tcPr>
                <w:p>
                  <w:pPr>
                    <w:pStyle w:val="39"/>
                    <w:rPr>
                      <w:color w:val="auto"/>
                    </w:rPr>
                  </w:pPr>
                  <w:r>
                    <w:rPr>
                      <w:color w:val="auto"/>
                    </w:rPr>
                    <w:t>昼间</w:t>
                  </w:r>
                </w:p>
              </w:tc>
              <w:tc>
                <w:tcPr>
                  <w:tcW w:w="172" w:type="dxa"/>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夜间</w:t>
                  </w:r>
                </w:p>
              </w:tc>
              <w:tc>
                <w:tcPr>
                  <w:tcW w:w="190" w:type="dxa"/>
                  <w:tcBorders>
                    <w:left w:val="single" w:sz="4" w:space="0" w:color="auto"/>
                  </w:tcBorders>
                  <w:vAlign w:val="center"/>
                </w:tcPr>
                <w:p>
                  <w:pPr>
                    <w:pStyle w:val="39"/>
                    <w:rPr>
                      <w:color w:val="auto"/>
                    </w:rPr>
                  </w:pPr>
                  <w:r>
                    <w:rPr>
                      <w:color w:val="auto"/>
                    </w:rPr>
                    <w:t>昼间</w:t>
                  </w:r>
                </w:p>
              </w:tc>
              <w:tc>
                <w:tcPr>
                  <w:tcW w:w="155" w:type="dxa"/>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夜间</w:t>
                  </w:r>
                </w:p>
              </w:tc>
              <w:tc>
                <w:tcPr>
                  <w:tcW w:w="203" w:type="dxa"/>
                  <w:tcBorders>
                    <w:left w:val="single" w:sz="4" w:space="0" w:color="auto"/>
                  </w:tcBorders>
                  <w:vAlign w:val="center"/>
                </w:tcPr>
                <w:p>
                  <w:pPr>
                    <w:pStyle w:val="39"/>
                    <w:rPr>
                      <w:color w:val="auto"/>
                    </w:rPr>
                  </w:pPr>
                  <w:r>
                    <w:rPr>
                      <w:color w:val="auto"/>
                    </w:rPr>
                    <w:t>昼间</w:t>
                  </w:r>
                </w:p>
              </w:tc>
              <w:tc>
                <w:tcPr>
                  <w:tcW w:w="172" w:type="dxa"/>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夜间</w:t>
                  </w:r>
                </w:p>
              </w:tc>
            </w:tr>
            <w:tr>
              <w:trPr>
                <w:trHeight w:val="23"/>
              </w:trPr>
              <w:tc>
                <w:tcPr>
                  <w:tcW w:w="565" w:type="dxa"/>
                  <w:vAlign w:val="center"/>
                </w:tcPr>
                <w:p>
                  <w:pPr>
                    <w:pStyle w:val="39"/>
                    <w:rPr>
                      <w:color w:val="auto"/>
                    </w:rPr>
                  </w:pPr>
                  <w:r>
                    <w:rPr>
                      <w:color w:val="auto"/>
                    </w:rPr>
                    <w:t>贡献值</w:t>
                  </w:r>
                </w:p>
              </w:tc>
              <w:tc>
                <w:tcPr>
                  <w:tcW w:w="184"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52.87</w:t>
                  </w:r>
                </w:p>
              </w:tc>
              <w:tc>
                <w:tcPr>
                  <w:tcW w:w="175" w:type="dxa"/>
                  <w:tcBorders>
                    <w:left w:val="single" w:sz="4" w:space="0" w:color="auto"/>
                  </w:tcBorders>
                  <w:vAlign w:val="center"/>
                </w:tcPr>
                <w:p>
                  <w:pPr>
                    <w:pStyle w:val="39"/>
                    <w:rPr>
                      <w:color w:val="auto"/>
                      <w:lang w:val="en-US" w:eastAsia="zh-CN"/>
                    </w:rPr>
                  </w:pPr>
                  <w:r>
                    <w:rPr>
                      <w:rFonts w:hint="eastAsia"/>
                      <w:color w:val="auto"/>
                      <w:lang w:val="en-US" w:eastAsia="zh-CN"/>
                    </w:rPr>
                    <w:t>52.87</w:t>
                  </w:r>
                </w:p>
              </w:tc>
              <w:tc>
                <w:tcPr>
                  <w:tcW w:w="182"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44.67</w:t>
                  </w:r>
                </w:p>
              </w:tc>
              <w:tc>
                <w:tcPr>
                  <w:tcW w:w="172" w:type="dxa"/>
                  <w:tcBorders>
                    <w:left w:val="single" w:sz="4" w:space="0" w:color="auto"/>
                  </w:tcBorders>
                  <w:vAlign w:val="center"/>
                </w:tcPr>
                <w:p>
                  <w:pPr>
                    <w:pStyle w:val="39"/>
                    <w:rPr>
                      <w:color w:val="auto"/>
                      <w:lang w:val="en-US" w:eastAsia="zh-CN"/>
                    </w:rPr>
                  </w:pPr>
                  <w:r>
                    <w:rPr>
                      <w:rFonts w:hint="eastAsia"/>
                      <w:color w:val="auto"/>
                      <w:lang w:val="en-US" w:eastAsia="zh-CN"/>
                    </w:rPr>
                    <w:t>44.67</w:t>
                  </w:r>
                </w:p>
              </w:tc>
              <w:tc>
                <w:tcPr>
                  <w:tcW w:w="190"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47.04</w:t>
                  </w:r>
                </w:p>
              </w:tc>
              <w:tc>
                <w:tcPr>
                  <w:tcW w:w="155" w:type="dxa"/>
                  <w:tcBorders>
                    <w:left w:val="single" w:sz="4" w:space="0" w:color="auto"/>
                  </w:tcBorders>
                  <w:vAlign w:val="center"/>
                </w:tcPr>
                <w:p>
                  <w:pPr>
                    <w:pStyle w:val="39"/>
                    <w:rPr>
                      <w:color w:val="auto"/>
                      <w:lang w:val="en-US" w:eastAsia="zh-CN"/>
                    </w:rPr>
                  </w:pPr>
                  <w:r>
                    <w:rPr>
                      <w:rFonts w:hint="eastAsia"/>
                      <w:color w:val="auto"/>
                      <w:lang w:val="en-US" w:eastAsia="zh-CN"/>
                    </w:rPr>
                    <w:t>47.04</w:t>
                  </w:r>
                </w:p>
              </w:tc>
              <w:tc>
                <w:tcPr>
                  <w:tcW w:w="203"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31.14</w:t>
                  </w:r>
                </w:p>
              </w:tc>
              <w:tc>
                <w:tcPr>
                  <w:tcW w:w="172" w:type="dxa"/>
                  <w:tcBorders>
                    <w:left w:val="single" w:sz="4" w:space="0" w:color="auto"/>
                  </w:tcBorders>
                  <w:vAlign w:val="center"/>
                </w:tcPr>
                <w:p>
                  <w:pPr>
                    <w:pStyle w:val="39"/>
                    <w:rPr>
                      <w:color w:val="auto"/>
                      <w:lang w:val="en-US" w:eastAsia="zh-CN"/>
                    </w:rPr>
                  </w:pPr>
                  <w:r>
                    <w:rPr>
                      <w:rFonts w:hint="eastAsia"/>
                      <w:color w:val="auto"/>
                      <w:lang w:val="en-US" w:eastAsia="zh-CN"/>
                    </w:rPr>
                    <w:t>31.14</w:t>
                  </w:r>
                </w:p>
              </w:tc>
            </w:tr>
            <w:tr>
              <w:trPr>
                <w:trHeight w:val="23"/>
              </w:trPr>
              <w:tc>
                <w:tcPr>
                  <w:tcW w:w="565" w:type="dxa"/>
                  <w:vAlign w:val="center"/>
                </w:tcPr>
                <w:p>
                  <w:pPr>
                    <w:pStyle w:val="39"/>
                    <w:rPr>
                      <w:color w:val="auto"/>
                    </w:rPr>
                  </w:pPr>
                  <w:r>
                    <w:rPr>
                      <w:rFonts w:hint="eastAsia"/>
                      <w:color w:val="auto"/>
                    </w:rPr>
                    <w:t>标准值</w:t>
                  </w:r>
                </w:p>
              </w:tc>
              <w:tc>
                <w:tcPr>
                  <w:tcW w:w="184" w:type="dxa"/>
                  <w:tcBorders>
                    <w:left w:val="single" w:sz="4" w:space="0" w:color="auto"/>
                  </w:tcBorders>
                  <w:vAlign w:val="center"/>
                </w:tcPr>
                <w:p>
                  <w:pPr>
                    <w:pStyle w:val="39"/>
                    <w:rPr>
                      <w:rFonts w:eastAsia="宋体" w:hint="eastAsia"/>
                      <w:color w:val="auto"/>
                      <w:lang w:val="en-US" w:eastAsia="zh-CN"/>
                    </w:rPr>
                  </w:pPr>
                  <w:r>
                    <w:rPr>
                      <w:rFonts w:hint="eastAsia"/>
                      <w:color w:val="auto"/>
                    </w:rPr>
                    <w:t>6</w:t>
                  </w:r>
                  <w:r>
                    <w:rPr>
                      <w:rFonts w:hint="eastAsia"/>
                      <w:color w:val="auto"/>
                      <w:lang w:val="en-US" w:eastAsia="zh-CN"/>
                    </w:rPr>
                    <w:t>5</w:t>
                  </w:r>
                </w:p>
              </w:tc>
              <w:tc>
                <w:tcPr>
                  <w:tcW w:w="17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55</w:t>
                  </w:r>
                </w:p>
              </w:tc>
              <w:tc>
                <w:tcPr>
                  <w:tcW w:w="182" w:type="dxa"/>
                  <w:tcBorders>
                    <w:left w:val="single" w:sz="4" w:space="0" w:color="auto"/>
                  </w:tcBorders>
                  <w:vAlign w:val="center"/>
                </w:tcPr>
                <w:p>
                  <w:pPr>
                    <w:pStyle w:val="39"/>
                    <w:rPr>
                      <w:rFonts w:eastAsia="宋体" w:hint="eastAsia"/>
                      <w:color w:val="auto"/>
                      <w:lang w:val="en-US" w:eastAsia="zh-CN"/>
                    </w:rPr>
                  </w:pPr>
                  <w:r>
                    <w:rPr>
                      <w:rFonts w:hint="eastAsia"/>
                      <w:color w:val="auto"/>
                    </w:rPr>
                    <w:t>6</w:t>
                  </w:r>
                  <w:r>
                    <w:rPr>
                      <w:rFonts w:hint="eastAsia"/>
                      <w:color w:val="auto"/>
                      <w:lang w:val="en-US" w:eastAsia="zh-CN"/>
                    </w:rPr>
                    <w:t>5</w:t>
                  </w:r>
                </w:p>
              </w:tc>
              <w:tc>
                <w:tcPr>
                  <w:tcW w:w="172"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55</w:t>
                  </w:r>
                </w:p>
              </w:tc>
              <w:tc>
                <w:tcPr>
                  <w:tcW w:w="190" w:type="dxa"/>
                  <w:tcBorders>
                    <w:left w:val="single" w:sz="4" w:space="0" w:color="auto"/>
                  </w:tcBorders>
                  <w:vAlign w:val="center"/>
                </w:tcPr>
                <w:p>
                  <w:pPr>
                    <w:pStyle w:val="39"/>
                    <w:rPr>
                      <w:rFonts w:eastAsia="宋体" w:hint="eastAsia"/>
                      <w:color w:val="auto"/>
                      <w:lang w:val="en-US" w:eastAsia="zh-CN"/>
                    </w:rPr>
                  </w:pPr>
                  <w:r>
                    <w:rPr>
                      <w:rFonts w:hint="eastAsia"/>
                      <w:color w:val="auto"/>
                    </w:rPr>
                    <w:t>6</w:t>
                  </w:r>
                  <w:r>
                    <w:rPr>
                      <w:rFonts w:hint="eastAsia"/>
                      <w:color w:val="auto"/>
                      <w:lang w:val="en-US" w:eastAsia="zh-CN"/>
                    </w:rPr>
                    <w:t>5</w:t>
                  </w:r>
                </w:p>
              </w:tc>
              <w:tc>
                <w:tcPr>
                  <w:tcW w:w="155"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55</w:t>
                  </w:r>
                </w:p>
              </w:tc>
              <w:tc>
                <w:tcPr>
                  <w:tcW w:w="203" w:type="dxa"/>
                  <w:tcBorders>
                    <w:left w:val="single" w:sz="4" w:space="0" w:color="auto"/>
                  </w:tcBorders>
                  <w:vAlign w:val="center"/>
                </w:tcPr>
                <w:p>
                  <w:pPr>
                    <w:pStyle w:val="39"/>
                    <w:rPr>
                      <w:rFonts w:eastAsia="宋体" w:hint="eastAsia"/>
                      <w:color w:val="auto"/>
                      <w:lang w:val="en-US" w:eastAsia="zh-CN"/>
                    </w:rPr>
                  </w:pPr>
                  <w:r>
                    <w:rPr>
                      <w:rFonts w:hint="eastAsia"/>
                      <w:color w:val="auto"/>
                    </w:rPr>
                    <w:t>6</w:t>
                  </w:r>
                  <w:r>
                    <w:rPr>
                      <w:rFonts w:hint="eastAsia"/>
                      <w:color w:val="auto"/>
                      <w:lang w:val="en-US" w:eastAsia="zh-CN"/>
                    </w:rPr>
                    <w:t>5</w:t>
                  </w:r>
                </w:p>
              </w:tc>
              <w:tc>
                <w:tcPr>
                  <w:tcW w:w="172" w:type="dxa"/>
                  <w:tcBorders>
                    <w:left w:val="single" w:sz="4" w:space="0" w:color="auto"/>
                  </w:tcBorders>
                  <w:vAlign w:val="center"/>
                </w:tcPr>
                <w:p>
                  <w:pPr>
                    <w:pStyle w:val="39"/>
                    <w:rPr>
                      <w:rFonts w:eastAsia="宋体"/>
                      <w:color w:val="auto"/>
                      <w:lang w:val="en-US" w:eastAsia="zh-CN"/>
                    </w:rPr>
                  </w:pPr>
                  <w:r>
                    <w:rPr>
                      <w:rFonts w:hint="eastAsia"/>
                      <w:color w:val="auto"/>
                      <w:lang w:val="en-US" w:eastAsia="zh-CN"/>
                    </w:rPr>
                    <w:t>55</w:t>
                  </w:r>
                </w:p>
              </w:tc>
            </w:tr>
          </w:tbl>
          <w:p>
            <w:pPr>
              <w:rPr>
                <w:color w:val="auto"/>
              </w:rPr>
            </w:pPr>
            <w:r>
              <w:rPr>
                <w:color w:val="auto"/>
                <w:highlight w:val="none"/>
              </w:rPr>
              <w:t>经采取以上措施，项目运营期</w:t>
            </w:r>
            <w:r>
              <w:rPr>
                <w:rFonts w:hint="eastAsia"/>
                <w:color w:val="auto"/>
                <w:highlight w:val="none"/>
              </w:rPr>
              <w:t>对</w:t>
            </w:r>
            <w:r>
              <w:rPr>
                <w:rFonts w:hint="eastAsia"/>
                <w:color w:val="auto"/>
                <w:lang w:val="en-US" w:eastAsia="zh-CN"/>
                <w:highlight w:val="none"/>
              </w:rPr>
              <w:t>河北卓峰化肥有限公司</w:t>
            </w:r>
            <w:r>
              <w:rPr>
                <w:color w:val="auto"/>
                <w:highlight w:val="none"/>
              </w:rPr>
              <w:t>厂界昼间噪声</w:t>
            </w:r>
            <w:r>
              <w:rPr>
                <w:rFonts w:hint="eastAsia"/>
                <w:color w:val="auto"/>
                <w:highlight w:val="none"/>
              </w:rPr>
              <w:t>贡献</w:t>
            </w:r>
            <w:r>
              <w:rPr>
                <w:color w:val="auto"/>
                <w:highlight w:val="none"/>
              </w:rPr>
              <w:t>值为</w:t>
            </w:r>
            <w:r>
              <w:rPr>
                <w:rFonts w:hint="eastAsia"/>
                <w:color w:val="auto"/>
                <w:lang w:val="en-US" w:eastAsia="zh-CN"/>
                <w:highlight w:val="none"/>
              </w:rPr>
              <w:t>31.14</w:t>
            </w:r>
            <w:r>
              <w:rPr>
                <w:rFonts w:hint="eastAsia"/>
                <w:color w:val="auto"/>
                <w:highlight w:val="none"/>
              </w:rPr>
              <w:t>-</w:t>
            </w:r>
            <w:r>
              <w:rPr>
                <w:rFonts w:hint="eastAsia"/>
                <w:color w:val="auto"/>
                <w:lang w:val="en-US" w:eastAsia="zh-CN"/>
                <w:highlight w:val="none"/>
              </w:rPr>
              <w:t>52.87</w:t>
            </w:r>
            <w:r>
              <w:rPr>
                <w:color w:val="auto"/>
                <w:highlight w:val="none"/>
              </w:rPr>
              <w:t>dB(A)，</w:t>
            </w:r>
            <w:r>
              <w:rPr>
                <w:rFonts w:hint="eastAsia"/>
                <w:color w:val="auto"/>
                <w:lang w:val="en-US" w:eastAsia="zh-CN"/>
                <w:highlight w:val="none"/>
              </w:rPr>
              <w:t>夜间</w:t>
            </w:r>
            <w:r>
              <w:rPr>
                <w:color w:val="auto"/>
                <w:highlight w:val="none"/>
              </w:rPr>
              <w:t>噪声</w:t>
            </w:r>
            <w:r>
              <w:rPr>
                <w:rFonts w:hint="eastAsia"/>
                <w:color w:val="auto"/>
                <w:highlight w:val="none"/>
              </w:rPr>
              <w:t>贡献</w:t>
            </w:r>
            <w:r>
              <w:rPr>
                <w:color w:val="auto"/>
                <w:highlight w:val="none"/>
              </w:rPr>
              <w:t>值为</w:t>
            </w:r>
            <w:r>
              <w:rPr>
                <w:rFonts w:hint="eastAsia"/>
                <w:color w:val="auto"/>
                <w:lang w:val="en-US" w:eastAsia="zh-CN"/>
                <w:highlight w:val="none"/>
              </w:rPr>
              <w:t>31.14</w:t>
            </w:r>
            <w:r>
              <w:rPr>
                <w:rFonts w:hint="eastAsia"/>
                <w:color w:val="auto"/>
                <w:highlight w:val="none"/>
              </w:rPr>
              <w:t>-</w:t>
            </w:r>
            <w:r>
              <w:rPr>
                <w:rFonts w:hint="eastAsia"/>
                <w:color w:val="auto"/>
                <w:lang w:val="en-US" w:eastAsia="zh-CN"/>
                <w:highlight w:val="none"/>
              </w:rPr>
              <w:t>52.87</w:t>
            </w:r>
            <w:r>
              <w:rPr>
                <w:color w:val="auto"/>
                <w:highlight w:val="none"/>
              </w:rPr>
              <w:t>dB(A)</w:t>
            </w:r>
            <w:r>
              <w:rPr>
                <w:rFonts w:hint="eastAsia"/>
                <w:color w:val="auto"/>
                <w:lang w:eastAsia="zh-CN"/>
                <w:highlight w:val="none"/>
              </w:rPr>
              <w:t>，</w:t>
            </w:r>
            <w:r>
              <w:rPr>
                <w:rFonts w:hint="eastAsia"/>
                <w:color w:val="auto"/>
                <w:lang w:val="en-US" w:eastAsia="zh-CN"/>
                <w:highlight w:val="none"/>
              </w:rPr>
              <w:t>均</w:t>
            </w:r>
            <w:r>
              <w:rPr>
                <w:color w:val="auto"/>
              </w:rPr>
              <w:t>满足《工业企业厂界环境噪声排放标准》（GB12348-2008）</w:t>
            </w:r>
            <w:r>
              <w:rPr>
                <w:rFonts w:hint="eastAsia"/>
                <w:color w:val="auto"/>
                <w:lang w:val="en-US" w:eastAsia="zh-CN"/>
              </w:rPr>
              <w:t>3</w:t>
            </w:r>
            <w:r>
              <w:rPr>
                <w:color w:val="auto"/>
              </w:rPr>
              <w:t>类标准</w:t>
            </w:r>
            <w:r>
              <w:rPr>
                <w:rFonts w:hint="eastAsia"/>
                <w:color w:val="auto"/>
              </w:rPr>
              <w:t>。</w:t>
            </w:r>
          </w:p>
          <w:p>
            <w:pPr>
              <w:rPr>
                <w:color w:val="auto"/>
              </w:rPr>
            </w:pPr>
            <w:r>
              <w:rPr>
                <w:color w:val="auto"/>
              </w:rPr>
              <w:t>综上，</w:t>
            </w:r>
            <w:r>
              <w:rPr>
                <w:rFonts w:hint="eastAsia"/>
                <w:color w:val="auto"/>
              </w:rPr>
              <w:t>本</w:t>
            </w:r>
            <w:r>
              <w:rPr>
                <w:color w:val="auto"/>
              </w:rPr>
              <w:t>项目</w:t>
            </w:r>
            <w:r>
              <w:rPr>
                <w:rFonts w:hint="eastAsia"/>
                <w:color w:val="auto"/>
              </w:rPr>
              <w:t>采取一定</w:t>
            </w:r>
            <w:r>
              <w:rPr>
                <w:rFonts w:hint="eastAsia"/>
                <w:color w:val="auto"/>
                <w:lang w:val="en-US" w:eastAsia="zh-CN"/>
              </w:rPr>
              <w:t>噪声</w:t>
            </w:r>
            <w:r>
              <w:rPr>
                <w:rFonts w:hint="eastAsia"/>
                <w:color w:val="auto"/>
              </w:rPr>
              <w:t>防治措施后</w:t>
            </w:r>
            <w:r>
              <w:rPr>
                <w:color w:val="auto"/>
              </w:rPr>
              <w:t>对周围声环境影响较小。</w:t>
            </w:r>
          </w:p>
          <w:p>
            <w:pPr>
              <w:rPr>
                <w:color w:val="auto"/>
              </w:rPr>
            </w:pPr>
            <w:r>
              <w:rPr>
                <w:rFonts w:hint="eastAsia"/>
                <w:color w:val="auto"/>
              </w:rPr>
              <w:t>（6）噪声监测频次</w:t>
            </w:r>
          </w:p>
          <w:p>
            <w:pPr>
              <w:rPr>
                <w:color w:val="auto"/>
              </w:rPr>
            </w:pPr>
            <w:r>
              <w:rPr>
                <w:color w:val="auto"/>
              </w:rPr>
              <w:t>根据《排污单位自行监测技术指南</w:t>
            </w:r>
            <w:r>
              <w:rPr>
                <w:rFonts w:hint="eastAsia"/>
                <w:color w:val="auto"/>
              </w:rPr>
              <w:t xml:space="preserve"> </w:t>
            </w:r>
            <w:r>
              <w:rPr>
                <w:color w:val="auto"/>
              </w:rPr>
              <w:t>总则》</w:t>
            </w:r>
            <w:r>
              <w:rPr>
                <w:rFonts w:hint="eastAsia"/>
                <w:color w:val="auto"/>
              </w:rPr>
              <w:t>（</w:t>
            </w:r>
            <w:r>
              <w:rPr>
                <w:color w:val="auto"/>
              </w:rPr>
              <w:t>HJ819-2017</w:t>
            </w:r>
            <w:r>
              <w:rPr>
                <w:rFonts w:hint="eastAsia"/>
                <w:color w:val="auto"/>
              </w:rPr>
              <w:t>）</w:t>
            </w:r>
            <w:r>
              <w:rPr>
                <w:color w:val="auto"/>
              </w:rPr>
              <w:t>可知，厂界环境噪声每季度至少开展一次监测，监测方案见下表。</w:t>
            </w:r>
          </w:p>
          <w:p>
            <w:pPr>
              <w:pStyle w:val="40"/>
              <w:rPr>
                <w:color w:val="auto"/>
              </w:rPr>
            </w:pPr>
            <w:r>
              <w:rPr>
                <w:color w:val="auto"/>
              </w:rPr>
              <w:t>表4-1</w:t>
            </w:r>
            <w:r>
              <w:rPr>
                <w:rFonts w:hint="eastAsia"/>
                <w:color w:val="auto"/>
                <w:lang w:val="en-US" w:eastAsia="zh-CN"/>
              </w:rPr>
              <w:t>4</w:t>
            </w:r>
            <w:r>
              <w:rPr>
                <w:rFonts w:hint="eastAsia"/>
                <w:color w:val="auto"/>
              </w:rPr>
              <w:t xml:space="preserve">   </w:t>
            </w:r>
            <w:r>
              <w:rPr>
                <w:color w:val="auto"/>
              </w:rPr>
              <w:t>噪声监测要求</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49"/>
              <w:gridCol w:w="1656"/>
              <w:gridCol w:w="1260"/>
              <w:gridCol w:w="1328"/>
              <w:gridCol w:w="3378"/>
            </w:tblGrid>
            <w:tr>
              <w:trPr>
                <w:trHeight w:val="79"/>
              </w:trPr>
              <w:tc>
                <w:tcPr>
                  <w:tcW w:w="447" w:type="pct"/>
                  <w:tcBorders>
                    <w:tl2br w:val="nil"/>
                    <w:tr2bl w:val="nil"/>
                  </w:tcBorders>
                  <w:vAlign w:val="center"/>
                </w:tcPr>
                <w:p>
                  <w:pPr>
                    <w:pStyle w:val="39"/>
                    <w:rPr>
                      <w:color w:val="auto"/>
                    </w:rPr>
                  </w:pPr>
                  <w:r>
                    <w:rPr>
                      <w:color w:val="auto"/>
                    </w:rPr>
                    <w:t>类别</w:t>
                  </w:r>
                </w:p>
              </w:tc>
              <w:tc>
                <w:tcPr>
                  <w:tcW w:w="989" w:type="pct"/>
                  <w:tcBorders>
                    <w:tl2br w:val="nil"/>
                    <w:tr2bl w:val="nil"/>
                  </w:tcBorders>
                  <w:vAlign w:val="center"/>
                </w:tcPr>
                <w:p>
                  <w:pPr>
                    <w:pStyle w:val="39"/>
                    <w:rPr>
                      <w:color w:val="auto"/>
                    </w:rPr>
                  </w:pPr>
                  <w:r>
                    <w:rPr>
                      <w:color w:val="auto"/>
                    </w:rPr>
                    <w:t>监测点位</w:t>
                  </w:r>
                </w:p>
              </w:tc>
              <w:tc>
                <w:tcPr>
                  <w:tcW w:w="752" w:type="pct"/>
                  <w:tcBorders>
                    <w:tl2br w:val="nil"/>
                    <w:tr2bl w:val="nil"/>
                  </w:tcBorders>
                  <w:vAlign w:val="center"/>
                </w:tcPr>
                <w:p>
                  <w:pPr>
                    <w:pStyle w:val="39"/>
                    <w:rPr>
                      <w:color w:val="auto"/>
                    </w:rPr>
                  </w:pPr>
                  <w:r>
                    <w:rPr>
                      <w:color w:val="auto"/>
                    </w:rPr>
                    <w:t>监测指标</w:t>
                  </w:r>
                </w:p>
              </w:tc>
              <w:tc>
                <w:tcPr>
                  <w:tcW w:w="793" w:type="pct"/>
                  <w:tcBorders>
                    <w:tl2br w:val="nil"/>
                    <w:tr2bl w:val="nil"/>
                  </w:tcBorders>
                  <w:vAlign w:val="center"/>
                </w:tcPr>
                <w:p>
                  <w:pPr>
                    <w:pStyle w:val="39"/>
                    <w:rPr>
                      <w:color w:val="auto"/>
                    </w:rPr>
                  </w:pPr>
                  <w:r>
                    <w:rPr>
                      <w:color w:val="auto"/>
                    </w:rPr>
                    <w:t>监测频次</w:t>
                  </w:r>
                </w:p>
              </w:tc>
              <w:tc>
                <w:tcPr>
                  <w:tcW w:w="2017" w:type="pct"/>
                  <w:tcBorders>
                    <w:tl2br w:val="nil"/>
                    <w:tr2bl w:val="nil"/>
                  </w:tcBorders>
                  <w:vAlign w:val="center"/>
                </w:tcPr>
                <w:p>
                  <w:pPr>
                    <w:pStyle w:val="39"/>
                    <w:rPr>
                      <w:color w:val="auto"/>
                    </w:rPr>
                  </w:pPr>
                  <w:r>
                    <w:rPr>
                      <w:color w:val="auto"/>
                    </w:rPr>
                    <w:t>执行排放标准</w:t>
                  </w:r>
                </w:p>
              </w:tc>
            </w:tr>
            <w:tr>
              <w:trPr>
                <w:trHeight w:val="79"/>
              </w:trPr>
              <w:tc>
                <w:tcPr>
                  <w:tcW w:w="447" w:type="pct"/>
                  <w:tcBorders>
                    <w:tl2br w:val="nil"/>
                    <w:tr2bl w:val="nil"/>
                  </w:tcBorders>
                  <w:vAlign w:val="center"/>
                </w:tcPr>
                <w:p>
                  <w:pPr>
                    <w:pStyle w:val="39"/>
                    <w:rPr>
                      <w:color w:val="auto"/>
                    </w:rPr>
                  </w:pPr>
                  <w:r>
                    <w:rPr>
                      <w:color w:val="auto"/>
                    </w:rPr>
                    <w:t>噪声</w:t>
                  </w:r>
                </w:p>
              </w:tc>
              <w:tc>
                <w:tcPr>
                  <w:tcW w:w="989" w:type="pct"/>
                  <w:tcBorders>
                    <w:tl2br w:val="nil"/>
                    <w:tr2bl w:val="nil"/>
                  </w:tcBorders>
                  <w:vAlign w:val="center"/>
                </w:tcPr>
                <w:p>
                  <w:pPr>
                    <w:pStyle w:val="39"/>
                    <w:rPr>
                      <w:color w:val="auto"/>
                    </w:rPr>
                  </w:pPr>
                  <w:r>
                    <w:rPr>
                      <w:rFonts w:hint="eastAsia"/>
                      <w:color w:val="auto"/>
                    </w:rPr>
                    <w:t>厂界</w:t>
                  </w:r>
                </w:p>
              </w:tc>
              <w:tc>
                <w:tcPr>
                  <w:tcW w:w="752" w:type="pct"/>
                  <w:tcBorders>
                    <w:tl2br w:val="nil"/>
                    <w:tr2bl w:val="nil"/>
                  </w:tcBorders>
                  <w:vAlign w:val="center"/>
                </w:tcPr>
                <w:p>
                  <w:pPr>
                    <w:pStyle w:val="39"/>
                    <w:rPr>
                      <w:rFonts w:eastAsia="宋体"/>
                      <w:color w:val="auto"/>
                      <w:lang w:val="en-US" w:eastAsia="zh-CN"/>
                    </w:rPr>
                  </w:pPr>
                  <w:r>
                    <w:rPr>
                      <w:color w:val="auto"/>
                    </w:rPr>
                    <w:t>等效连续A声级</w:t>
                  </w:r>
                  <w:r>
                    <w:rPr>
                      <w:rFonts w:hint="eastAsia"/>
                      <w:color w:val="auto"/>
                      <w:lang w:eastAsia="zh-CN"/>
                    </w:rPr>
                    <w:t>；</w:t>
                  </w:r>
                  <w:r>
                    <w:rPr>
                      <w:rFonts w:hint="eastAsia"/>
                      <w:color w:val="auto"/>
                      <w:lang w:val="en-US" w:eastAsia="zh-CN"/>
                    </w:rPr>
                    <w:t>最大声级计</w:t>
                  </w:r>
                </w:p>
              </w:tc>
              <w:tc>
                <w:tcPr>
                  <w:tcW w:w="793" w:type="pct"/>
                  <w:tcBorders>
                    <w:tl2br w:val="nil"/>
                    <w:tr2bl w:val="nil"/>
                  </w:tcBorders>
                  <w:vAlign w:val="center"/>
                </w:tcPr>
                <w:p>
                  <w:pPr>
                    <w:pStyle w:val="39"/>
                    <w:rPr>
                      <w:color w:val="auto"/>
                    </w:rPr>
                  </w:pPr>
                  <w:r>
                    <w:rPr>
                      <w:color w:val="auto"/>
                    </w:rPr>
                    <w:t>1次/季度</w:t>
                  </w:r>
                </w:p>
              </w:tc>
              <w:tc>
                <w:tcPr>
                  <w:tcW w:w="2017" w:type="pct"/>
                  <w:tcBorders>
                    <w:tl2br w:val="nil"/>
                    <w:tr2bl w:val="nil"/>
                  </w:tcBorders>
                  <w:vAlign w:val="center"/>
                </w:tcPr>
                <w:p>
                  <w:pPr>
                    <w:pStyle w:val="39"/>
                    <w:rPr>
                      <w:color w:val="auto"/>
                    </w:rPr>
                  </w:pPr>
                  <w:r>
                    <w:rPr>
                      <w:color w:val="auto"/>
                    </w:rPr>
                    <w:t>《工业企业厂界环境噪声排放标准》（GB12348-2008）</w:t>
                  </w:r>
                  <w:r>
                    <w:rPr>
                      <w:rFonts w:hint="eastAsia"/>
                      <w:color w:val="auto"/>
                      <w:lang w:val="en-US" w:eastAsia="zh-CN"/>
                    </w:rPr>
                    <w:t>3</w:t>
                  </w:r>
                  <w:r>
                    <w:rPr>
                      <w:color w:val="auto"/>
                    </w:rPr>
                    <w:t>类标准</w:t>
                  </w:r>
                </w:p>
              </w:tc>
            </w:tr>
          </w:tbl>
          <w:p>
            <w:pPr>
              <w:rPr>
                <w:b/>
                <w:bCs/>
                <w:snapToGrid w:val="0"/>
                <w:color w:val="auto"/>
                <w:kern w:val="0"/>
              </w:rPr>
            </w:pPr>
            <w:r>
              <w:rPr>
                <w:rFonts w:hint="eastAsia"/>
                <w:b/>
                <w:bCs/>
                <w:snapToGrid w:val="0"/>
                <w:color w:val="auto"/>
                <w:kern w:val="0"/>
              </w:rPr>
              <w:t>四</w:t>
            </w:r>
            <w:r>
              <w:rPr>
                <w:b/>
                <w:bCs/>
                <w:snapToGrid w:val="0"/>
                <w:color w:val="auto"/>
                <w:kern w:val="0"/>
              </w:rPr>
              <w:t>、固体废物</w:t>
            </w:r>
          </w:p>
          <w:p>
            <w:pPr>
              <w:rPr>
                <w:color w:val="auto"/>
                <w:kern w:val="0"/>
                <w:highlight w:val="yellow"/>
              </w:rPr>
            </w:pPr>
            <w:r>
              <w:rPr>
                <w:rFonts w:hint="eastAsia"/>
                <w:color w:val="auto"/>
                <w:szCs w:val="32"/>
                <w:lang w:val="en-US" w:eastAsia="zh-CN"/>
              </w:rPr>
              <w:t>本项目不新增劳动定员，不新增生活垃圾。</w:t>
            </w:r>
            <w:r>
              <w:rPr>
                <w:rFonts w:hint="eastAsia"/>
                <w:color w:val="auto"/>
                <w:szCs w:val="32"/>
              </w:rPr>
              <w:t>本项目</w:t>
            </w:r>
            <w:r>
              <w:rPr>
                <w:color w:val="auto"/>
                <w:kern w:val="0"/>
              </w:rPr>
              <w:t>运营期固体废物主要</w:t>
            </w:r>
            <w:r>
              <w:rPr>
                <w:rFonts w:hint="eastAsia"/>
                <w:color w:val="auto"/>
                <w:kern w:val="0"/>
                <w:lang w:val="en-US" w:eastAsia="zh-CN"/>
              </w:rPr>
              <w:t>为原料废包装袋、化验室废液、化验室废包装、废机油、废润滑油、废油桶、除尘灰、废活性炭、废干式酸雾净化器吸附剂。</w:t>
            </w:r>
            <w:r>
              <w:rPr>
                <w:rFonts w:hint="eastAsia"/>
                <w:color w:val="auto"/>
                <w:kern w:val="0"/>
                <w:lang w:val="en-US" w:eastAsia="zh-CN"/>
                <w:highlight w:val="none"/>
              </w:rPr>
              <w:t>其中，原料废包装袋统一收集后外售，除尘灰回用于生产。化验室废液、化验室废包装、废机油、废润滑油、废油桶、废活性炭、废干式酸雾净化器吸附剂分类密闭容器收集后暂存危废间，定期送有资质单位处理。</w:t>
            </w:r>
          </w:p>
          <w:p>
            <w:pPr>
              <w:rPr>
                <w:color w:val="auto"/>
                <w:kern w:val="0"/>
                <w:lang w:val="en-US"/>
                <w:highlight w:val="none"/>
              </w:rPr>
            </w:pPr>
            <w:r>
              <w:rPr>
                <w:rFonts w:hint="eastAsia"/>
                <w:color w:val="auto"/>
                <w:kern w:val="0"/>
                <w:lang w:val="en-US" w:eastAsia="zh-CN"/>
                <w:highlight w:val="none"/>
              </w:rPr>
              <w:t>本项目固体废物全部妥善处置，不外排，不会对周围环境产生污染影响。</w:t>
            </w:r>
          </w:p>
          <w:p>
            <w:pPr>
              <w:rPr>
                <w:color w:val="auto"/>
              </w:rPr>
            </w:pPr>
            <w:r>
              <w:rPr>
                <w:rFonts w:hint="eastAsia"/>
                <w:color w:val="auto"/>
              </w:rPr>
              <w:t>1、</w:t>
            </w:r>
            <w:r>
              <w:rPr>
                <w:color w:val="auto"/>
              </w:rPr>
              <w:t>一般</w:t>
            </w:r>
            <w:r>
              <w:rPr>
                <w:rFonts w:hint="eastAsia"/>
                <w:color w:val="auto"/>
              </w:rPr>
              <w:t>固体废物</w:t>
            </w:r>
          </w:p>
          <w:p>
            <w:pPr>
              <w:rPr>
                <w:color w:val="auto"/>
                <w:kern w:val="0"/>
                <w:highlight w:val="none"/>
              </w:rPr>
            </w:pPr>
            <w:r>
              <w:rPr>
                <w:rFonts w:hint="eastAsia"/>
                <w:color w:val="auto"/>
              </w:rPr>
              <w:t>（1）一般固体废物产生情况</w:t>
            </w:r>
          </w:p>
          <w:p>
            <w:pPr>
              <w:rPr>
                <w:color w:val="auto"/>
                <w:kern w:val="0"/>
                <w:lang w:val="en-US" w:eastAsia="zh-CN"/>
                <w:highlight w:val="none"/>
              </w:rPr>
            </w:pPr>
            <w:r>
              <w:rPr>
                <w:rFonts w:hint="eastAsia"/>
                <w:color w:val="auto"/>
                <w:kern w:val="0"/>
                <w:lang w:val="en-US" w:eastAsia="zh-CN"/>
                <w:highlight w:val="none"/>
              </w:rPr>
              <w:t>①原料包装袋</w:t>
            </w:r>
          </w:p>
          <w:p>
            <w:pPr>
              <w:rPr>
                <w:color w:val="auto"/>
                <w:kern w:val="0"/>
                <w:highlight w:val="yellow"/>
              </w:rPr>
            </w:pPr>
            <w:r>
              <w:rPr>
                <w:rFonts w:hint="eastAsia"/>
                <w:color w:val="auto"/>
                <w:kern w:val="0"/>
                <w:lang w:val="en-US" w:eastAsia="zh-CN"/>
                <w:highlight w:val="none"/>
              </w:rPr>
              <w:t>根据企业提供资料，本项目原料包装袋产生量约2.05t/a</w:t>
            </w:r>
            <w:r>
              <w:rPr>
                <w:rFonts w:hint="eastAsia"/>
                <w:color w:val="auto"/>
                <w:kern w:val="0"/>
                <w:highlight w:val="none"/>
              </w:rPr>
              <w:t>，</w:t>
            </w:r>
            <w:r>
              <w:rPr>
                <w:rFonts w:hint="eastAsia"/>
                <w:color w:val="auto"/>
                <w:kern w:val="0"/>
                <w:lang w:val="en-US" w:eastAsia="zh-CN"/>
                <w:highlight w:val="none"/>
              </w:rPr>
              <w:t>统一收集后外售</w:t>
            </w:r>
            <w:r>
              <w:rPr>
                <w:rFonts w:hint="eastAsia"/>
                <w:color w:val="auto"/>
                <w:kern w:val="0"/>
                <w:highlight w:val="none"/>
              </w:rPr>
              <w:t>。</w:t>
            </w:r>
          </w:p>
          <w:p>
            <w:pPr>
              <w:rPr>
                <w:rFonts w:hint="eastAsia"/>
                <w:color w:val="auto"/>
                <w:kern w:val="0"/>
                <w:highlight w:val="none"/>
              </w:rPr>
            </w:pPr>
            <w:r>
              <w:rPr>
                <w:rFonts w:hint="eastAsia"/>
                <w:color w:val="auto"/>
                <w:kern w:val="0"/>
                <w:lang w:val="en-US" w:eastAsia="zh-CN"/>
                <w:highlight w:val="none"/>
              </w:rPr>
              <w:t>②</w:t>
            </w:r>
            <w:r>
              <w:rPr>
                <w:rFonts w:hint="eastAsia"/>
                <w:color w:val="auto"/>
                <w:kern w:val="0"/>
                <w:highlight w:val="none"/>
              </w:rPr>
              <w:t>除尘灰</w:t>
            </w:r>
          </w:p>
          <w:p>
            <w:pPr>
              <w:rPr>
                <w:color w:val="auto"/>
                <w:kern w:val="0"/>
              </w:rPr>
            </w:pPr>
            <w:r>
              <w:rPr>
                <w:color w:val="auto"/>
                <w:highlight w:val="none"/>
              </w:rPr>
              <w:t>根据</w:t>
            </w:r>
            <w:r>
              <w:rPr>
                <w:rFonts w:hint="eastAsia"/>
                <w:color w:val="auto"/>
                <w:lang w:val="en-US" w:eastAsia="zh-CN"/>
                <w:highlight w:val="none"/>
              </w:rPr>
              <w:t>现有工程检测报告和项目</w:t>
            </w:r>
            <w:r>
              <w:rPr>
                <w:rFonts w:hint="eastAsia"/>
                <w:color w:val="auto"/>
                <w:highlight w:val="none"/>
              </w:rPr>
              <w:t>废气</w:t>
            </w:r>
            <w:r>
              <w:rPr>
                <w:color w:val="auto"/>
                <w:highlight w:val="none"/>
              </w:rPr>
              <w:t>源强核算，</w:t>
            </w:r>
            <w:r>
              <w:rPr>
                <w:rFonts w:hint="eastAsia"/>
                <w:color w:val="auto"/>
                <w:lang w:val="en-US" w:eastAsia="zh-CN"/>
                <w:highlight w:val="none"/>
              </w:rPr>
              <w:t>本项目建成后全厂</w:t>
            </w:r>
            <w:r>
              <w:rPr>
                <w:rFonts w:hint="eastAsia"/>
                <w:color w:val="auto"/>
                <w:highlight w:val="none"/>
              </w:rPr>
              <w:t>除尘灰</w:t>
            </w:r>
            <w:r>
              <w:rPr>
                <w:color w:val="auto"/>
                <w:highlight w:val="none"/>
              </w:rPr>
              <w:t>产生量</w:t>
            </w:r>
            <w:r>
              <w:rPr>
                <w:rFonts w:hint="eastAsia"/>
                <w:color w:val="auto"/>
                <w:lang w:val="en-US" w:eastAsia="zh-CN"/>
                <w:highlight w:val="none"/>
              </w:rPr>
              <w:t>约</w:t>
            </w:r>
            <w:r>
              <w:rPr>
                <w:color w:val="auto"/>
                <w:highlight w:val="none"/>
              </w:rPr>
              <w:t>为</w:t>
            </w:r>
            <w:r>
              <w:rPr>
                <w:rFonts w:hint="eastAsia"/>
                <w:color w:val="auto"/>
                <w:lang w:val="en-US" w:eastAsia="zh-CN"/>
                <w:highlight w:val="none"/>
              </w:rPr>
              <w:t>1103.15</w:t>
            </w:r>
            <w:r>
              <w:rPr>
                <w:color w:val="auto"/>
                <w:highlight w:val="none"/>
              </w:rPr>
              <w:t>t/a</w:t>
            </w:r>
            <w:r>
              <w:rPr>
                <w:rFonts w:hint="eastAsia"/>
                <w:color w:val="auto"/>
                <w:highlight w:val="none"/>
              </w:rPr>
              <w:t>，</w:t>
            </w:r>
            <w:r>
              <w:rPr>
                <w:rFonts w:hint="eastAsia"/>
                <w:color w:val="auto"/>
                <w:lang w:val="en-US" w:eastAsia="zh-CN"/>
                <w:highlight w:val="none"/>
              </w:rPr>
              <w:t>全部回用于生产</w:t>
            </w:r>
            <w:r>
              <w:rPr>
                <w:rFonts w:hint="eastAsia"/>
                <w:color w:val="auto"/>
                <w:highlight w:val="none"/>
              </w:rPr>
              <w:t>。</w:t>
            </w:r>
          </w:p>
          <w:p>
            <w:pPr>
              <w:rPr>
                <w:color w:val="auto"/>
                <w:kern w:val="0"/>
              </w:rPr>
            </w:pPr>
            <w:r>
              <w:rPr>
                <w:rFonts w:hint="eastAsia"/>
                <w:color w:val="auto"/>
                <w:kern w:val="0"/>
              </w:rPr>
              <w:t>2、</w:t>
            </w:r>
            <w:r>
              <w:rPr>
                <w:color w:val="auto"/>
                <w:kern w:val="0"/>
              </w:rPr>
              <w:t>危险废物</w:t>
            </w:r>
          </w:p>
          <w:p>
            <w:pPr>
              <w:rPr>
                <w:color w:val="auto"/>
                <w:kern w:val="0"/>
              </w:rPr>
            </w:pPr>
            <w:r>
              <w:rPr>
                <w:rFonts w:hint="eastAsia"/>
                <w:color w:val="auto"/>
                <w:kern w:val="0"/>
              </w:rPr>
              <w:t>（1）危险废物产生情况</w:t>
            </w:r>
          </w:p>
          <w:p>
            <w:pPr>
              <w:rPr>
                <w:rFonts w:hint="eastAsia"/>
                <w:color w:val="auto"/>
                <w:szCs w:val="32"/>
                <w:lang w:val="en-US" w:eastAsia="zh-CN"/>
              </w:rPr>
            </w:pPr>
            <w:r>
              <w:rPr>
                <w:rFonts w:hint="eastAsia"/>
                <w:color w:val="auto"/>
                <w:szCs w:val="32"/>
              </w:rPr>
              <w:t>①</w:t>
            </w:r>
            <w:r>
              <w:rPr>
                <w:rFonts w:hint="eastAsia"/>
                <w:color w:val="auto"/>
                <w:szCs w:val="32"/>
                <w:lang w:val="en-US" w:eastAsia="zh-CN"/>
              </w:rPr>
              <w:t>化验室废液</w:t>
            </w:r>
          </w:p>
          <w:p>
            <w:pPr>
              <w:rPr>
                <w:color w:val="auto"/>
                <w:szCs w:val="32"/>
                <w:lang w:val="en-US" w:eastAsia="zh-CN"/>
              </w:rPr>
            </w:pPr>
            <w:r>
              <w:rPr>
                <w:color w:val="auto"/>
                <w:szCs w:val="32"/>
                <w:lang w:val="en-US" w:eastAsia="zh-CN"/>
              </w:rPr>
              <w:t>本项目</w:t>
            </w:r>
            <w:r>
              <w:rPr>
                <w:rFonts w:hint="eastAsia"/>
                <w:color w:val="auto"/>
                <w:szCs w:val="32"/>
                <w:lang w:val="en-US" w:eastAsia="zh-CN"/>
              </w:rPr>
              <w:t>生产过程中化验室抽样检测</w:t>
            </w:r>
            <w:r>
              <w:rPr>
                <w:color w:val="auto"/>
                <w:szCs w:val="32"/>
                <w:lang w:val="en-US" w:eastAsia="zh-CN"/>
              </w:rPr>
              <w:t>过程会产生化验室废液，化验室废液</w:t>
            </w:r>
            <w:r>
              <w:rPr>
                <w:rFonts w:hint="eastAsia"/>
                <w:color w:val="auto"/>
                <w:szCs w:val="32"/>
                <w:lang w:val="en-US" w:eastAsia="zh-CN"/>
              </w:rPr>
              <w:t>不新增与现有工程一致产生量</w:t>
            </w:r>
            <w:r>
              <w:rPr>
                <w:color w:val="auto"/>
                <w:szCs w:val="32"/>
                <w:lang w:val="en-US" w:eastAsia="zh-CN"/>
              </w:rPr>
              <w:t>为</w:t>
            </w:r>
            <w:r>
              <w:rPr>
                <w:rFonts w:hint="eastAsia"/>
                <w:color w:val="auto"/>
                <w:szCs w:val="32"/>
                <w:lang w:val="en-US" w:eastAsia="zh-CN"/>
              </w:rPr>
              <w:t>1.2</w:t>
            </w:r>
            <w:r>
              <w:rPr>
                <w:color w:val="auto"/>
                <w:szCs w:val="32"/>
                <w:lang w:val="en-US" w:eastAsia="zh-CN"/>
              </w:rPr>
              <w:t>t/a，</w:t>
            </w:r>
            <w:r>
              <w:rPr>
                <w:rFonts w:hint="eastAsia"/>
                <w:color w:val="auto"/>
                <w:szCs w:val="32"/>
                <w:lang w:val="en-US" w:eastAsia="zh-CN"/>
              </w:rPr>
              <w:t>密闭容器</w:t>
            </w:r>
            <w:r>
              <w:rPr>
                <w:color w:val="auto"/>
                <w:szCs w:val="32"/>
                <w:lang w:val="en-US" w:eastAsia="zh-CN"/>
              </w:rPr>
              <w:t>收集后暂存危废间，定期交由有资质单位处置。</w:t>
            </w:r>
          </w:p>
          <w:p>
            <w:pPr>
              <w:rPr>
                <w:color w:val="auto"/>
                <w:lang w:val="en-US" w:eastAsia="zh-CN"/>
                <w:highlight w:val="none"/>
              </w:rPr>
            </w:pPr>
            <w:r>
              <w:rPr>
                <w:rFonts w:hint="eastAsia"/>
                <w:color w:val="auto"/>
                <w:lang w:val="en-US" w:eastAsia="zh-CN"/>
                <w:highlight w:val="none"/>
              </w:rPr>
              <w:t>②化验室废包装</w:t>
            </w:r>
          </w:p>
          <w:p>
            <w:pPr>
              <w:pStyle w:val="15"/>
              <w:rPr>
                <w:color w:val="auto"/>
                <w:lang w:val="en-US" w:eastAsia="zh-CN"/>
              </w:rPr>
            </w:pPr>
            <w:r>
              <w:rPr>
                <w:color w:val="auto"/>
                <w:lang w:val="en-US" w:eastAsia="zh-CN"/>
              </w:rPr>
              <w:t>本项目生产过程中化验室抽样检测过程会产生化验室废</w:t>
            </w:r>
            <w:r>
              <w:rPr>
                <w:rFonts w:hint="eastAsia"/>
                <w:color w:val="auto"/>
                <w:lang w:val="en-US" w:eastAsia="zh-CN"/>
              </w:rPr>
              <w:t>包装</w:t>
            </w:r>
            <w:r>
              <w:rPr>
                <w:color w:val="auto"/>
                <w:lang w:val="en-US" w:eastAsia="zh-CN"/>
              </w:rPr>
              <w:t>，化验室废</w:t>
            </w:r>
            <w:r>
              <w:rPr>
                <w:rFonts w:hint="eastAsia"/>
                <w:color w:val="auto"/>
                <w:lang w:val="en-US" w:eastAsia="zh-CN"/>
              </w:rPr>
              <w:t>包装不新增</w:t>
            </w:r>
            <w:r>
              <w:rPr>
                <w:color w:val="auto"/>
                <w:lang w:val="en-US" w:eastAsia="zh-CN"/>
              </w:rPr>
              <w:t>与现有工程一致</w:t>
            </w:r>
            <w:r>
              <w:rPr>
                <w:rFonts w:hint="eastAsia"/>
                <w:color w:val="auto"/>
                <w:lang w:val="en-US" w:eastAsia="zh-CN"/>
              </w:rPr>
              <w:t>产生量</w:t>
            </w:r>
            <w:r>
              <w:rPr>
                <w:color w:val="auto"/>
                <w:lang w:val="en-US" w:eastAsia="zh-CN"/>
              </w:rPr>
              <w:t>为</w:t>
            </w:r>
            <w:r>
              <w:rPr>
                <w:rFonts w:hint="eastAsia"/>
                <w:color w:val="auto"/>
                <w:lang w:val="en-US" w:eastAsia="zh-CN"/>
              </w:rPr>
              <w:t>0.1</w:t>
            </w:r>
            <w:r>
              <w:rPr>
                <w:color w:val="auto"/>
                <w:lang w:val="en-US" w:eastAsia="zh-CN"/>
              </w:rPr>
              <w:t>t/a，密闭容器收集后暂存危废间，定期交由有资质单位处置。</w:t>
            </w:r>
          </w:p>
          <w:p>
            <w:pPr>
              <w:pStyle w:val="15"/>
              <w:rPr>
                <w:color w:val="auto"/>
                <w:lang w:val="en-US" w:eastAsia="zh-CN"/>
              </w:rPr>
            </w:pPr>
            <w:r>
              <w:rPr>
                <w:rFonts w:hint="eastAsia"/>
                <w:color w:val="auto"/>
                <w:lang w:val="en-US" w:eastAsia="zh-CN"/>
              </w:rPr>
              <w:t>③废机油、废润滑油</w:t>
            </w:r>
          </w:p>
          <w:p>
            <w:pPr>
              <w:rPr>
                <w:rFonts w:hint="eastAsia"/>
                <w:color w:val="auto"/>
                <w:lang w:val="en-US" w:eastAsia="zh-CN"/>
              </w:rPr>
            </w:pPr>
            <w:bookmarkStart w:id="7" w:name="_Hlk176797839"/>
            <w:r>
              <w:rPr>
                <w:color w:val="auto"/>
                <w:lang w:val="en-US" w:eastAsia="zh-CN"/>
              </w:rPr>
              <w:t>本项目设备维护过程会产生废</w:t>
            </w:r>
            <w:r>
              <w:rPr>
                <w:rFonts w:hint="eastAsia"/>
                <w:color w:val="auto"/>
                <w:lang w:val="en-US" w:eastAsia="zh-CN"/>
              </w:rPr>
              <w:t>机</w:t>
            </w:r>
            <w:r>
              <w:rPr>
                <w:color w:val="auto"/>
                <w:lang w:val="en-US" w:eastAsia="zh-CN"/>
              </w:rPr>
              <w:t>油</w:t>
            </w:r>
            <w:r>
              <w:rPr>
                <w:rFonts w:hint="eastAsia"/>
                <w:color w:val="auto"/>
                <w:lang w:val="en-US" w:eastAsia="zh-CN"/>
              </w:rPr>
              <w:t>和</w:t>
            </w:r>
            <w:r>
              <w:rPr>
                <w:color w:val="auto"/>
                <w:lang w:val="en-US" w:eastAsia="zh-CN"/>
              </w:rPr>
              <w:t>废</w:t>
            </w:r>
            <w:r>
              <w:rPr>
                <w:rFonts w:hint="eastAsia"/>
                <w:color w:val="auto"/>
                <w:lang w:val="en-US" w:eastAsia="zh-CN"/>
              </w:rPr>
              <w:t>润滑油</w:t>
            </w:r>
            <w:r>
              <w:rPr>
                <w:color w:val="auto"/>
                <w:lang w:val="en-US" w:eastAsia="zh-CN"/>
              </w:rPr>
              <w:t>，废机油和废润滑油</w:t>
            </w:r>
            <w:r>
              <w:rPr>
                <w:rFonts w:hint="eastAsia"/>
                <w:color w:val="auto"/>
                <w:lang w:val="en-US" w:eastAsia="zh-CN"/>
              </w:rPr>
              <w:t>不新增与现有工程一致</w:t>
            </w:r>
            <w:r>
              <w:rPr>
                <w:color w:val="auto"/>
                <w:lang w:val="en-US" w:eastAsia="zh-CN"/>
              </w:rPr>
              <w:t>产生量为0.</w:t>
            </w:r>
            <w:r>
              <w:rPr>
                <w:rFonts w:hint="eastAsia"/>
                <w:color w:val="auto"/>
                <w:lang w:val="en-US" w:eastAsia="zh-CN"/>
              </w:rPr>
              <w:t>5</w:t>
            </w:r>
            <w:r>
              <w:rPr>
                <w:color w:val="auto"/>
                <w:lang w:val="en-US" w:eastAsia="zh-CN"/>
              </w:rPr>
              <w:t>t/a，收集后暂存危废间，定期交由有资质单位处置。</w:t>
            </w:r>
          </w:p>
          <w:p>
            <w:pPr>
              <w:rPr>
                <w:rFonts w:hint="eastAsia"/>
                <w:color w:val="auto"/>
              </w:rPr>
            </w:pPr>
            <w:r>
              <w:rPr>
                <w:rFonts w:hint="eastAsia"/>
                <w:color w:val="auto"/>
                <w:lang w:val="en-US" w:eastAsia="zh-CN"/>
              </w:rPr>
              <w:t>④</w:t>
            </w:r>
            <w:bookmarkEnd w:id="7"/>
            <w:r>
              <w:rPr>
                <w:rFonts w:hint="eastAsia"/>
                <w:color w:val="auto"/>
                <w:lang w:val="en-US" w:eastAsia="zh-CN"/>
              </w:rPr>
              <w:t>废油桶</w:t>
            </w:r>
          </w:p>
          <w:p>
            <w:pPr>
              <w:rPr>
                <w:rFonts w:hint="eastAsia"/>
                <w:color w:val="auto"/>
              </w:rPr>
            </w:pPr>
            <w:r>
              <w:rPr>
                <w:rFonts w:hint="eastAsia"/>
                <w:color w:val="auto"/>
              </w:rPr>
              <w:t>本项目设备维护过程会产生废油桶，废</w:t>
            </w:r>
            <w:r>
              <w:rPr>
                <w:rFonts w:hint="eastAsia"/>
                <w:color w:val="auto"/>
                <w:lang w:val="en-US" w:eastAsia="zh-CN"/>
              </w:rPr>
              <w:t>油桶</w:t>
            </w:r>
            <w:r>
              <w:rPr>
                <w:rFonts w:hint="eastAsia"/>
                <w:color w:val="auto"/>
              </w:rPr>
              <w:t>产生量为</w:t>
            </w:r>
            <w:r>
              <w:rPr>
                <w:rFonts w:hint="eastAsia"/>
                <w:color w:val="auto"/>
                <w:lang w:val="en-US" w:eastAsia="zh-CN"/>
              </w:rPr>
              <w:t>0.05</w:t>
            </w:r>
            <w:r>
              <w:rPr>
                <w:rFonts w:hint="eastAsia"/>
                <w:color w:val="auto"/>
              </w:rPr>
              <w:t>t/a，收集后暂存危废间，定期交由有资质单位处置。</w:t>
            </w:r>
          </w:p>
          <w:p>
            <w:pPr>
              <w:rPr>
                <w:rFonts w:eastAsia="宋体"/>
                <w:color w:val="auto"/>
                <w:lang w:val="en-US" w:eastAsia="zh-CN"/>
              </w:rPr>
            </w:pPr>
            <w:r>
              <w:rPr>
                <w:rFonts w:hint="eastAsia"/>
                <w:color w:val="auto"/>
                <w:lang w:val="en-US" w:eastAsia="zh-CN"/>
              </w:rPr>
              <w:t>⑤废活性炭</w:t>
            </w:r>
          </w:p>
          <w:p>
            <w:pPr>
              <w:rPr>
                <w:rFonts w:ascii="Times New Roman" w:eastAsia="宋体" w:cs="Times New Roman" w:hAnsi="Times New Roman" w:hint="eastAsia"/>
                <w:color w:val="auto"/>
                <w:kern w:val="0"/>
                <w:lang w:val="en-US" w:eastAsia="zh-CN"/>
                <w:highlight w:val="none"/>
              </w:rPr>
            </w:pPr>
            <w:r>
              <w:rPr>
                <w:rFonts w:ascii="Times New Roman" w:cs="Times New Roman" w:hAnsi="Times New Roman"/>
                <w:color w:val="auto"/>
                <w:sz w:val="24"/>
              </w:rPr>
              <w:t>本项目二级活性炭吸附装置产生的废活性炭，属于HW49其他废物</w:t>
            </w:r>
            <w:r>
              <w:rPr>
                <w:rFonts w:ascii="Times New Roman" w:eastAsia="宋体" w:cs="Times New Roman" w:hAnsi="Times New Roman"/>
                <w:color w:val="auto"/>
                <w:sz w:val="24"/>
                <w:szCs w:val="24"/>
                <w:lang w:val="en-US" w:eastAsia="zh-CN"/>
                <w:highlight w:val="none"/>
              </w:rPr>
              <w:t>，危废代码：900-0</w:t>
            </w:r>
            <w:r>
              <w:rPr>
                <w:rFonts w:ascii="Times New Roman" w:eastAsia="宋体" w:cs="Times New Roman" w:hAnsi="Times New Roman" w:hint="eastAsia"/>
                <w:color w:val="auto"/>
                <w:sz w:val="24"/>
                <w:szCs w:val="24"/>
                <w:lang w:val="en-US" w:eastAsia="zh-CN"/>
                <w:highlight w:val="none"/>
              </w:rPr>
              <w:t>39</w:t>
            </w:r>
            <w:r>
              <w:rPr>
                <w:rFonts w:ascii="Times New Roman" w:eastAsia="宋体" w:cs="Times New Roman" w:hAnsi="Times New Roman"/>
                <w:color w:val="auto"/>
                <w:sz w:val="24"/>
                <w:szCs w:val="24"/>
                <w:lang w:val="en-US" w:eastAsia="zh-CN"/>
                <w:highlight w:val="none"/>
              </w:rPr>
              <w:t>-49，根据《河北省涉VOCs工业企业常用治理技术指南》中“蜂窝活性炭填充量与每小时处理废气量体积之比应不小于1：5000”。</w:t>
            </w:r>
            <w:r>
              <w:rPr>
                <w:rFonts w:ascii="Times New Roman" w:eastAsia="宋体" w:cs="Times New Roman" w:hAnsi="Times New Roman" w:hint="eastAsia"/>
                <w:color w:val="auto"/>
                <w:kern w:val="0"/>
                <w:lang w:val="en-US" w:eastAsia="zh-CN"/>
                <w:highlight w:val="none"/>
              </w:rPr>
              <w:t>挤压造粒生产线（P2）排气筒风量为2</w:t>
            </w:r>
            <w:r>
              <w:rPr>
                <w:rFonts w:cs="Times New Roman" w:hint="eastAsia"/>
                <w:color w:val="auto"/>
                <w:kern w:val="0"/>
                <w:lang w:val="en-US" w:eastAsia="zh-CN"/>
                <w:highlight w:val="none"/>
              </w:rPr>
              <w:t>8</w:t>
            </w:r>
            <w:r>
              <w:rPr>
                <w:rFonts w:ascii="Times New Roman" w:eastAsia="宋体" w:cs="Times New Roman" w:hAnsi="Times New Roman" w:hint="eastAsia"/>
                <w:color w:val="auto"/>
                <w:kern w:val="0"/>
                <w:lang w:val="en-US" w:eastAsia="zh-CN"/>
                <w:highlight w:val="none"/>
              </w:rPr>
              <w:t>000m³/h，单级活性炭填充量为</w:t>
            </w:r>
            <w:r>
              <w:rPr>
                <w:rFonts w:cs="Times New Roman" w:hint="eastAsia"/>
                <w:color w:val="auto"/>
                <w:kern w:val="0"/>
                <w:lang w:val="en-US" w:eastAsia="zh-CN"/>
                <w:highlight w:val="none"/>
              </w:rPr>
              <w:t>6</w:t>
            </w:r>
            <w:r>
              <w:rPr>
                <w:rFonts w:ascii="Times New Roman" w:eastAsia="宋体" w:cs="Times New Roman" w:hAnsi="Times New Roman" w:hint="eastAsia"/>
                <w:color w:val="auto"/>
                <w:kern w:val="0"/>
                <w:lang w:val="en-US" w:eastAsia="zh-CN"/>
                <w:highlight w:val="none"/>
              </w:rPr>
              <w:t>m³，活性炭密度为0.5t/m³，单级活性炭质量为</w:t>
            </w:r>
            <w:r>
              <w:rPr>
                <w:rFonts w:cs="Times New Roman" w:hint="eastAsia"/>
                <w:color w:val="auto"/>
                <w:kern w:val="0"/>
                <w:lang w:val="en-US" w:eastAsia="zh-CN"/>
                <w:highlight w:val="none"/>
              </w:rPr>
              <w:t>3.0</w:t>
            </w:r>
            <w:r>
              <w:rPr>
                <w:rFonts w:ascii="Times New Roman" w:eastAsia="宋体" w:cs="Times New Roman" w:hAnsi="Times New Roman" w:hint="eastAsia"/>
                <w:color w:val="auto"/>
                <w:kern w:val="0"/>
                <w:lang w:val="en-US" w:eastAsia="zh-CN"/>
                <w:highlight w:val="none"/>
              </w:rPr>
              <w:t>t；活性炭更换周期：本项目采用碘值在800mg/g及以上的活性炭，根据《河北省涉VOCs工业企业常用治理技术指南》计算活性炭更换周期，公式如下：</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T（d）=（M×S）/（C×10</w:t>
            </w:r>
            <w:r>
              <w:rPr>
                <w:rFonts w:ascii="Times New Roman" w:eastAsia="宋体" w:cs="Times New Roman" w:hAnsi="Times New Roman" w:hint="eastAsia"/>
                <w:color w:val="auto"/>
                <w:kern w:val="0"/>
                <w:vertAlign w:val="superscript"/>
                <w:lang w:val="en-US" w:eastAsia="zh-CN"/>
                <w:highlight w:val="none"/>
              </w:rPr>
              <w:t>-6</w:t>
            </w:r>
            <w:r>
              <w:rPr>
                <w:rFonts w:ascii="Times New Roman" w:eastAsia="宋体" w:cs="Times New Roman" w:hAnsi="Times New Roman" w:hint="eastAsia"/>
                <w:color w:val="auto"/>
                <w:kern w:val="0"/>
                <w:lang w:val="en-US" w:eastAsia="zh-CN"/>
                <w:highlight w:val="none"/>
              </w:rPr>
              <w:t>×Q×t）</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式中：</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T—周期，单位天；</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M—活性炭的质量，单位kg；</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S—平衡保持量，蜂窝活性炭以10%计；</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C—污染物消减浓度，单位：mg/m³；</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Q—风量，单位m³/h</w:t>
            </w:r>
          </w:p>
          <w:p>
            <w:pPr>
              <w:rPr>
                <w:rFonts w:ascii="Times New Roman" w:eastAsia="宋体" w:cs="Times New Roman" w:hAnsi="Times New Roman" w:hint="eastAsia"/>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t—运行时间，单位h/d</w:t>
            </w:r>
          </w:p>
          <w:p>
            <w:pPr>
              <w:rPr>
                <w:rFonts w:ascii="Times New Roman" w:eastAsia="宋体" w:cs="Times New Roman" w:hAnsi="Times New Roman"/>
                <w:color w:val="auto"/>
                <w:kern w:val="0"/>
                <w:lang w:val="en-US" w:eastAsia="zh-CN"/>
                <w:highlight w:val="none"/>
              </w:rPr>
            </w:pPr>
            <w:r>
              <w:rPr>
                <w:rFonts w:ascii="Times New Roman" w:eastAsia="宋体" w:cs="Times New Roman" w:hAnsi="Times New Roman" w:hint="eastAsia"/>
                <w:color w:val="auto"/>
                <w:kern w:val="0"/>
                <w:lang w:val="en-US" w:eastAsia="zh-CN"/>
                <w:highlight w:val="none"/>
              </w:rPr>
              <w:t>一级活性炭有机废气消减浓度为</w:t>
            </w:r>
            <w:r>
              <w:rPr>
                <w:rFonts w:cs="Times New Roman" w:hint="eastAsia"/>
                <w:color w:val="auto"/>
                <w:kern w:val="0"/>
                <w:lang w:val="en-US" w:eastAsia="zh-CN"/>
                <w:highlight w:val="none"/>
              </w:rPr>
              <w:t>11.13</w:t>
            </w:r>
            <w:r>
              <w:rPr>
                <w:rFonts w:ascii="Times New Roman" w:eastAsia="宋体" w:cs="Times New Roman" w:hAnsi="Times New Roman" w:hint="eastAsia"/>
                <w:color w:val="auto"/>
                <w:kern w:val="0"/>
                <w:lang w:val="en-US" w:eastAsia="zh-CN"/>
                <w:highlight w:val="none"/>
              </w:rPr>
              <w:t>mg/m³（一级治理效率</w:t>
            </w:r>
            <w:r>
              <w:rPr>
                <w:rFonts w:cs="Times New Roman" w:hint="eastAsia"/>
                <w:color w:val="auto"/>
                <w:kern w:val="0"/>
                <w:lang w:val="en-US" w:eastAsia="zh-CN"/>
                <w:highlight w:val="none"/>
              </w:rPr>
              <w:t>70</w:t>
            </w:r>
            <w:r>
              <w:rPr>
                <w:rFonts w:ascii="Times New Roman" w:eastAsia="宋体" w:cs="Times New Roman" w:hAnsi="Times New Roman" w:hint="eastAsia"/>
                <w:color w:val="auto"/>
                <w:kern w:val="0"/>
                <w:lang w:val="en-US" w:eastAsia="zh-CN"/>
                <w:highlight w:val="none"/>
              </w:rPr>
              <w:t>%，进口浓度为</w:t>
            </w:r>
            <w:r>
              <w:rPr>
                <w:rFonts w:cs="Times New Roman" w:hint="eastAsia"/>
                <w:color w:val="auto"/>
                <w:kern w:val="0"/>
                <w:lang w:val="en-US" w:eastAsia="zh-CN"/>
                <w:highlight w:val="none"/>
              </w:rPr>
              <w:t>15.9</w:t>
            </w:r>
            <w:r>
              <w:rPr>
                <w:rFonts w:ascii="Times New Roman" w:eastAsia="宋体" w:cs="Times New Roman" w:hAnsi="Times New Roman" w:hint="eastAsia"/>
                <w:color w:val="auto"/>
                <w:kern w:val="0"/>
                <w:lang w:val="en-US" w:eastAsia="zh-CN"/>
                <w:highlight w:val="none"/>
              </w:rPr>
              <w:t>mg/m³，出口浓度为</w:t>
            </w:r>
            <w:r>
              <w:rPr>
                <w:rFonts w:cs="Times New Roman" w:hint="eastAsia"/>
                <w:color w:val="auto"/>
                <w:kern w:val="0"/>
                <w:lang w:val="en-US" w:eastAsia="zh-CN"/>
                <w:highlight w:val="none"/>
              </w:rPr>
              <w:t>4.77</w:t>
            </w:r>
            <w:r>
              <w:rPr>
                <w:rFonts w:ascii="Times New Roman" w:eastAsia="宋体" w:cs="Times New Roman" w:hAnsi="Times New Roman" w:hint="eastAsia"/>
                <w:color w:val="auto"/>
                <w:kern w:val="0"/>
                <w:lang w:val="en-US" w:eastAsia="zh-CN"/>
                <w:highlight w:val="none"/>
              </w:rPr>
              <w:t>mg/m³），经计算可知：T=</w:t>
            </w:r>
            <w:r>
              <w:rPr>
                <w:rFonts w:cs="Times New Roman" w:hint="eastAsia"/>
                <w:color w:val="auto"/>
                <w:kern w:val="0"/>
                <w:lang w:val="en-US" w:eastAsia="zh-CN"/>
                <w:highlight w:val="none"/>
              </w:rPr>
              <w:t>30</w:t>
            </w:r>
            <w:r>
              <w:rPr>
                <w:rFonts w:ascii="Times New Roman" w:eastAsia="宋体" w:cs="Times New Roman" w:hAnsi="Times New Roman" w:hint="eastAsia"/>
                <w:color w:val="auto"/>
                <w:kern w:val="0"/>
                <w:lang w:val="en-US" w:eastAsia="zh-CN"/>
                <w:highlight w:val="none"/>
              </w:rPr>
              <w:t>00×10%÷（</w:t>
            </w:r>
            <w:r>
              <w:rPr>
                <w:rFonts w:cs="Times New Roman" w:hint="eastAsia"/>
                <w:color w:val="auto"/>
                <w:kern w:val="0"/>
                <w:lang w:val="en-US" w:eastAsia="zh-CN"/>
                <w:highlight w:val="none"/>
              </w:rPr>
              <w:t>11.13</w:t>
            </w:r>
            <w:r>
              <w:rPr>
                <w:rFonts w:ascii="Times New Roman" w:eastAsia="宋体" w:cs="Times New Roman" w:hAnsi="Times New Roman" w:hint="eastAsia"/>
                <w:color w:val="auto"/>
                <w:kern w:val="0"/>
                <w:lang w:val="en-US" w:eastAsia="zh-CN"/>
                <w:highlight w:val="none"/>
              </w:rPr>
              <w:t>×10</w:t>
            </w:r>
            <w:r>
              <w:rPr>
                <w:rFonts w:ascii="Times New Roman" w:eastAsia="宋体" w:cs="Times New Roman" w:hAnsi="Times New Roman" w:hint="eastAsia"/>
                <w:color w:val="auto"/>
                <w:kern w:val="0"/>
                <w:vertAlign w:val="superscript"/>
                <w:lang w:val="en-US" w:eastAsia="zh-CN"/>
                <w:highlight w:val="none"/>
              </w:rPr>
              <w:t>-6</w:t>
            </w:r>
            <w:r>
              <w:rPr>
                <w:rFonts w:ascii="Times New Roman" w:eastAsia="宋体" w:cs="Times New Roman" w:hAnsi="Times New Roman" w:hint="eastAsia"/>
                <w:color w:val="auto"/>
                <w:kern w:val="0"/>
                <w:lang w:val="en-US" w:eastAsia="zh-CN"/>
                <w:highlight w:val="none"/>
              </w:rPr>
              <w:t>×2</w:t>
            </w:r>
            <w:r>
              <w:rPr>
                <w:rFonts w:cs="Times New Roman" w:hint="eastAsia"/>
                <w:color w:val="auto"/>
                <w:kern w:val="0"/>
                <w:lang w:val="en-US" w:eastAsia="zh-CN"/>
                <w:highlight w:val="none"/>
              </w:rPr>
              <w:t>8</w:t>
            </w:r>
            <w:r>
              <w:rPr>
                <w:rFonts w:ascii="Times New Roman" w:eastAsia="宋体" w:cs="Times New Roman" w:hAnsi="Times New Roman" w:hint="eastAsia"/>
                <w:color w:val="auto"/>
                <w:kern w:val="0"/>
                <w:lang w:val="en-US" w:eastAsia="zh-CN"/>
                <w:highlight w:val="none"/>
              </w:rPr>
              <w:t>000×16）≈</w:t>
            </w:r>
            <w:r>
              <w:rPr>
                <w:rFonts w:cs="Times New Roman" w:hint="eastAsia"/>
                <w:color w:val="auto"/>
                <w:kern w:val="0"/>
                <w:lang w:val="en-US" w:eastAsia="zh-CN"/>
                <w:highlight w:val="none"/>
              </w:rPr>
              <w:t>60</w:t>
            </w:r>
            <w:r>
              <w:rPr>
                <w:rFonts w:ascii="Times New Roman" w:eastAsia="宋体" w:cs="Times New Roman" w:hAnsi="Times New Roman" w:hint="eastAsia"/>
                <w:color w:val="auto"/>
                <w:kern w:val="0"/>
                <w:lang w:val="en-US" w:eastAsia="zh-CN"/>
                <w:highlight w:val="none"/>
              </w:rPr>
              <w:t>天，本项目设计一级活性炭</w:t>
            </w:r>
            <w:r>
              <w:rPr>
                <w:rFonts w:cs="Times New Roman" w:hint="eastAsia"/>
                <w:color w:val="auto"/>
                <w:kern w:val="0"/>
                <w:lang w:val="en-US" w:eastAsia="zh-CN"/>
                <w:highlight w:val="none"/>
              </w:rPr>
              <w:t>60</w:t>
            </w:r>
            <w:r>
              <w:rPr>
                <w:rFonts w:ascii="Times New Roman" w:eastAsia="宋体" w:cs="Times New Roman" w:hAnsi="Times New Roman" w:hint="eastAsia"/>
                <w:color w:val="auto"/>
                <w:kern w:val="0"/>
                <w:lang w:val="en-US" w:eastAsia="zh-CN"/>
                <w:highlight w:val="none"/>
              </w:rPr>
              <w:t>天更换一次；二级活性炭</w:t>
            </w:r>
            <w:r>
              <w:rPr>
                <w:rFonts w:cs="Times New Roman" w:hint="eastAsia"/>
                <w:color w:val="auto"/>
                <w:kern w:val="0"/>
                <w:lang w:val="en-US" w:eastAsia="zh-CN"/>
                <w:highlight w:val="none"/>
              </w:rPr>
              <w:t>有机废气</w:t>
            </w:r>
            <w:r>
              <w:rPr>
                <w:rFonts w:ascii="Times New Roman" w:eastAsia="宋体" w:cs="Times New Roman" w:hAnsi="Times New Roman" w:hint="eastAsia"/>
                <w:color w:val="auto"/>
                <w:kern w:val="0"/>
                <w:lang w:val="en-US" w:eastAsia="zh-CN"/>
                <w:highlight w:val="none"/>
              </w:rPr>
              <w:t>消减浓度为</w:t>
            </w:r>
            <w:r>
              <w:rPr>
                <w:rFonts w:cs="Times New Roman" w:hint="eastAsia"/>
                <w:color w:val="auto"/>
                <w:kern w:val="0"/>
                <w:lang w:val="en-US" w:eastAsia="zh-CN"/>
                <w:highlight w:val="none"/>
              </w:rPr>
              <w:t>3.2</w:t>
            </w:r>
            <w:r>
              <w:rPr>
                <w:rFonts w:ascii="Times New Roman" w:eastAsia="宋体" w:cs="Times New Roman" w:hAnsi="Times New Roman" w:hint="eastAsia"/>
                <w:color w:val="auto"/>
                <w:kern w:val="0"/>
                <w:lang w:val="en-US" w:eastAsia="zh-CN"/>
                <w:highlight w:val="none"/>
              </w:rPr>
              <w:t>mg/m³（二级治理效率</w:t>
            </w:r>
            <w:r>
              <w:rPr>
                <w:rFonts w:cs="Times New Roman" w:hint="eastAsia"/>
                <w:color w:val="auto"/>
                <w:kern w:val="0"/>
                <w:lang w:val="en-US" w:eastAsia="zh-CN"/>
                <w:highlight w:val="none"/>
              </w:rPr>
              <w:t>67</w:t>
            </w:r>
            <w:r>
              <w:rPr>
                <w:rFonts w:ascii="Times New Roman" w:eastAsia="宋体" w:cs="Times New Roman" w:hAnsi="Times New Roman" w:hint="eastAsia"/>
                <w:color w:val="auto"/>
                <w:kern w:val="0"/>
                <w:lang w:val="en-US" w:eastAsia="zh-CN"/>
                <w:highlight w:val="none"/>
              </w:rPr>
              <w:t>%，进口浓度为</w:t>
            </w:r>
            <w:r>
              <w:rPr>
                <w:rFonts w:cs="Times New Roman" w:hint="eastAsia"/>
                <w:color w:val="auto"/>
                <w:kern w:val="0"/>
                <w:lang w:val="en-US" w:eastAsia="zh-CN"/>
                <w:highlight w:val="none"/>
              </w:rPr>
              <w:t>4.77</w:t>
            </w:r>
            <w:r>
              <w:rPr>
                <w:rFonts w:ascii="Times New Roman" w:eastAsia="宋体" w:cs="Times New Roman" w:hAnsi="Times New Roman" w:hint="eastAsia"/>
                <w:color w:val="auto"/>
                <w:kern w:val="0"/>
                <w:lang w:val="en-US" w:eastAsia="zh-CN"/>
                <w:highlight w:val="none"/>
              </w:rPr>
              <w:t>mg/m³，出口浓度为</w:t>
            </w:r>
            <w:r>
              <w:rPr>
                <w:rFonts w:cs="Times New Roman" w:hint="eastAsia"/>
                <w:color w:val="auto"/>
                <w:kern w:val="0"/>
                <w:lang w:val="en-US" w:eastAsia="zh-CN"/>
                <w:highlight w:val="none"/>
              </w:rPr>
              <w:t>1.57</w:t>
            </w:r>
            <w:r>
              <w:rPr>
                <w:rFonts w:ascii="Times New Roman" w:eastAsia="宋体" w:cs="Times New Roman" w:hAnsi="Times New Roman" w:hint="eastAsia"/>
                <w:color w:val="auto"/>
                <w:kern w:val="0"/>
                <w:lang w:val="en-US" w:eastAsia="zh-CN"/>
                <w:highlight w:val="none"/>
              </w:rPr>
              <w:t>mg/m³），经计算可知：T=</w:t>
            </w:r>
            <w:r>
              <w:rPr>
                <w:rFonts w:cs="Times New Roman" w:hint="eastAsia"/>
                <w:color w:val="auto"/>
                <w:kern w:val="0"/>
                <w:lang w:val="en-US" w:eastAsia="zh-CN"/>
                <w:highlight w:val="none"/>
              </w:rPr>
              <w:t>30</w:t>
            </w:r>
            <w:r>
              <w:rPr>
                <w:rFonts w:ascii="Times New Roman" w:eastAsia="宋体" w:cs="Times New Roman" w:hAnsi="Times New Roman" w:hint="eastAsia"/>
                <w:color w:val="auto"/>
                <w:kern w:val="0"/>
                <w:lang w:val="en-US" w:eastAsia="zh-CN"/>
                <w:highlight w:val="none"/>
              </w:rPr>
              <w:t>00×10%÷（</w:t>
            </w:r>
            <w:r>
              <w:rPr>
                <w:rFonts w:cs="Times New Roman" w:hint="eastAsia"/>
                <w:color w:val="auto"/>
                <w:kern w:val="0"/>
                <w:lang w:val="en-US" w:eastAsia="zh-CN"/>
                <w:highlight w:val="none"/>
              </w:rPr>
              <w:t>3.2</w:t>
            </w:r>
            <w:r>
              <w:rPr>
                <w:rFonts w:ascii="Times New Roman" w:eastAsia="宋体" w:cs="Times New Roman" w:hAnsi="Times New Roman" w:hint="eastAsia"/>
                <w:color w:val="auto"/>
                <w:kern w:val="0"/>
                <w:lang w:val="en-US" w:eastAsia="zh-CN"/>
                <w:highlight w:val="none"/>
              </w:rPr>
              <w:t>×10</w:t>
            </w:r>
            <w:r>
              <w:rPr>
                <w:rFonts w:ascii="Times New Roman" w:eastAsia="宋体" w:cs="Times New Roman" w:hAnsi="Times New Roman" w:hint="eastAsia"/>
                <w:color w:val="auto"/>
                <w:kern w:val="0"/>
                <w:vertAlign w:val="superscript"/>
                <w:lang w:val="en-US" w:eastAsia="zh-CN"/>
                <w:highlight w:val="none"/>
              </w:rPr>
              <w:t>-6</w:t>
            </w:r>
            <w:r>
              <w:rPr>
                <w:rFonts w:ascii="Times New Roman" w:eastAsia="宋体" w:cs="Times New Roman" w:hAnsi="Times New Roman" w:hint="eastAsia"/>
                <w:color w:val="auto"/>
                <w:kern w:val="0"/>
                <w:lang w:val="en-US" w:eastAsia="zh-CN"/>
                <w:highlight w:val="none"/>
              </w:rPr>
              <w:t>×2</w:t>
            </w:r>
            <w:r>
              <w:rPr>
                <w:rFonts w:cs="Times New Roman" w:hint="eastAsia"/>
                <w:color w:val="auto"/>
                <w:kern w:val="0"/>
                <w:lang w:val="en-US" w:eastAsia="zh-CN"/>
                <w:highlight w:val="none"/>
              </w:rPr>
              <w:t>8</w:t>
            </w:r>
            <w:r>
              <w:rPr>
                <w:rFonts w:ascii="Times New Roman" w:eastAsia="宋体" w:cs="Times New Roman" w:hAnsi="Times New Roman" w:hint="eastAsia"/>
                <w:color w:val="auto"/>
                <w:kern w:val="0"/>
                <w:lang w:val="en-US" w:eastAsia="zh-CN"/>
                <w:highlight w:val="none"/>
              </w:rPr>
              <w:t>000×16）≈</w:t>
            </w:r>
            <w:r>
              <w:rPr>
                <w:rFonts w:cs="Times New Roman" w:hint="eastAsia"/>
                <w:color w:val="auto"/>
                <w:kern w:val="0"/>
                <w:lang w:val="en-US" w:eastAsia="zh-CN"/>
                <w:highlight w:val="none"/>
              </w:rPr>
              <w:t>209</w:t>
            </w:r>
            <w:r>
              <w:rPr>
                <w:rFonts w:ascii="Times New Roman" w:eastAsia="宋体" w:cs="Times New Roman" w:hAnsi="Times New Roman" w:hint="eastAsia"/>
                <w:color w:val="auto"/>
                <w:kern w:val="0"/>
                <w:lang w:val="en-US" w:eastAsia="zh-CN"/>
                <w:highlight w:val="none"/>
              </w:rPr>
              <w:t>天，设计二级活性炭吸附装置</w:t>
            </w:r>
            <w:r>
              <w:rPr>
                <w:rFonts w:cs="Times New Roman" w:hint="eastAsia"/>
                <w:color w:val="auto"/>
                <w:kern w:val="0"/>
                <w:lang w:val="en-US" w:eastAsia="zh-CN"/>
                <w:highlight w:val="none"/>
              </w:rPr>
              <w:t>210</w:t>
            </w:r>
            <w:r>
              <w:rPr>
                <w:rFonts w:ascii="Times New Roman" w:eastAsia="宋体" w:cs="Times New Roman" w:hAnsi="Times New Roman" w:hint="eastAsia"/>
                <w:color w:val="auto"/>
                <w:kern w:val="0"/>
                <w:lang w:val="en-US" w:eastAsia="zh-CN"/>
                <w:highlight w:val="none"/>
              </w:rPr>
              <w:t>天更换一次活性炭，则两级活性炭吸附装置废活性炭产生量为</w:t>
            </w:r>
            <w:r>
              <w:rPr>
                <w:rFonts w:cs="Times New Roman" w:hint="eastAsia"/>
                <w:color w:val="auto"/>
                <w:kern w:val="0"/>
                <w:lang w:val="en-US" w:eastAsia="zh-CN"/>
                <w:highlight w:val="none"/>
              </w:rPr>
              <w:t>3.0</w:t>
            </w:r>
            <w:r>
              <w:rPr>
                <w:rFonts w:ascii="Times New Roman" w:eastAsia="宋体" w:cs="Times New Roman" w:hAnsi="Times New Roman" w:hint="eastAsia"/>
                <w:color w:val="auto"/>
                <w:kern w:val="0"/>
                <w:lang w:val="en-US" w:eastAsia="zh-CN"/>
                <w:highlight w:val="none"/>
              </w:rPr>
              <w:t>t×（300÷</w:t>
            </w:r>
            <w:r>
              <w:rPr>
                <w:rFonts w:cs="Times New Roman" w:hint="eastAsia"/>
                <w:color w:val="auto"/>
                <w:kern w:val="0"/>
                <w:lang w:val="en-US" w:eastAsia="zh-CN"/>
                <w:highlight w:val="none"/>
              </w:rPr>
              <w:t>60</w:t>
            </w:r>
            <w:r>
              <w:rPr>
                <w:rFonts w:ascii="Times New Roman" w:eastAsia="宋体" w:cs="Times New Roman" w:hAnsi="Times New Roman" w:hint="eastAsia"/>
                <w:color w:val="auto"/>
                <w:kern w:val="0"/>
                <w:lang w:val="en-US" w:eastAsia="zh-CN"/>
                <w:highlight w:val="none"/>
              </w:rPr>
              <w:t>）+</w:t>
            </w:r>
            <w:r>
              <w:rPr>
                <w:rFonts w:cs="Times New Roman" w:hint="eastAsia"/>
                <w:color w:val="auto"/>
                <w:kern w:val="0"/>
                <w:lang w:val="en-US" w:eastAsia="zh-CN"/>
                <w:highlight w:val="none"/>
              </w:rPr>
              <w:t>3.0</w:t>
            </w:r>
            <w:r>
              <w:rPr>
                <w:rFonts w:ascii="Times New Roman" w:eastAsia="宋体" w:cs="Times New Roman" w:hAnsi="Times New Roman" w:hint="eastAsia"/>
                <w:color w:val="auto"/>
                <w:kern w:val="0"/>
                <w:lang w:val="en-US" w:eastAsia="zh-CN"/>
                <w:highlight w:val="none"/>
              </w:rPr>
              <w:t>t×（300÷</w:t>
            </w:r>
            <w:r>
              <w:rPr>
                <w:rFonts w:cs="Times New Roman" w:hint="eastAsia"/>
                <w:color w:val="auto"/>
                <w:kern w:val="0"/>
                <w:lang w:val="en-US" w:eastAsia="zh-CN"/>
                <w:highlight w:val="none"/>
              </w:rPr>
              <w:t>210</w:t>
            </w:r>
            <w:r>
              <w:rPr>
                <w:rFonts w:ascii="Times New Roman" w:eastAsia="宋体" w:cs="Times New Roman" w:hAnsi="Times New Roman" w:hint="eastAsia"/>
                <w:color w:val="auto"/>
                <w:kern w:val="0"/>
                <w:lang w:val="en-US" w:eastAsia="zh-CN"/>
                <w:highlight w:val="none"/>
              </w:rPr>
              <w:t>）+2.252t</w:t>
            </w:r>
            <w:r>
              <w:rPr>
                <w:rFonts w:cs="Times New Roman" w:hint="eastAsia"/>
                <w:color w:val="auto"/>
                <w:kern w:val="0"/>
                <w:lang w:val="en-US" w:eastAsia="zh-CN"/>
                <w:highlight w:val="none"/>
              </w:rPr>
              <w:t>+0.132</w:t>
            </w:r>
            <w:r>
              <w:rPr>
                <w:rFonts w:ascii="Times New Roman" w:eastAsia="宋体" w:cs="Times New Roman" w:hAnsi="Times New Roman" w:hint="eastAsia"/>
                <w:color w:val="auto"/>
                <w:kern w:val="0"/>
                <w:lang w:val="en-US" w:eastAsia="zh-CN"/>
                <w:highlight w:val="none"/>
              </w:rPr>
              <w:t>=</w:t>
            </w:r>
            <w:r>
              <w:rPr>
                <w:rFonts w:cs="Times New Roman" w:hint="eastAsia"/>
                <w:color w:val="auto"/>
                <w:kern w:val="0"/>
                <w:lang w:val="en-US" w:eastAsia="zh-CN"/>
                <w:highlight w:val="none"/>
              </w:rPr>
              <w:t>21.674</w:t>
            </w:r>
            <w:r>
              <w:rPr>
                <w:rFonts w:ascii="Times New Roman" w:eastAsia="宋体" w:cs="Times New Roman" w:hAnsi="Times New Roman" w:hint="eastAsia"/>
                <w:color w:val="auto"/>
                <w:kern w:val="0"/>
                <w:lang w:val="en-US" w:eastAsia="zh-CN"/>
                <w:highlight w:val="none"/>
              </w:rPr>
              <w:t>t/a；</w:t>
            </w:r>
          </w:p>
          <w:p>
            <w:pPr>
              <w:widowControl/>
              <w:spacing w:line="360" w:lineRule="auto"/>
              <w:ind w:firstLineChars="200" w:firstLine="480"/>
              <w:rPr>
                <w:rFonts w:ascii="Times New Roman" w:eastAsia="宋体" w:cs="Times New Roman" w:hAnsi="Times New Roman"/>
                <w:color w:val="auto"/>
                <w:sz w:val="24"/>
                <w:szCs w:val="24"/>
                <w:lang w:val="en-US" w:eastAsia="zh-CN"/>
                <w:highlight w:val="yellow"/>
              </w:rPr>
            </w:pPr>
            <w:r>
              <w:rPr>
                <w:rFonts w:cs="Times New Roman" w:hint="eastAsia"/>
                <w:color w:val="auto"/>
                <w:sz w:val="24"/>
                <w:szCs w:val="24"/>
                <w:lang w:val="en-US" w:eastAsia="zh-CN"/>
                <w:highlight w:val="none"/>
              </w:rPr>
              <w:t>化验室</w:t>
            </w:r>
            <w:r>
              <w:rPr>
                <w:rFonts w:ascii="Times New Roman" w:eastAsia="宋体" w:cs="Times New Roman" w:hAnsi="Times New Roman"/>
                <w:color w:val="auto"/>
                <w:sz w:val="24"/>
                <w:szCs w:val="24"/>
                <w:lang w:val="en-US" w:eastAsia="zh-CN"/>
                <w:highlight w:val="none"/>
              </w:rPr>
              <w:t>废气</w:t>
            </w:r>
            <w:r>
              <w:rPr>
                <w:rFonts w:ascii="Times New Roman" w:cs="Times New Roman" w:hAnsi="Times New Roman" w:hint="eastAsia"/>
                <w:color w:val="auto"/>
                <w:sz w:val="24"/>
                <w:szCs w:val="24"/>
                <w:lang w:val="en-US" w:eastAsia="zh-CN"/>
                <w:highlight w:val="none"/>
              </w:rPr>
              <w:t>（</w:t>
            </w:r>
            <w:r>
              <w:rPr>
                <w:rFonts w:cs="Times New Roman" w:hint="eastAsia"/>
                <w:color w:val="auto"/>
                <w:sz w:val="24"/>
                <w:szCs w:val="24"/>
                <w:lang w:val="en-US" w:eastAsia="zh-CN"/>
                <w:highlight w:val="none"/>
              </w:rPr>
              <w:t>P4</w:t>
            </w:r>
            <w:r>
              <w:rPr>
                <w:rFonts w:ascii="Times New Roman" w:cs="Times New Roman" w:hAnsi="Times New Roman" w:hint="eastAsia"/>
                <w:color w:val="auto"/>
                <w:sz w:val="24"/>
                <w:szCs w:val="24"/>
                <w:lang w:val="en-US" w:eastAsia="zh-CN"/>
                <w:highlight w:val="none"/>
              </w:rPr>
              <w:t>）排气筒</w:t>
            </w:r>
            <w:r>
              <w:rPr>
                <w:rFonts w:ascii="Times New Roman" w:eastAsia="宋体" w:cs="Times New Roman" w:hAnsi="Times New Roman"/>
                <w:color w:val="auto"/>
                <w:sz w:val="24"/>
                <w:szCs w:val="24"/>
                <w:lang w:val="en-US" w:eastAsia="zh-CN"/>
                <w:highlight w:val="none"/>
              </w:rPr>
              <w:t>风量为</w:t>
            </w:r>
            <w:r>
              <w:rPr>
                <w:rFonts w:cs="Times New Roman" w:hint="eastAsia"/>
                <w:color w:val="auto"/>
                <w:sz w:val="24"/>
                <w:szCs w:val="24"/>
                <w:lang w:val="en-US" w:eastAsia="zh-CN"/>
                <w:highlight w:val="none"/>
              </w:rPr>
              <w:t>1</w:t>
            </w:r>
            <w:r>
              <w:rPr>
                <w:rFonts w:ascii="Times New Roman" w:cs="Times New Roman" w:hAnsi="Times New Roman" w:hint="eastAsia"/>
                <w:color w:val="auto"/>
                <w:sz w:val="24"/>
                <w:szCs w:val="24"/>
                <w:lang w:val="en-US" w:eastAsia="zh-CN"/>
                <w:highlight w:val="none"/>
              </w:rPr>
              <w:t>000</w:t>
            </w:r>
            <w:r>
              <w:rPr>
                <w:rFonts w:ascii="Times New Roman" w:eastAsia="宋体" w:cs="Times New Roman" w:hAnsi="Times New Roman"/>
                <w:color w:val="auto"/>
                <w:sz w:val="24"/>
                <w:szCs w:val="24"/>
                <w:lang w:val="en-US" w:eastAsia="zh-CN"/>
                <w:highlight w:val="none"/>
              </w:rPr>
              <w:t>m</w:t>
            </w:r>
            <w:r>
              <w:rPr>
                <w:rFonts w:ascii="Times New Roman" w:eastAsia="宋体" w:cs="Times New Roman" w:hAnsi="Times New Roman"/>
                <w:color w:val="auto"/>
                <w:sz w:val="24"/>
                <w:szCs w:val="24"/>
                <w:vertAlign w:val="superscript"/>
                <w:lang w:val="en-US" w:eastAsia="zh-CN"/>
                <w:highlight w:val="none"/>
              </w:rPr>
              <w:t>3</w:t>
            </w:r>
            <w:r>
              <w:rPr>
                <w:rFonts w:ascii="Times New Roman" w:eastAsia="宋体" w:cs="Times New Roman" w:hAnsi="Times New Roman"/>
                <w:color w:val="auto"/>
                <w:sz w:val="24"/>
                <w:szCs w:val="24"/>
                <w:lang w:val="en-US" w:eastAsia="zh-CN"/>
                <w:highlight w:val="none"/>
              </w:rPr>
              <w:t>/h，单级活性炭设计填充量为</w:t>
            </w:r>
            <w:r>
              <w:rPr>
                <w:rFonts w:cs="Times New Roman" w:hint="eastAsia"/>
                <w:color w:val="auto"/>
                <w:sz w:val="24"/>
                <w:szCs w:val="24"/>
                <w:lang w:val="en-US" w:eastAsia="zh-CN"/>
                <w:highlight w:val="none"/>
              </w:rPr>
              <w:t>1</w:t>
            </w:r>
            <w:r>
              <w:rPr>
                <w:rFonts w:ascii="Times New Roman" w:eastAsia="宋体" w:cs="Times New Roman" w:hAnsi="Times New Roman"/>
                <w:color w:val="auto"/>
                <w:sz w:val="24"/>
                <w:szCs w:val="24"/>
                <w:lang w:val="en-US" w:eastAsia="zh-CN"/>
                <w:highlight w:val="none"/>
              </w:rPr>
              <w:t>m³，活性炭密度为0.5t/m³，单级活性炭质量为</w:t>
            </w:r>
            <w:r>
              <w:rPr>
                <w:rFonts w:cs="Times New Roman" w:hint="eastAsia"/>
                <w:color w:val="auto"/>
                <w:sz w:val="24"/>
                <w:szCs w:val="24"/>
                <w:lang w:val="en-US" w:eastAsia="zh-CN"/>
                <w:highlight w:val="none"/>
              </w:rPr>
              <w:t>0.</w:t>
            </w:r>
            <w:r>
              <w:rPr>
                <w:rFonts w:ascii="Times New Roman" w:cs="Times New Roman" w:hAnsi="Times New Roman" w:hint="eastAsia"/>
                <w:color w:val="auto"/>
                <w:sz w:val="24"/>
                <w:szCs w:val="24"/>
                <w:lang w:val="en-US" w:eastAsia="zh-CN"/>
                <w:highlight w:val="none"/>
              </w:rPr>
              <w:t>5</w:t>
            </w:r>
            <w:r>
              <w:rPr>
                <w:rFonts w:ascii="Times New Roman" w:eastAsia="宋体" w:cs="Times New Roman" w:hAnsi="Times New Roman"/>
                <w:color w:val="auto"/>
                <w:sz w:val="24"/>
                <w:szCs w:val="24"/>
                <w:lang w:val="en-US" w:eastAsia="zh-CN"/>
                <w:highlight w:val="none"/>
              </w:rPr>
              <w:t>t。</w:t>
            </w:r>
          </w:p>
          <w:p>
            <w:pPr>
              <w:rPr>
                <w:rFonts w:ascii="Times New Roman" w:eastAsia="宋体" w:hAnsi="Times New Roman" w:hint="eastAsia"/>
                <w:color w:val="auto"/>
                <w:kern w:val="0"/>
                <w:lang w:val="en-US" w:eastAsia="zh-CN"/>
                <w:highlight w:val="none"/>
              </w:rPr>
            </w:pPr>
            <w:r>
              <w:rPr>
                <w:rFonts w:ascii="Times New Roman" w:eastAsia="宋体" w:hAnsi="Times New Roman" w:hint="eastAsia"/>
                <w:color w:val="auto"/>
                <w:kern w:val="0"/>
                <w:lang w:val="en-US" w:eastAsia="zh-CN"/>
                <w:highlight w:val="none"/>
              </w:rPr>
              <w:t>一级活性炭</w:t>
            </w:r>
            <w:r>
              <w:rPr>
                <w:rFonts w:hint="eastAsia"/>
                <w:color w:val="auto"/>
                <w:kern w:val="0"/>
                <w:lang w:val="en-US" w:eastAsia="zh-CN"/>
                <w:highlight w:val="none"/>
              </w:rPr>
              <w:t>非甲烷总烃</w:t>
            </w:r>
            <w:r>
              <w:rPr>
                <w:rFonts w:ascii="Times New Roman" w:eastAsia="宋体" w:hAnsi="Times New Roman" w:hint="eastAsia"/>
                <w:color w:val="auto"/>
                <w:kern w:val="0"/>
                <w:lang w:val="en-US" w:eastAsia="zh-CN"/>
                <w:highlight w:val="none"/>
              </w:rPr>
              <w:t>消减浓度为</w:t>
            </w:r>
            <w:r>
              <w:rPr>
                <w:rFonts w:hint="eastAsia"/>
                <w:color w:val="auto"/>
                <w:kern w:val="0"/>
                <w:lang w:val="en-US" w:eastAsia="zh-CN"/>
                <w:highlight w:val="none"/>
              </w:rPr>
              <w:t>7.875</w:t>
            </w:r>
            <w:r>
              <w:rPr>
                <w:rFonts w:ascii="Times New Roman" w:eastAsia="宋体" w:hAnsi="Times New Roman" w:hint="eastAsia"/>
                <w:color w:val="auto"/>
                <w:kern w:val="0"/>
                <w:lang w:val="en-US" w:eastAsia="zh-CN"/>
                <w:highlight w:val="none"/>
              </w:rPr>
              <w:t>mg/m³（一级治理效率</w:t>
            </w:r>
            <w:r>
              <w:rPr>
                <w:rFonts w:hint="eastAsia"/>
                <w:color w:val="auto"/>
                <w:kern w:val="0"/>
                <w:lang w:val="en-US" w:eastAsia="zh-CN"/>
                <w:highlight w:val="none"/>
              </w:rPr>
              <w:t>70</w:t>
            </w:r>
            <w:r>
              <w:rPr>
                <w:rFonts w:ascii="Times New Roman" w:eastAsia="宋体" w:hAnsi="Times New Roman" w:hint="eastAsia"/>
                <w:color w:val="auto"/>
                <w:kern w:val="0"/>
                <w:lang w:val="en-US" w:eastAsia="zh-CN"/>
                <w:highlight w:val="none"/>
              </w:rPr>
              <w:t>%，进口浓度为</w:t>
            </w:r>
            <w:r>
              <w:rPr>
                <w:rFonts w:hint="eastAsia"/>
                <w:color w:val="auto"/>
                <w:kern w:val="0"/>
                <w:lang w:val="en-US" w:eastAsia="zh-CN"/>
                <w:highlight w:val="none"/>
              </w:rPr>
              <w:t>11.25</w:t>
            </w:r>
            <w:r>
              <w:rPr>
                <w:rFonts w:ascii="Times New Roman" w:eastAsia="宋体" w:hAnsi="Times New Roman" w:hint="eastAsia"/>
                <w:color w:val="auto"/>
                <w:kern w:val="0"/>
                <w:lang w:val="en-US" w:eastAsia="zh-CN"/>
                <w:highlight w:val="none"/>
              </w:rPr>
              <w:t>mg/m³，出口浓度为</w:t>
            </w:r>
            <w:r>
              <w:rPr>
                <w:rFonts w:hint="eastAsia"/>
                <w:color w:val="auto"/>
                <w:kern w:val="0"/>
                <w:lang w:val="en-US" w:eastAsia="zh-CN"/>
                <w:highlight w:val="none"/>
              </w:rPr>
              <w:t>3.375</w:t>
            </w:r>
            <w:r>
              <w:rPr>
                <w:rFonts w:ascii="Times New Roman" w:eastAsia="宋体" w:hAnsi="Times New Roman" w:hint="eastAsia"/>
                <w:color w:val="auto"/>
                <w:kern w:val="0"/>
                <w:lang w:val="en-US" w:eastAsia="zh-CN"/>
                <w:highlight w:val="none"/>
              </w:rPr>
              <w:t>mg/m³），经计算可知：T=</w:t>
            </w:r>
            <w:r>
              <w:rPr>
                <w:rFonts w:hint="eastAsia"/>
                <w:color w:val="auto"/>
                <w:kern w:val="0"/>
                <w:lang w:val="en-US" w:eastAsia="zh-CN"/>
                <w:highlight w:val="none"/>
              </w:rPr>
              <w:t>5</w:t>
            </w:r>
            <w:r>
              <w:rPr>
                <w:rFonts w:ascii="Times New Roman" w:eastAsia="宋体" w:hAnsi="Times New Roman" w:hint="eastAsia"/>
                <w:color w:val="auto"/>
                <w:kern w:val="0"/>
                <w:lang w:val="en-US" w:eastAsia="zh-CN"/>
                <w:highlight w:val="none"/>
              </w:rPr>
              <w:t>00×10%÷（</w:t>
            </w:r>
            <w:r>
              <w:rPr>
                <w:rFonts w:hint="eastAsia"/>
                <w:color w:val="auto"/>
                <w:kern w:val="0"/>
                <w:lang w:val="en-US" w:eastAsia="zh-CN"/>
                <w:highlight w:val="none"/>
              </w:rPr>
              <w:t>7.875</w:t>
            </w:r>
            <w:r>
              <w:rPr>
                <w:rFonts w:ascii="Times New Roman" w:eastAsia="宋体" w:hAnsi="Times New Roman" w:hint="eastAsia"/>
                <w:color w:val="auto"/>
                <w:kern w:val="0"/>
                <w:lang w:val="en-US" w:eastAsia="zh-CN"/>
                <w:highlight w:val="none"/>
              </w:rPr>
              <w:t>×10</w:t>
            </w:r>
            <w:r>
              <w:rPr>
                <w:rFonts w:ascii="Times New Roman" w:eastAsia="宋体" w:hAnsi="Times New Roman" w:hint="eastAsia"/>
                <w:color w:val="auto"/>
                <w:kern w:val="0"/>
                <w:vertAlign w:val="superscript"/>
                <w:lang w:val="en-US" w:eastAsia="zh-CN"/>
                <w:highlight w:val="none"/>
              </w:rPr>
              <w:t>-6</w:t>
            </w:r>
            <w:r>
              <w:rPr>
                <w:rFonts w:ascii="Times New Roman" w:eastAsia="宋体" w:hAnsi="Times New Roman" w:hint="eastAsia"/>
                <w:color w:val="auto"/>
                <w:kern w:val="0"/>
                <w:lang w:val="en-US" w:eastAsia="zh-CN"/>
                <w:highlight w:val="none"/>
              </w:rPr>
              <w:t>×</w:t>
            </w:r>
            <w:r>
              <w:rPr>
                <w:rFonts w:hint="eastAsia"/>
                <w:color w:val="auto"/>
                <w:kern w:val="0"/>
                <w:lang w:val="en-US" w:eastAsia="zh-CN"/>
                <w:highlight w:val="none"/>
              </w:rPr>
              <w:t>1000</w:t>
            </w:r>
            <w:r>
              <w:rPr>
                <w:rFonts w:ascii="Times New Roman" w:eastAsia="宋体" w:hAnsi="Times New Roman" w:hint="eastAsia"/>
                <w:color w:val="auto"/>
                <w:kern w:val="0"/>
                <w:lang w:val="en-US" w:eastAsia="zh-CN"/>
                <w:highlight w:val="none"/>
              </w:rPr>
              <w:t>×</w:t>
            </w:r>
            <w:r>
              <w:rPr>
                <w:rFonts w:hint="eastAsia"/>
                <w:color w:val="auto"/>
                <w:kern w:val="0"/>
                <w:lang w:val="en-US" w:eastAsia="zh-CN"/>
                <w:highlight w:val="none"/>
              </w:rPr>
              <w:t>3.3</w:t>
            </w:r>
            <w:r>
              <w:rPr>
                <w:rFonts w:ascii="Times New Roman" w:eastAsia="宋体" w:hAnsi="Times New Roman" w:hint="eastAsia"/>
                <w:color w:val="auto"/>
                <w:kern w:val="0"/>
                <w:lang w:val="en-US" w:eastAsia="zh-CN"/>
                <w:highlight w:val="none"/>
              </w:rPr>
              <w:t>）≈</w:t>
            </w:r>
            <w:r>
              <w:rPr>
                <w:rFonts w:hint="eastAsia"/>
                <w:color w:val="auto"/>
                <w:kern w:val="0"/>
                <w:lang w:val="en-US" w:eastAsia="zh-CN"/>
                <w:highlight w:val="none"/>
              </w:rPr>
              <w:t>1924</w:t>
            </w:r>
            <w:r>
              <w:rPr>
                <w:rFonts w:ascii="Times New Roman" w:eastAsia="宋体" w:hAnsi="Times New Roman" w:hint="eastAsia"/>
                <w:color w:val="auto"/>
                <w:kern w:val="0"/>
                <w:lang w:val="en-US" w:eastAsia="zh-CN"/>
                <w:highlight w:val="none"/>
              </w:rPr>
              <w:t>天，本项目设计一级活性炭</w:t>
            </w:r>
            <w:r>
              <w:rPr>
                <w:rFonts w:hint="eastAsia"/>
                <w:color w:val="auto"/>
                <w:kern w:val="0"/>
                <w:lang w:val="en-US" w:eastAsia="zh-CN"/>
                <w:highlight w:val="none"/>
              </w:rPr>
              <w:t>一年</w:t>
            </w:r>
            <w:r>
              <w:rPr>
                <w:rFonts w:ascii="Times New Roman" w:eastAsia="宋体" w:hAnsi="Times New Roman" w:hint="eastAsia"/>
                <w:color w:val="auto"/>
                <w:kern w:val="0"/>
                <w:lang w:val="en-US" w:eastAsia="zh-CN"/>
                <w:highlight w:val="none"/>
              </w:rPr>
              <w:t>更换一次；二级活性炭非甲烷总烃消减浓度为</w:t>
            </w:r>
            <w:r>
              <w:rPr>
                <w:rFonts w:hint="eastAsia"/>
                <w:color w:val="auto"/>
                <w:kern w:val="0"/>
                <w:lang w:val="en-US" w:eastAsia="zh-CN"/>
                <w:highlight w:val="none"/>
              </w:rPr>
              <w:t>2.265</w:t>
            </w:r>
            <w:r>
              <w:rPr>
                <w:rFonts w:ascii="Times New Roman" w:eastAsia="宋体" w:hAnsi="Times New Roman" w:hint="eastAsia"/>
                <w:color w:val="auto"/>
                <w:kern w:val="0"/>
                <w:lang w:val="en-US" w:eastAsia="zh-CN"/>
                <w:highlight w:val="none"/>
              </w:rPr>
              <w:t>mg/m³（二级治理效率</w:t>
            </w:r>
            <w:r>
              <w:rPr>
                <w:rFonts w:hint="eastAsia"/>
                <w:color w:val="auto"/>
                <w:kern w:val="0"/>
                <w:lang w:val="en-US" w:eastAsia="zh-CN"/>
                <w:highlight w:val="none"/>
              </w:rPr>
              <w:t>67</w:t>
            </w:r>
            <w:r>
              <w:rPr>
                <w:rFonts w:ascii="Times New Roman" w:eastAsia="宋体" w:hAnsi="Times New Roman" w:hint="eastAsia"/>
                <w:color w:val="auto"/>
                <w:kern w:val="0"/>
                <w:lang w:val="en-US" w:eastAsia="zh-CN"/>
                <w:highlight w:val="none"/>
              </w:rPr>
              <w:t>%，进口浓度为</w:t>
            </w:r>
            <w:r>
              <w:rPr>
                <w:rFonts w:hint="eastAsia"/>
                <w:color w:val="auto"/>
                <w:kern w:val="0"/>
                <w:lang w:val="en-US" w:eastAsia="zh-CN"/>
                <w:highlight w:val="none"/>
              </w:rPr>
              <w:t>3.375</w:t>
            </w:r>
            <w:r>
              <w:rPr>
                <w:rFonts w:ascii="Times New Roman" w:eastAsia="宋体" w:hAnsi="Times New Roman" w:hint="eastAsia"/>
                <w:color w:val="auto"/>
                <w:kern w:val="0"/>
                <w:lang w:val="en-US" w:eastAsia="zh-CN"/>
                <w:highlight w:val="none"/>
              </w:rPr>
              <w:t>mg/m³，出口浓度为</w:t>
            </w:r>
            <w:r>
              <w:rPr>
                <w:rFonts w:hint="eastAsia"/>
                <w:color w:val="auto"/>
                <w:kern w:val="0"/>
                <w:lang w:val="en-US" w:eastAsia="zh-CN"/>
                <w:highlight w:val="none"/>
              </w:rPr>
              <w:t>1.11</w:t>
            </w:r>
            <w:r>
              <w:rPr>
                <w:rFonts w:ascii="Times New Roman" w:eastAsia="宋体" w:hAnsi="Times New Roman" w:hint="eastAsia"/>
                <w:color w:val="auto"/>
                <w:kern w:val="0"/>
                <w:lang w:val="en-US" w:eastAsia="zh-CN"/>
                <w:highlight w:val="none"/>
              </w:rPr>
              <w:t>mg/m³），经计算可知：T=</w:t>
            </w:r>
            <w:r>
              <w:rPr>
                <w:rFonts w:hint="eastAsia"/>
                <w:color w:val="auto"/>
                <w:kern w:val="0"/>
                <w:lang w:val="en-US" w:eastAsia="zh-CN"/>
                <w:highlight w:val="none"/>
              </w:rPr>
              <w:t>5</w:t>
            </w:r>
            <w:r>
              <w:rPr>
                <w:rFonts w:ascii="Times New Roman" w:eastAsia="宋体" w:hAnsi="Times New Roman" w:hint="eastAsia"/>
                <w:color w:val="auto"/>
                <w:kern w:val="0"/>
                <w:lang w:val="en-US" w:eastAsia="zh-CN"/>
                <w:highlight w:val="none"/>
              </w:rPr>
              <w:t>00×10%÷（</w:t>
            </w:r>
            <w:r>
              <w:rPr>
                <w:rFonts w:hint="eastAsia"/>
                <w:color w:val="auto"/>
                <w:kern w:val="0"/>
                <w:lang w:val="en-US" w:eastAsia="zh-CN"/>
                <w:highlight w:val="none"/>
              </w:rPr>
              <w:t>2.265</w:t>
            </w:r>
            <w:r>
              <w:rPr>
                <w:rFonts w:ascii="Times New Roman" w:eastAsia="宋体" w:hAnsi="Times New Roman" w:hint="eastAsia"/>
                <w:color w:val="auto"/>
                <w:kern w:val="0"/>
                <w:lang w:val="en-US" w:eastAsia="zh-CN"/>
                <w:highlight w:val="none"/>
              </w:rPr>
              <w:t>×10</w:t>
            </w:r>
            <w:r>
              <w:rPr>
                <w:rFonts w:ascii="Times New Roman" w:eastAsia="宋体" w:hAnsi="Times New Roman" w:hint="eastAsia"/>
                <w:color w:val="auto"/>
                <w:kern w:val="0"/>
                <w:vertAlign w:val="superscript"/>
                <w:lang w:val="en-US" w:eastAsia="zh-CN"/>
                <w:highlight w:val="none"/>
              </w:rPr>
              <w:t>-6</w:t>
            </w:r>
            <w:r>
              <w:rPr>
                <w:rFonts w:ascii="Times New Roman" w:eastAsia="宋体" w:hAnsi="Times New Roman" w:hint="eastAsia"/>
                <w:color w:val="auto"/>
                <w:kern w:val="0"/>
                <w:lang w:val="en-US" w:eastAsia="zh-CN"/>
                <w:highlight w:val="none"/>
              </w:rPr>
              <w:t>×</w:t>
            </w:r>
            <w:r>
              <w:rPr>
                <w:rFonts w:hint="eastAsia"/>
                <w:color w:val="auto"/>
                <w:kern w:val="0"/>
                <w:lang w:val="en-US" w:eastAsia="zh-CN"/>
                <w:highlight w:val="none"/>
              </w:rPr>
              <w:t>1</w:t>
            </w:r>
            <w:r>
              <w:rPr>
                <w:rFonts w:ascii="Times New Roman" w:eastAsia="宋体" w:hAnsi="Times New Roman" w:hint="eastAsia"/>
                <w:color w:val="auto"/>
                <w:kern w:val="0"/>
                <w:lang w:val="en-US" w:eastAsia="zh-CN"/>
                <w:highlight w:val="none"/>
              </w:rPr>
              <w:t>000×</w:t>
            </w:r>
            <w:r>
              <w:rPr>
                <w:rFonts w:hint="eastAsia"/>
                <w:color w:val="auto"/>
                <w:kern w:val="0"/>
                <w:lang w:val="en-US" w:eastAsia="zh-CN"/>
                <w:highlight w:val="none"/>
              </w:rPr>
              <w:t>3.3</w:t>
            </w:r>
            <w:r>
              <w:rPr>
                <w:rFonts w:ascii="Times New Roman" w:eastAsia="宋体" w:hAnsi="Times New Roman" w:hint="eastAsia"/>
                <w:color w:val="auto"/>
                <w:kern w:val="0"/>
                <w:lang w:val="en-US" w:eastAsia="zh-CN"/>
                <w:highlight w:val="none"/>
              </w:rPr>
              <w:t>）≈</w:t>
            </w:r>
            <w:r>
              <w:rPr>
                <w:rFonts w:hint="eastAsia"/>
                <w:color w:val="auto"/>
                <w:kern w:val="0"/>
                <w:lang w:val="en-US" w:eastAsia="zh-CN"/>
                <w:highlight w:val="none"/>
              </w:rPr>
              <w:t>6689</w:t>
            </w:r>
            <w:r>
              <w:rPr>
                <w:rFonts w:ascii="Times New Roman" w:eastAsia="宋体" w:hAnsi="Times New Roman" w:hint="eastAsia"/>
                <w:color w:val="auto"/>
                <w:kern w:val="0"/>
                <w:lang w:val="en-US" w:eastAsia="zh-CN"/>
                <w:highlight w:val="none"/>
              </w:rPr>
              <w:t>天，设计二级活性炭吸附装置</w:t>
            </w:r>
            <w:r>
              <w:rPr>
                <w:rFonts w:hint="eastAsia"/>
                <w:color w:val="auto"/>
                <w:kern w:val="0"/>
                <w:lang w:val="en-US" w:eastAsia="zh-CN"/>
                <w:highlight w:val="none"/>
              </w:rPr>
              <w:t>一年</w:t>
            </w:r>
            <w:r>
              <w:rPr>
                <w:rFonts w:ascii="Times New Roman" w:eastAsia="宋体" w:hAnsi="Times New Roman" w:hint="eastAsia"/>
                <w:color w:val="auto"/>
                <w:kern w:val="0"/>
                <w:lang w:val="en-US" w:eastAsia="zh-CN"/>
                <w:highlight w:val="none"/>
              </w:rPr>
              <w:t>更换一次活性炭，则两级活性炭吸附装置废活性炭产生量为</w:t>
            </w:r>
            <w:r>
              <w:rPr>
                <w:rFonts w:hint="eastAsia"/>
                <w:color w:val="auto"/>
                <w:kern w:val="0"/>
                <w:lang w:val="en-US" w:eastAsia="zh-CN"/>
                <w:highlight w:val="none"/>
              </w:rPr>
              <w:t>0.5</w:t>
            </w:r>
            <w:r>
              <w:rPr>
                <w:rFonts w:ascii="Times New Roman" w:eastAsia="宋体" w:hAnsi="Times New Roman" w:hint="eastAsia"/>
                <w:color w:val="auto"/>
                <w:kern w:val="0"/>
                <w:lang w:val="en-US" w:eastAsia="zh-CN"/>
                <w:highlight w:val="none"/>
              </w:rPr>
              <w:t>t×（300÷</w:t>
            </w:r>
            <w:r>
              <w:rPr>
                <w:rFonts w:hint="eastAsia"/>
                <w:color w:val="auto"/>
                <w:kern w:val="0"/>
                <w:lang w:val="en-US" w:eastAsia="zh-CN"/>
                <w:highlight w:val="none"/>
              </w:rPr>
              <w:t>300</w:t>
            </w:r>
            <w:r>
              <w:rPr>
                <w:rFonts w:ascii="Times New Roman" w:eastAsia="宋体" w:hAnsi="Times New Roman" w:hint="eastAsia"/>
                <w:color w:val="auto"/>
                <w:kern w:val="0"/>
                <w:lang w:val="en-US" w:eastAsia="zh-CN"/>
                <w:highlight w:val="none"/>
              </w:rPr>
              <w:t>）+</w:t>
            </w:r>
            <w:r>
              <w:rPr>
                <w:rFonts w:hint="eastAsia"/>
                <w:color w:val="auto"/>
                <w:kern w:val="0"/>
                <w:lang w:val="en-US" w:eastAsia="zh-CN"/>
                <w:highlight w:val="none"/>
              </w:rPr>
              <w:t>0.5</w:t>
            </w:r>
            <w:r>
              <w:rPr>
                <w:rFonts w:ascii="Times New Roman" w:eastAsia="宋体" w:hAnsi="Times New Roman" w:hint="eastAsia"/>
                <w:color w:val="auto"/>
                <w:kern w:val="0"/>
                <w:lang w:val="en-US" w:eastAsia="zh-CN"/>
                <w:highlight w:val="none"/>
              </w:rPr>
              <w:t>t×（300÷</w:t>
            </w:r>
            <w:r>
              <w:rPr>
                <w:rFonts w:hint="eastAsia"/>
                <w:color w:val="auto"/>
                <w:kern w:val="0"/>
                <w:lang w:val="en-US" w:eastAsia="zh-CN"/>
                <w:highlight w:val="none"/>
              </w:rPr>
              <w:t>300</w:t>
            </w:r>
            <w:r>
              <w:rPr>
                <w:rFonts w:ascii="Times New Roman" w:eastAsia="宋体" w:hAnsi="Times New Roman" w:hint="eastAsia"/>
                <w:color w:val="auto"/>
                <w:kern w:val="0"/>
                <w:lang w:val="en-US" w:eastAsia="zh-CN"/>
                <w:highlight w:val="none"/>
              </w:rPr>
              <w:t>）+</w:t>
            </w:r>
            <w:r>
              <w:rPr>
                <w:rFonts w:hint="eastAsia"/>
                <w:color w:val="auto"/>
                <w:kern w:val="0"/>
                <w:lang w:val="en-US" w:eastAsia="zh-CN"/>
                <w:highlight w:val="none"/>
              </w:rPr>
              <w:t>0.0125</w:t>
            </w:r>
            <w:r>
              <w:rPr>
                <w:rFonts w:ascii="Times New Roman" w:eastAsia="宋体" w:hAnsi="Times New Roman" w:hint="eastAsia"/>
                <w:color w:val="auto"/>
                <w:kern w:val="0"/>
                <w:lang w:val="en-US" w:eastAsia="zh-CN"/>
                <w:highlight w:val="none"/>
              </w:rPr>
              <w:t>t（非甲烷总烃量）=</w:t>
            </w:r>
            <w:r>
              <w:rPr>
                <w:rFonts w:hint="eastAsia"/>
                <w:color w:val="auto"/>
                <w:kern w:val="0"/>
                <w:lang w:val="en-US" w:eastAsia="zh-CN"/>
                <w:highlight w:val="none"/>
              </w:rPr>
              <w:t>1.0125</w:t>
            </w:r>
            <w:r>
              <w:rPr>
                <w:rFonts w:ascii="Times New Roman" w:eastAsia="宋体" w:hAnsi="Times New Roman" w:hint="eastAsia"/>
                <w:color w:val="auto"/>
                <w:kern w:val="0"/>
                <w:lang w:val="en-US" w:eastAsia="zh-CN"/>
                <w:highlight w:val="none"/>
              </w:rPr>
              <w:t>t/a；</w:t>
            </w:r>
          </w:p>
          <w:p>
            <w:pPr>
              <w:rPr>
                <w:rFonts w:ascii="Times New Roman" w:eastAsia="宋体" w:hAnsi="Times New Roman" w:hint="eastAsia"/>
                <w:color w:val="auto"/>
                <w:kern w:val="0"/>
                <w:lang w:val="en-US" w:eastAsia="zh-CN"/>
                <w:highlight w:val="none"/>
              </w:rPr>
            </w:pPr>
            <w:r>
              <w:rPr>
                <w:rFonts w:ascii="Times New Roman" w:eastAsia="宋体" w:hAnsi="Times New Roman" w:hint="eastAsia"/>
                <w:color w:val="auto"/>
                <w:kern w:val="0"/>
                <w:lang w:val="en-US" w:eastAsia="zh-CN"/>
                <w:highlight w:val="none"/>
              </w:rPr>
              <w:t>综上废活性炭（废气治理设施）总产生量为</w:t>
            </w:r>
            <w:r>
              <w:rPr>
                <w:rFonts w:hint="eastAsia"/>
                <w:color w:val="auto"/>
                <w:kern w:val="0"/>
                <w:lang w:val="en-US" w:eastAsia="zh-CN"/>
                <w:highlight w:val="none"/>
              </w:rPr>
              <w:t>21.674</w:t>
            </w:r>
            <w:r>
              <w:rPr>
                <w:rFonts w:ascii="Times New Roman" w:eastAsia="宋体" w:hAnsi="Times New Roman" w:hint="eastAsia"/>
                <w:color w:val="auto"/>
                <w:kern w:val="0"/>
                <w:lang w:val="en-US" w:eastAsia="zh-CN"/>
                <w:highlight w:val="none"/>
              </w:rPr>
              <w:t>t+</w:t>
            </w:r>
            <w:r>
              <w:rPr>
                <w:rFonts w:hint="eastAsia"/>
                <w:color w:val="auto"/>
                <w:kern w:val="0"/>
                <w:lang w:val="en-US" w:eastAsia="zh-CN"/>
                <w:highlight w:val="none"/>
              </w:rPr>
              <w:t>1.0125</w:t>
            </w:r>
            <w:r>
              <w:rPr>
                <w:rFonts w:ascii="Times New Roman" w:eastAsia="宋体" w:hAnsi="Times New Roman" w:hint="eastAsia"/>
                <w:color w:val="auto"/>
                <w:kern w:val="0"/>
                <w:lang w:val="en-US" w:eastAsia="zh-CN"/>
                <w:highlight w:val="none"/>
              </w:rPr>
              <w:t>t=</w:t>
            </w:r>
            <w:r>
              <w:rPr>
                <w:rFonts w:hint="eastAsia"/>
                <w:color w:val="auto"/>
                <w:kern w:val="0"/>
                <w:lang w:val="en-US" w:eastAsia="zh-CN"/>
                <w:highlight w:val="none"/>
              </w:rPr>
              <w:t>22.6865</w:t>
            </w:r>
            <w:r>
              <w:rPr>
                <w:rFonts w:ascii="Times New Roman" w:eastAsia="宋体" w:hAnsi="Times New Roman" w:hint="eastAsia"/>
                <w:color w:val="auto"/>
                <w:kern w:val="0"/>
                <w:lang w:val="en-US" w:eastAsia="zh-CN"/>
                <w:highlight w:val="none"/>
              </w:rPr>
              <w:t>t，收集后均暂存危废间中，定期交由有资质单位处置。</w:t>
            </w:r>
          </w:p>
          <w:p>
            <w:pPr>
              <w:rPr>
                <w:rFonts w:hint="eastAsia"/>
                <w:color w:val="auto"/>
                <w:kern w:val="0"/>
                <w:lang w:val="en-US" w:eastAsia="zh-CN"/>
                <w:highlight w:val="none"/>
              </w:rPr>
            </w:pPr>
            <w:r>
              <w:rPr>
                <w:rFonts w:hint="eastAsia"/>
                <w:color w:val="auto"/>
                <w:kern w:val="0"/>
                <w:lang w:val="en-US" w:eastAsia="zh-CN"/>
                <w:highlight w:val="none"/>
              </w:rPr>
              <w:t>⑥废干式酸雾净化器吸附剂</w:t>
            </w:r>
          </w:p>
          <w:p>
            <w:pPr>
              <w:pStyle w:val="15"/>
              <w:rPr>
                <w:lang w:val="en-US" w:eastAsia="zh-CN"/>
              </w:rPr>
            </w:pPr>
            <w:r>
              <w:rPr>
                <w:rFonts w:hint="eastAsia"/>
                <w:color w:val="auto"/>
                <w:kern w:val="0"/>
                <w:lang w:val="en-US" w:eastAsia="zh-CN"/>
                <w:highlight w:val="none"/>
              </w:rPr>
              <w:t>根据设备厂家提供资料，本项目所用SDG吸附剂吸附能力约为每吨SDG吸附剂吸收酸性废气0.1t，吸附容量为10%，则废干式酸雾净化器吸附剂产生量为0.0115t/a，收集后暂存于危废间，定期交由资质单位处理。</w:t>
            </w:r>
          </w:p>
          <w:p>
            <w:pPr>
              <w:rPr>
                <w:color w:val="auto"/>
              </w:rPr>
            </w:pPr>
            <w:r>
              <w:rPr>
                <w:rFonts w:hint="eastAsia"/>
                <w:color w:val="auto"/>
              </w:rPr>
              <w:t>（2）危险废物管理要求</w:t>
            </w:r>
          </w:p>
          <w:p>
            <w:pPr>
              <w:rPr>
                <w:rFonts w:eastAsia="宋体"/>
                <w:color w:val="auto"/>
                <w:lang w:val="en-US" w:eastAsia="zh-CN"/>
              </w:rPr>
            </w:pPr>
            <w:r>
              <w:rPr>
                <w:rFonts w:hint="eastAsia"/>
                <w:color w:val="auto"/>
              </w:rPr>
              <w:t>本项目</w:t>
            </w:r>
            <w:r>
              <w:rPr>
                <w:rFonts w:hint="eastAsia"/>
                <w:color w:val="auto"/>
                <w:lang w:val="en-US" w:eastAsia="zh-CN"/>
              </w:rPr>
              <w:t>新建</w:t>
            </w:r>
            <w:r>
              <w:rPr>
                <w:rFonts w:hint="eastAsia"/>
                <w:color w:val="auto"/>
              </w:rPr>
              <w:t>1座</w:t>
            </w:r>
            <w:r>
              <w:rPr>
                <w:rFonts w:hint="eastAsia"/>
                <w:color w:val="auto"/>
                <w:lang w:val="en-US" w:eastAsia="zh-CN"/>
              </w:rPr>
              <w:t>40</w:t>
            </w:r>
            <w:r>
              <w:rPr>
                <w:color w:val="auto"/>
              </w:rPr>
              <w:t>m</w:t>
            </w:r>
            <w:r>
              <w:rPr>
                <w:color w:val="auto"/>
                <w:vertAlign w:val="superscript"/>
              </w:rPr>
              <w:t>2</w:t>
            </w:r>
            <w:r>
              <w:rPr>
                <w:color w:val="auto"/>
              </w:rPr>
              <w:t>危废暂存间</w:t>
            </w:r>
            <w:r>
              <w:rPr>
                <w:rFonts w:hint="eastAsia"/>
                <w:color w:val="auto"/>
              </w:rPr>
              <w:t>，储存能力</w:t>
            </w:r>
            <w:r>
              <w:rPr>
                <w:rFonts w:hint="eastAsia"/>
                <w:color w:val="auto"/>
                <w:lang w:val="en-US" w:eastAsia="zh-CN"/>
              </w:rPr>
              <w:t>为40</w:t>
            </w:r>
            <w:r>
              <w:rPr>
                <w:rFonts w:hint="eastAsia"/>
                <w:color w:val="auto"/>
              </w:rPr>
              <w:t>t，</w:t>
            </w:r>
            <w:r>
              <w:rPr>
                <w:rFonts w:hint="eastAsia"/>
                <w:color w:val="auto"/>
                <w:lang w:val="en-US" w:eastAsia="zh-CN"/>
              </w:rPr>
              <w:t>防渗措施</w:t>
            </w:r>
            <w:r>
              <w:rPr>
                <w:rFonts w:hint="eastAsia"/>
                <w:color w:val="auto"/>
              </w:rPr>
              <w:t>严格按照《危险废物贮存污染控制标准》（GB18597-2023）中的相关要求建设。</w:t>
            </w:r>
            <w:r>
              <w:rPr>
                <w:rFonts w:hint="eastAsia"/>
                <w:color w:val="auto"/>
                <w:lang w:val="en-US" w:eastAsia="zh-CN"/>
              </w:rPr>
              <w:t>本项目完成后全厂产生的危险废物为化验室废液、化验室废包装、废机油、废润滑油、废油桶、废活性炭，约占用危废暂存间约15m</w:t>
            </w:r>
            <w:r>
              <w:rPr>
                <w:rFonts w:hint="eastAsia"/>
                <w:color w:val="auto"/>
                <w:vertAlign w:val="superscript"/>
                <w:lang w:val="en-US" w:eastAsia="zh-CN"/>
              </w:rPr>
              <w:t>2</w:t>
            </w:r>
            <w:r>
              <w:rPr>
                <w:rFonts w:hint="eastAsia"/>
                <w:color w:val="auto"/>
                <w:lang w:val="en-US" w:eastAsia="zh-CN"/>
              </w:rPr>
              <w:t>，新建危废间可满足技改完成后全厂危险废物储存要求。</w:t>
            </w:r>
            <w:r>
              <w:rPr>
                <w:rFonts w:ascii="Times New Roman" w:eastAsia="宋体" w:cs="Times New Roman" w:hAnsi="Times New Roman"/>
                <w:color w:val="auto"/>
                <w:sz w:val="24"/>
                <w:highlight w:val="none"/>
              </w:rPr>
              <w:t>本项目危险废物</w:t>
            </w:r>
            <w:r>
              <w:rPr>
                <w:rFonts w:cs="Times New Roman" w:hint="eastAsia"/>
                <w:color w:val="auto"/>
                <w:sz w:val="24"/>
                <w:lang w:val="en-US" w:eastAsia="zh-CN"/>
                <w:highlight w:val="none"/>
              </w:rPr>
              <w:t>分类</w:t>
            </w:r>
            <w:r>
              <w:rPr>
                <w:rFonts w:ascii="Times New Roman" w:eastAsia="宋体" w:cs="Times New Roman" w:hAnsi="Times New Roman"/>
                <w:color w:val="auto"/>
                <w:sz w:val="24"/>
                <w:highlight w:val="none"/>
              </w:rPr>
              <w:t>采用</w:t>
            </w:r>
            <w:r>
              <w:rPr>
                <w:rFonts w:ascii="Times New Roman" w:eastAsia="宋体" w:cs="Times New Roman" w:hAnsi="Times New Roman" w:hint="eastAsia"/>
                <w:color w:val="auto"/>
                <w:sz w:val="24"/>
                <w:lang w:val="en-US" w:eastAsia="zh-CN"/>
                <w:highlight w:val="none"/>
              </w:rPr>
              <w:t>密闭容器</w:t>
            </w:r>
            <w:r>
              <w:rPr>
                <w:rFonts w:ascii="Times New Roman" w:eastAsia="宋体" w:cs="Times New Roman" w:hAnsi="Times New Roman"/>
                <w:color w:val="auto"/>
                <w:sz w:val="24"/>
                <w:highlight w:val="none"/>
              </w:rPr>
              <w:t>加盖密闭，托盘放置贮存</w:t>
            </w:r>
            <w:r>
              <w:rPr>
                <w:rFonts w:cs="Times New Roman" w:hint="eastAsia"/>
                <w:color w:val="auto"/>
                <w:sz w:val="24"/>
                <w:lang w:eastAsia="zh-CN"/>
                <w:highlight w:val="none"/>
              </w:rPr>
              <w:t>。</w:t>
            </w:r>
            <w:r>
              <w:rPr>
                <w:rFonts w:cs="Times New Roman" w:hint="eastAsia"/>
                <w:color w:val="auto"/>
                <w:sz w:val="24"/>
                <w:lang w:val="en-US" w:eastAsia="zh-CN"/>
                <w:highlight w:val="none"/>
              </w:rPr>
              <w:t>废活性炭中的有机物常温下不会析出且用密封容器加盖密闭储存，废机油废润滑油挥发性低且全部密闭贮存，废油桶30L放入50L密封桶内储存，不会产生挥发性有机废气。</w:t>
            </w:r>
            <w:r>
              <w:rPr>
                <w:rFonts w:ascii="Times New Roman" w:eastAsia="宋体" w:cs="Times New Roman" w:hAnsi="Times New Roman" w:hint="eastAsia"/>
                <w:color w:val="auto"/>
                <w:sz w:val="24"/>
                <w:lang w:val="en-US" w:eastAsia="zh-CN"/>
                <w:highlight w:val="none"/>
              </w:rPr>
              <w:t>不属于</w:t>
            </w:r>
            <w:r>
              <w:rPr>
                <w:rFonts w:cs="Times New Roman" w:hint="eastAsia"/>
                <w:color w:val="auto"/>
                <w:sz w:val="24"/>
                <w:lang w:val="en-US" w:eastAsia="zh-CN"/>
                <w:highlight w:val="none"/>
              </w:rPr>
              <w:t>《</w:t>
            </w:r>
            <w:r>
              <w:rPr>
                <w:rFonts w:ascii="Times New Roman" w:eastAsia="宋体" w:cs="Times New Roman" w:hAnsi="Times New Roman" w:hint="eastAsia"/>
                <w:color w:val="auto"/>
                <w:sz w:val="24"/>
                <w:lang w:val="en-US" w:eastAsia="zh-CN"/>
                <w:highlight w:val="none"/>
              </w:rPr>
              <w:t>工业企业挥发性有机物排放控制标准</w:t>
            </w:r>
            <w:r>
              <w:rPr>
                <w:rFonts w:cs="Times New Roman" w:hint="eastAsia"/>
                <w:color w:val="auto"/>
                <w:sz w:val="24"/>
                <w:lang w:val="en-US" w:eastAsia="zh-CN"/>
                <w:highlight w:val="none"/>
              </w:rPr>
              <w:t>》（DB 13/ 2322-2025）中“</w:t>
            </w:r>
            <w:r>
              <w:rPr>
                <w:rFonts w:ascii="Times New Roman" w:eastAsia="宋体" w:cs="Times New Roman" w:hAnsi="Times New Roman" w:hint="eastAsia"/>
                <w:color w:val="auto"/>
                <w:sz w:val="24"/>
                <w:highlight w:val="none"/>
              </w:rPr>
              <w:t>4.5.2 贮存易产生VOCs、有毒有害大气污染物和刺激性气味气体的危险废物贮存库，应设置气体收集装置和气体净化设施</w:t>
            </w:r>
            <w:r>
              <w:rPr>
                <w:rFonts w:cs="Times New Roman" w:hint="eastAsia"/>
                <w:color w:val="auto"/>
                <w:sz w:val="24"/>
                <w:lang w:val="en-US" w:eastAsia="zh-CN"/>
                <w:highlight w:val="none"/>
              </w:rPr>
              <w:t>”的范畴</w:t>
            </w:r>
            <w:r>
              <w:rPr>
                <w:rFonts w:ascii="Times New Roman" w:eastAsia="宋体" w:cs="Times New Roman" w:hAnsi="Times New Roman" w:hint="eastAsia"/>
                <w:color w:val="auto"/>
                <w:sz w:val="24"/>
                <w:highlight w:val="none"/>
              </w:rPr>
              <w:t>。</w:t>
            </w:r>
            <w:r>
              <w:rPr>
                <w:rFonts w:cs="Times New Roman" w:hint="eastAsia"/>
                <w:color w:val="auto"/>
                <w:sz w:val="24"/>
                <w:lang w:val="en-US" w:eastAsia="zh-CN"/>
                <w:highlight w:val="none"/>
              </w:rPr>
              <w:t>符合相关要求，</w:t>
            </w:r>
            <w:r>
              <w:rPr>
                <w:rFonts w:ascii="Times New Roman" w:eastAsia="宋体" w:cs="Times New Roman" w:hAnsi="Times New Roman"/>
                <w:color w:val="auto"/>
                <w:sz w:val="24"/>
                <w:highlight w:val="none"/>
              </w:rPr>
              <w:t>不会对环境空气产生明显影响。</w:t>
            </w:r>
          </w:p>
          <w:p>
            <w:pPr>
              <w:rPr>
                <w:color w:val="auto"/>
              </w:rPr>
            </w:pPr>
            <w:r>
              <w:rPr>
                <w:color w:val="auto"/>
              </w:rPr>
              <w:t>①危险废物贴有危险废物标识，贮存间设有危险废物警示标志，由专人进行管理，现场有危险废物排放量及处置记录。</w:t>
            </w:r>
          </w:p>
          <w:p>
            <w:pPr>
              <w:rPr>
                <w:color w:val="auto"/>
              </w:rPr>
            </w:pPr>
            <w:r>
              <w:rPr>
                <w:color w:val="auto"/>
              </w:rPr>
              <w:t>②废物间地面及四周裙脚均进行了防渗处理，防渗层渗透系数小于1×10</w:t>
            </w:r>
            <w:r>
              <w:rPr>
                <w:color w:val="auto"/>
                <w:vertAlign w:val="superscript"/>
              </w:rPr>
              <w:t>-10</w:t>
            </w:r>
            <w:r>
              <w:rPr>
                <w:color w:val="auto"/>
              </w:rPr>
              <w:t>cm/s。</w:t>
            </w:r>
          </w:p>
          <w:p>
            <w:pPr>
              <w:rPr>
                <w:color w:val="auto"/>
              </w:rPr>
            </w:pPr>
            <w:r>
              <w:rPr>
                <w:color w:val="auto"/>
              </w:rPr>
              <w:t>③对装有危险废物的密闭容器定期进行检查，泄漏损坏时必须立即进行处理，并将其装入完好容器内。</w:t>
            </w:r>
          </w:p>
          <w:p>
            <w:pPr>
              <w:tabs>
                <w:tab w:val="left" w:pos="2610"/>
              </w:tabs>
              <w:rPr>
                <w:color w:val="auto"/>
                <w:highlight w:val="yellow"/>
              </w:rPr>
            </w:pPr>
            <w:r>
              <w:rPr>
                <w:color w:val="auto"/>
              </w:rPr>
              <w:t>④危险废物转移应遵照《危险废物转移管理办法》</w:t>
            </w:r>
            <w:r>
              <w:rPr>
                <w:rFonts w:hint="eastAsia"/>
                <w:color w:val="auto"/>
              </w:rPr>
              <w:t>（2021年11月30日生态环境部、公安部、交通运输部令第23号）</w:t>
            </w:r>
            <w:r>
              <w:rPr>
                <w:color w:val="auto"/>
              </w:rPr>
              <w:t>及其他有关规定的要求。</w:t>
            </w:r>
          </w:p>
          <w:p>
            <w:pPr>
              <w:pStyle w:val="40"/>
              <w:rPr>
                <w:color w:val="auto"/>
              </w:rPr>
            </w:pPr>
            <w:r>
              <w:rPr>
                <w:color w:val="auto"/>
              </w:rPr>
              <w:t>表4-</w:t>
            </w:r>
            <w:r>
              <w:rPr>
                <w:rFonts w:hint="eastAsia"/>
                <w:color w:val="auto"/>
              </w:rPr>
              <w:t>1</w:t>
            </w:r>
            <w:r>
              <w:rPr>
                <w:rFonts w:hint="eastAsia"/>
                <w:color w:val="auto"/>
                <w:lang w:val="en-US" w:eastAsia="zh-CN"/>
              </w:rPr>
              <w:t>5</w:t>
            </w:r>
            <w:r>
              <w:rPr>
                <w:rFonts w:hint="eastAsia"/>
                <w:color w:val="auto"/>
              </w:rPr>
              <w:t xml:space="preserve">  本项目</w:t>
            </w:r>
            <w:r>
              <w:rPr>
                <w:rFonts w:hint="eastAsia"/>
                <w:color w:val="auto"/>
                <w:lang w:val="en-US" w:eastAsia="zh-CN"/>
              </w:rPr>
              <w:t>完成后全厂</w:t>
            </w:r>
            <w:r>
              <w:rPr>
                <w:color w:val="auto"/>
              </w:rPr>
              <w:t>固体废物汇总表</w:t>
            </w:r>
          </w:p>
          <w:tbl>
            <w:tblPr>
              <w:jc w:val="left"/>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
              <w:gridCol w:w="636"/>
              <w:gridCol w:w="426"/>
              <w:gridCol w:w="426"/>
              <w:gridCol w:w="426"/>
              <w:gridCol w:w="869"/>
              <w:gridCol w:w="1147"/>
              <w:gridCol w:w="899"/>
              <w:gridCol w:w="1113"/>
              <w:gridCol w:w="1101"/>
              <w:gridCol w:w="899"/>
            </w:tblGrid>
            <w:tr>
              <w:trPr>
                <w:trHeight w:val="454"/>
              </w:trPr>
              <w:tc>
                <w:tcPr>
                  <w:tcW w:w="500"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产生环节</w:t>
                  </w: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固废名称</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属性</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主要有毒有害物质名称</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物理性状</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环境危险特性</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固废代码</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产生量</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贮存方式</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利用处置方式和去向</w:t>
                  </w:r>
                </w:p>
              </w:tc>
              <w:tc>
                <w:tcPr>
                  <w:tcW w:w="965"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利用或处置量</w:t>
                  </w:r>
                </w:p>
              </w:tc>
            </w:tr>
            <w:tr>
              <w:trPr>
                <w:trHeight w:val="454"/>
              </w:trPr>
              <w:tc>
                <w:tcPr>
                  <w:tcW w:w="500"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原料</w:t>
                  </w: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原料包装袋</w:t>
                  </w:r>
                </w:p>
              </w:tc>
              <w:tc>
                <w:tcPr>
                  <w:vMerge w:val="restart"/>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一般固废</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固体</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w:t>
                  </w:r>
                </w:p>
              </w:tc>
              <w:tc>
                <w:tcPr>
                  <w:tcW w:w="1315"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262-002-07</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2</w:t>
                  </w:r>
                  <w:r>
                    <w:rPr>
                      <w:rFonts w:cs="Times New Roman" w:hint="eastAsia"/>
                      <w:color w:val="auto"/>
                      <w:sz w:val="21"/>
                      <w:szCs w:val="21"/>
                      <w:lang w:val="en-US" w:eastAsia="zh-CN"/>
                      <w:highlight w:val="none"/>
                    </w:rPr>
                    <w:t>.05</w:t>
                  </w:r>
                  <w:r>
                    <w:rPr>
                      <w:rFonts w:ascii="Times New Roman" w:eastAsia="宋体" w:cs="Times New Roman" w:hAnsi="Times New Roman" w:hint="eastAsia"/>
                      <w:color w:val="auto"/>
                      <w:sz w:val="21"/>
                      <w:szCs w:val="21"/>
                      <w:lang w:val="en-US" w:eastAsia="zh-CN"/>
                      <w:highlight w:val="none"/>
                    </w:rPr>
                    <w:t>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堆放</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统一收集</w:t>
                  </w:r>
                  <w:r>
                    <w:rPr>
                      <w:rFonts w:ascii="Times New Roman" w:eastAsia="宋体" w:cs="Times New Roman" w:hAnsi="Times New Roman" w:hint="eastAsia"/>
                      <w:color w:val="auto"/>
                      <w:sz w:val="21"/>
                      <w:szCs w:val="21"/>
                      <w:lang w:val="en-US" w:eastAsia="zh-CN"/>
                      <w:highlight w:val="none"/>
                    </w:rPr>
                    <w:t>外售</w:t>
                  </w:r>
                </w:p>
              </w:tc>
              <w:tc>
                <w:tcPr>
                  <w:tcW w:w="965"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2</w:t>
                  </w:r>
                  <w:r>
                    <w:rPr>
                      <w:rFonts w:cs="Times New Roman" w:hint="eastAsia"/>
                      <w:color w:val="auto"/>
                      <w:sz w:val="21"/>
                      <w:szCs w:val="21"/>
                      <w:lang w:val="en-US" w:eastAsia="zh-CN"/>
                      <w:highlight w:val="none"/>
                    </w:rPr>
                    <w:t>.05</w:t>
                  </w:r>
                  <w:r>
                    <w:rPr>
                      <w:rFonts w:ascii="Times New Roman" w:eastAsia="宋体" w:cs="Times New Roman" w:hAnsi="Times New Roman" w:hint="eastAsia"/>
                      <w:color w:val="auto"/>
                      <w:sz w:val="21"/>
                      <w:szCs w:val="21"/>
                      <w:lang w:val="en-US" w:eastAsia="zh-CN"/>
                      <w:highlight w:val="none"/>
                    </w:rPr>
                    <w:t>t</w:t>
                  </w:r>
                </w:p>
              </w:tc>
            </w:tr>
            <w:tr>
              <w:trPr>
                <w:trHeight w:val="454"/>
              </w:trPr>
              <w:tc>
                <w:tcPr>
                  <w:tcW w:w="500" w:type="dxa"/>
                  <w:vMerge w:val="restart"/>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治理设施</w:t>
                  </w: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除尘灰</w:t>
                  </w:r>
                </w:p>
              </w:tc>
              <w:tc>
                <w:tcPr>
                  <w:vMerge/>
                  <w:tcBorders>
                    <w:tl2br w:val="nil"/>
                    <w:tr2bl w:val="nil"/>
                  </w:tcBorders>
                  <w:vAlign w:val="center"/>
                </w:tcP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固体</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w:t>
                  </w:r>
                </w:p>
              </w:tc>
              <w:tc>
                <w:tcPr>
                  <w:tcW w:w="1315"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262-002-66</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1103.15</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回用于生产</w:t>
                  </w:r>
                </w:p>
              </w:tc>
              <w:tc>
                <w:tcPr>
                  <w:tcW w:w="965"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1103.15</w:t>
                  </w:r>
                </w:p>
              </w:tc>
            </w:tr>
            <w:tr>
              <w:trPr>
                <w:trHeight w:val="454"/>
              </w:trPr>
              <w:tc>
                <w:tcPr>
                  <w:tcW w:w="500" w:type="dxa"/>
                  <w:vMerge/>
                  <w:tcBorders>
                    <w:tl2br w:val="nil"/>
                    <w:tr2bl w:val="nil"/>
                  </w:tcBorders>
                  <w:vAlign w:val="center"/>
                </w:tcPr>
                <w:p/>
              </w:tc>
              <w:tc>
                <w:tcPr>
                  <w:tcW w:w="786" w:type="dxa"/>
                  <w:tcBorders>
                    <w:tl2br w:val="nil"/>
                    <w:tr2bl w:val="nil"/>
                  </w:tcBorders>
                  <w:vAlign w:val="center"/>
                </w:tcPr>
                <w:p>
                  <w:pPr>
                    <w:snapToGrid w:val="0"/>
                    <w:spacing w:line="240" w:lineRule="auto"/>
                    <w:ind w:firstLineChars="0"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废干式酸雾净化器吸附剂</w:t>
                  </w:r>
                </w:p>
              </w:tc>
              <w:tc>
                <w:tcPr>
                  <w:tcW w:w="501"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危险废物</w:t>
                  </w:r>
                </w:p>
              </w:tc>
              <w:tc>
                <w:tcPr>
                  <w:tcBorders>
                    <w:tl2br w:val="nil"/>
                    <w:tr2bl w:val="nil"/>
                  </w:tcBorders>
                  <w:vAlign w:val="center"/>
                </w:tcPr>
                <w:p>
                  <w:pPr>
                    <w:snapToGrid w:val="0"/>
                    <w:spacing w:line="240" w:lineRule="auto"/>
                    <w:ind w:firstLineChars="0" w:firstLine="0"/>
                    <w:jc w:val="center"/>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固体</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T</w:t>
                  </w:r>
                </w:p>
              </w:tc>
              <w:tc>
                <w:tcPr>
                  <w:tcW w:w="1315"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900-042-49</w:t>
                  </w:r>
                </w:p>
              </w:tc>
              <w:tc>
                <w:tcPr>
                  <w:tcBorders>
                    <w:tl2br w:val="nil"/>
                    <w:tr2bl w:val="nil"/>
                  </w:tcBorders>
                  <w:vAlign w:val="center"/>
                </w:tcPr>
                <w:p>
                  <w:pPr>
                    <w:snapToGrid w:val="0"/>
                    <w:spacing w:line="240" w:lineRule="auto"/>
                    <w:ind w:firstLineChars="0" w:firstLine="0"/>
                    <w:jc w:val="center"/>
                    <w:rPr>
                      <w:rFonts w:cs="Times New Roman"/>
                      <w:color w:val="auto"/>
                      <w:sz w:val="21"/>
                      <w:szCs w:val="21"/>
                      <w:lang w:val="en-US" w:eastAsia="zh-CN"/>
                      <w:highlight w:val="none"/>
                    </w:rPr>
                  </w:pPr>
                  <w:r>
                    <w:rPr>
                      <w:rFonts w:cs="Times New Roman" w:hint="eastAsia"/>
                      <w:color w:val="auto"/>
                      <w:sz w:val="21"/>
                      <w:szCs w:val="21"/>
                      <w:lang w:val="en-US" w:eastAsia="zh-CN"/>
                      <w:highlight w:val="none"/>
                    </w:rPr>
                    <w:t>0.0115</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密闭桶装封盖</w:t>
                  </w:r>
                </w:p>
              </w:tc>
              <w:tc>
                <w:tcPr>
                  <w:tcW w:w="1045" w:type="dxa"/>
                  <w:vMerge w:val="restart"/>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暂存于危废间，定期交由有资质单位处理</w:t>
                  </w:r>
                </w:p>
              </w:tc>
              <w:tc>
                <w:tcPr>
                  <w:tcW w:w="965" w:type="dxa"/>
                  <w:tcBorders>
                    <w:tl2br w:val="nil"/>
                    <w:tr2bl w:val="nil"/>
                  </w:tcBorders>
                  <w:shd w:val="clear" w:color="auto" w:fill="auto"/>
                  <w:vAlign w:val="center"/>
                </w:tcPr>
                <w:p>
                  <w:pPr>
                    <w:snapToGrid w:val="0"/>
                    <w:spacing w:line="240" w:lineRule="auto"/>
                    <w:ind w:firstLineChars="0" w:firstLine="0"/>
                    <w:jc w:val="center"/>
                    <w:rPr>
                      <w:rFonts w:cs="Times New Roman"/>
                      <w:color w:val="auto"/>
                      <w:sz w:val="21"/>
                      <w:szCs w:val="21"/>
                      <w:lang w:val="en-US" w:eastAsia="zh-CN"/>
                      <w:highlight w:val="none"/>
                    </w:rPr>
                  </w:pPr>
                  <w:r>
                    <w:rPr>
                      <w:rFonts w:cs="Times New Roman" w:hint="eastAsia"/>
                      <w:color w:val="auto"/>
                      <w:sz w:val="21"/>
                      <w:szCs w:val="21"/>
                      <w:lang w:val="en-US" w:eastAsia="zh-CN"/>
                      <w:highlight w:val="none"/>
                    </w:rPr>
                    <w:t>0.0115</w:t>
                  </w:r>
                </w:p>
              </w:tc>
            </w:tr>
            <w:tr>
              <w:trPr>
                <w:trHeight w:val="454"/>
              </w:trPr>
              <w:tc>
                <w:tcPr>
                  <w:tcW w:w="500" w:type="dxa"/>
                  <w:vMerge/>
                  <w:tcBorders>
                    <w:tl2br w:val="nil"/>
                    <w:tr2bl w:val="nil"/>
                  </w:tcBorders>
                  <w:vAlign w:val="center"/>
                </w:tcP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废活性炭</w:t>
                  </w:r>
                </w:p>
              </w:tc>
              <w:tc>
                <w:tcPr>
                  <w:tcW w:w="501" w:type="dxa"/>
                  <w:vMerge w:val="restart"/>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危险废物</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固体</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T</w:t>
                  </w:r>
                </w:p>
              </w:tc>
              <w:tc>
                <w:tcPr>
                  <w:tcW w:w="1315"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900-039-49</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22.6865</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密闭</w:t>
                  </w:r>
                  <w:r>
                    <w:rPr>
                      <w:rFonts w:cs="Times New Roman" w:hint="eastAsia"/>
                      <w:color w:val="auto"/>
                      <w:sz w:val="21"/>
                      <w:szCs w:val="21"/>
                      <w:lang w:val="en-US" w:eastAsia="zh-CN"/>
                      <w:highlight w:val="none"/>
                    </w:rPr>
                    <w:t>桶装封盖</w:t>
                  </w:r>
                </w:p>
              </w:tc>
              <w:tc>
                <w:tcPr>
                  <w:tcW w:w="1045" w:type="dxa"/>
                  <w:vMerge/>
                  <w:tcBorders>
                    <w:tl2br w:val="nil"/>
                    <w:tr2bl w:val="nil"/>
                  </w:tcBorders>
                  <w:vAlign w:val="center"/>
                </w:tcPr>
                <w:p/>
              </w:tc>
              <w:tc>
                <w:tcPr>
                  <w:tcW w:w="965" w:type="dxa"/>
                  <w:tcBorders>
                    <w:tl2br w:val="nil"/>
                    <w:tr2bl w:val="nil"/>
                  </w:tcBorders>
                  <w:shd w:val="clear" w:color="auto" w:fill="auto"/>
                  <w:vAlign w:val="center"/>
                </w:tcPr>
                <w:p>
                  <w:pPr>
                    <w:snapToGrid w:val="0"/>
                    <w:spacing w:line="240" w:lineRule="auto"/>
                    <w:ind w:firstLineChars="0" w:firstLine="0"/>
                    <w:jc w:val="center"/>
                    <w:rPr>
                      <w:rFonts w:cs="Times New Roman"/>
                      <w:color w:val="auto"/>
                      <w:sz w:val="21"/>
                      <w:szCs w:val="21"/>
                      <w:lang w:val="en-US" w:eastAsia="zh-CN"/>
                      <w:highlight w:val="none"/>
                    </w:rPr>
                  </w:pPr>
                  <w:r>
                    <w:rPr>
                      <w:rFonts w:cs="Times New Roman" w:hint="eastAsia"/>
                      <w:color w:val="auto"/>
                      <w:sz w:val="21"/>
                      <w:szCs w:val="21"/>
                      <w:lang w:val="en-US" w:eastAsia="zh-CN"/>
                      <w:highlight w:val="none"/>
                    </w:rPr>
                    <w:t>22.6865</w:t>
                  </w:r>
                </w:p>
              </w:tc>
            </w:tr>
            <w:tr>
              <w:trPr>
                <w:trHeight w:val="454"/>
              </w:trPr>
              <w:tc>
                <w:tcPr>
                  <w:tcW w:w="500" w:type="dxa"/>
                  <w:vMerge w:val="restart"/>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化验室</w:t>
                  </w: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化验室废液</w:t>
                  </w:r>
                </w:p>
              </w:tc>
              <w:tc>
                <w:tcPr>
                  <w:tcW w:w="501" w:type="dxa"/>
                  <w:vMerge/>
                  <w:tcBorders>
                    <w:tl2br w:val="nil"/>
                    <w:tr2bl w:val="nil"/>
                  </w:tcBorders>
                  <w:vAlign w:val="center"/>
                </w:tcP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废试剂</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液态</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T/C/I/R</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900-04</w:t>
                  </w:r>
                  <w:r>
                    <w:rPr>
                      <w:rFonts w:ascii="Times New Roman" w:eastAsia="宋体" w:cs="Times New Roman" w:hAnsi="Times New Roman" w:hint="eastAsia"/>
                      <w:color w:val="auto"/>
                      <w:sz w:val="21"/>
                      <w:szCs w:val="21"/>
                      <w:lang w:val="en-US" w:eastAsia="zh-CN"/>
                      <w:highlight w:val="none"/>
                    </w:rPr>
                    <w:t>1</w:t>
                  </w:r>
                  <w:r>
                    <w:rPr>
                      <w:rFonts w:ascii="Times New Roman" w:eastAsia="宋体" w:cs="Times New Roman" w:hAnsi="Times New Roman"/>
                      <w:color w:val="auto"/>
                      <w:sz w:val="21"/>
                      <w:szCs w:val="21"/>
                      <w:lang w:val="en-US" w:eastAsia="zh-CN"/>
                      <w:highlight w:val="none"/>
                    </w:rPr>
                    <w:t>-49</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1.2t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密闭容器</w:t>
                  </w:r>
                </w:p>
              </w:tc>
              <w:tc>
                <w:tcPr>
                  <w:tcW w:w="1045" w:type="dxa"/>
                  <w:vMerge/>
                  <w:tcBorders>
                    <w:tl2br w:val="nil"/>
                    <w:tr2bl w:val="nil"/>
                  </w:tcBorders>
                  <w:vAlign w:val="center"/>
                </w:tcPr>
                <w:p/>
              </w:tc>
              <w:tc>
                <w:tcPr>
                  <w:tcW w:w="965"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1.2t</w:t>
                  </w:r>
                </w:p>
              </w:tc>
            </w:tr>
            <w:tr>
              <w:trPr>
                <w:trHeight w:val="454"/>
              </w:trPr>
              <w:tc>
                <w:tcPr>
                  <w:tcW w:w="500" w:type="dxa"/>
                  <w:vMerge/>
                  <w:tcBorders>
                    <w:tl2br w:val="nil"/>
                    <w:tr2bl w:val="nil"/>
                  </w:tcBorders>
                  <w:vAlign w:val="center"/>
                </w:tcP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化验室废</w:t>
                  </w:r>
                  <w:r>
                    <w:rPr>
                      <w:rFonts w:ascii="Times New Roman" w:eastAsia="宋体" w:cs="Times New Roman" w:hAnsi="Times New Roman" w:hint="eastAsia"/>
                      <w:color w:val="auto"/>
                      <w:sz w:val="21"/>
                      <w:szCs w:val="21"/>
                      <w:lang w:val="en-US" w:eastAsia="zh-CN"/>
                      <w:highlight w:val="none"/>
                    </w:rPr>
                    <w:t>包装</w:t>
                  </w:r>
                </w:p>
              </w:tc>
              <w:tc>
                <w:tcPr>
                  <w:tcW w:w="501" w:type="dxa"/>
                  <w:vMerge/>
                  <w:tcBorders>
                    <w:tl2br w:val="nil"/>
                    <w:tr2bl w:val="nil"/>
                  </w:tcBorders>
                  <w:vAlign w:val="center"/>
                </w:tcP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化学试剂</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固体</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T/C/I/R</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900-041-49</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0.1t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密闭容器</w:t>
                  </w:r>
                </w:p>
              </w:tc>
              <w:tc>
                <w:tcPr>
                  <w:tcW w:w="1045" w:type="dxa"/>
                  <w:vMerge/>
                  <w:tcBorders>
                    <w:tl2br w:val="nil"/>
                    <w:tr2bl w:val="nil"/>
                  </w:tcBorders>
                  <w:vAlign w:val="center"/>
                </w:tcPr>
                <w:p/>
              </w:tc>
              <w:tc>
                <w:tcPr>
                  <w:tcW w:w="965"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0.1t</w:t>
                  </w:r>
                </w:p>
              </w:tc>
            </w:tr>
            <w:tr>
              <w:trPr>
                <w:trHeight w:val="454"/>
              </w:trPr>
              <w:tc>
                <w:tcPr>
                  <w:tcW w:w="500" w:type="dxa"/>
                  <w:vMerge w:val="restart"/>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设备维护</w:t>
                  </w: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废机油、废润滑油</w:t>
                  </w:r>
                </w:p>
              </w:tc>
              <w:tc>
                <w:tcPr>
                  <w:tcW w:w="501" w:type="dxa"/>
                  <w:vMerge/>
                  <w:tcBorders>
                    <w:tl2br w:val="nil"/>
                    <w:tr2bl w:val="nil"/>
                  </w:tcBorders>
                  <w:vAlign w:val="center"/>
                </w:tcP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废矿物油</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固体</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T/I</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900-</w:t>
                  </w:r>
                  <w:r>
                    <w:rPr>
                      <w:rFonts w:ascii="Times New Roman" w:eastAsia="宋体" w:cs="Times New Roman" w:hAnsi="Times New Roman" w:hint="eastAsia"/>
                      <w:color w:val="auto"/>
                      <w:sz w:val="21"/>
                      <w:szCs w:val="21"/>
                      <w:lang w:val="en-US" w:eastAsia="zh-CN"/>
                      <w:highlight w:val="none"/>
                    </w:rPr>
                    <w:t>217</w:t>
                  </w:r>
                  <w:r>
                    <w:rPr>
                      <w:rFonts w:ascii="Times New Roman" w:eastAsia="宋体" w:cs="Times New Roman" w:hAnsi="Times New Roman"/>
                      <w:color w:val="auto"/>
                      <w:sz w:val="21"/>
                      <w:szCs w:val="21"/>
                      <w:lang w:val="en-US" w:eastAsia="zh-CN"/>
                      <w:highlight w:val="none"/>
                    </w:rPr>
                    <w:t>-</w:t>
                  </w:r>
                  <w:r>
                    <w:rPr>
                      <w:rFonts w:ascii="Times New Roman" w:eastAsia="宋体" w:cs="Times New Roman" w:hAnsi="Times New Roman" w:hint="eastAsia"/>
                      <w:color w:val="auto"/>
                      <w:sz w:val="21"/>
                      <w:szCs w:val="21"/>
                      <w:lang w:val="en-US" w:eastAsia="zh-CN"/>
                      <w:highlight w:val="none"/>
                    </w:rPr>
                    <w:t>08</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0.5t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桶装堆放</w:t>
                  </w:r>
                </w:p>
              </w:tc>
              <w:tc>
                <w:tcPr>
                  <w:tcW w:w="1045" w:type="dxa"/>
                  <w:vMerge/>
                  <w:tcBorders>
                    <w:tl2br w:val="nil"/>
                    <w:tr2bl w:val="nil"/>
                  </w:tcBorders>
                  <w:vAlign w:val="center"/>
                </w:tcPr>
                <w:p/>
              </w:tc>
              <w:tc>
                <w:tcPr>
                  <w:tcW w:w="965"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0.5t</w:t>
                  </w:r>
                </w:p>
              </w:tc>
            </w:tr>
            <w:tr>
              <w:trPr>
                <w:trHeight w:val="454"/>
              </w:trPr>
              <w:tc>
                <w:tcPr>
                  <w:tcW w:w="500" w:type="dxa"/>
                  <w:vMerge/>
                  <w:tcBorders>
                    <w:tl2br w:val="nil"/>
                    <w:tr2bl w:val="nil"/>
                  </w:tcBorders>
                  <w:vAlign w:val="center"/>
                </w:tcP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废油桶</w:t>
                  </w:r>
                </w:p>
              </w:tc>
              <w:tc>
                <w:tcPr>
                  <w:tcW w:w="501" w:type="dxa"/>
                  <w:vMerge/>
                  <w:tcBorders>
                    <w:tl2br w:val="nil"/>
                    <w:tr2bl w:val="nil"/>
                  </w:tcBorders>
                  <w:vAlign w:val="center"/>
                </w:tcP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废矿物油</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T/In</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900-041-49</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0.05t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桶装堆放</w:t>
                  </w:r>
                </w:p>
              </w:tc>
              <w:tc>
                <w:tcPr>
                  <w:tcW w:w="1045" w:type="dxa"/>
                  <w:vMerge/>
                  <w:tcBorders>
                    <w:tl2br w:val="nil"/>
                    <w:tr2bl w:val="nil"/>
                  </w:tcBorders>
                  <w:vAlign w:val="center"/>
                </w:tcPr>
                <w:p/>
              </w:tc>
              <w:tc>
                <w:tcPr>
                  <w:tcW w:w="965"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0.05t</w:t>
                  </w:r>
                </w:p>
              </w:tc>
            </w:tr>
            <w:tr>
              <w:trPr>
                <w:trHeight w:val="454"/>
              </w:trPr>
              <w:tc>
                <w:tcPr>
                  <w:tcW w:w="500"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职工生活</w:t>
                  </w:r>
                </w:p>
              </w:tc>
              <w:tc>
                <w:tcPr>
                  <w:tcW w:w="786"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生活垃圾</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生活垃圾</w:t>
                  </w:r>
                </w:p>
              </w:tc>
              <w:tc>
                <w:tcPr>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固体</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 xml:space="preserve">900-099-S64 </w:t>
                  </w:r>
                </w:p>
              </w:tc>
              <w:tc>
                <w:tcPr>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9t</w:t>
                  </w:r>
                </w:p>
              </w:tc>
              <w:tc>
                <w:tcPr>
                  <w:gridSpan w:val="2"/>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收集后由环卫部门统一处理</w:t>
                  </w:r>
                </w:p>
              </w:tc>
              <w:tc>
                <w:tcPr>
                  <w:tcW w:w="965"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9t</w:t>
                  </w:r>
                </w:p>
              </w:tc>
            </w:tr>
          </w:tbl>
          <w:p>
            <w:pPr>
              <w:pStyle w:val="40"/>
              <w:rPr>
                <w:color w:val="auto"/>
              </w:rPr>
            </w:pPr>
            <w:r>
              <w:rPr>
                <w:color w:val="auto"/>
              </w:rPr>
              <w:t>表4-</w:t>
            </w:r>
            <w:r>
              <w:rPr>
                <w:rFonts w:hint="eastAsia"/>
                <w:color w:val="auto"/>
              </w:rPr>
              <w:t>1</w:t>
            </w:r>
            <w:r>
              <w:rPr>
                <w:rFonts w:hint="eastAsia"/>
                <w:color w:val="auto"/>
                <w:lang w:val="en-US" w:eastAsia="zh-CN"/>
              </w:rPr>
              <w:t>6</w:t>
            </w:r>
            <w:r>
              <w:rPr>
                <w:rFonts w:hint="eastAsia"/>
                <w:color w:val="auto"/>
              </w:rPr>
              <w:t xml:space="preserve">  </w:t>
            </w:r>
            <w:r>
              <w:rPr>
                <w:rFonts w:hint="eastAsia"/>
                <w:color w:val="auto"/>
                <w:lang w:val="en-US" w:eastAsia="zh-CN"/>
              </w:rPr>
              <w:t>全厂</w:t>
            </w:r>
            <w:r>
              <w:rPr>
                <w:color w:val="auto"/>
              </w:rPr>
              <w:t>危险废物贮存场所（设施）基本情况表</w:t>
            </w: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84"/>
              <w:gridCol w:w="1454"/>
              <w:gridCol w:w="1243"/>
              <w:gridCol w:w="1196"/>
              <w:gridCol w:w="436"/>
              <w:gridCol w:w="815"/>
              <w:gridCol w:w="708"/>
              <w:gridCol w:w="638"/>
              <w:gridCol w:w="694"/>
            </w:tblGrid>
            <w:tr>
              <w:trPr>
                <w:trHeight w:val="23"/>
              </w:trPr>
              <w:tc>
                <w:tcPr>
                  <w:tcW w:w="1184" w:type="dxa"/>
                  <w:tcBorders>
                    <w:tl2br w:val="nil"/>
                    <w:tr2bl w:val="nil"/>
                  </w:tcBorders>
                  <w:vAlign w:val="center"/>
                </w:tcPr>
                <w:p>
                  <w:pPr>
                    <w:pStyle w:val="39"/>
                    <w:rPr>
                      <w:color w:val="auto"/>
                    </w:rPr>
                  </w:pPr>
                  <w:r>
                    <w:rPr>
                      <w:color w:val="auto"/>
                    </w:rPr>
                    <w:t>贮存场所（设施）</w:t>
                  </w:r>
                </w:p>
              </w:tc>
              <w:tc>
                <w:tcPr>
                  <w:tcW w:w="1454" w:type="dxa"/>
                  <w:tcBorders>
                    <w:tl2br w:val="nil"/>
                    <w:tr2bl w:val="nil"/>
                  </w:tcBorders>
                  <w:vAlign w:val="center"/>
                </w:tcPr>
                <w:p>
                  <w:pPr>
                    <w:pStyle w:val="39"/>
                    <w:rPr>
                      <w:color w:val="auto"/>
                    </w:rPr>
                  </w:pPr>
                  <w:r>
                    <w:rPr>
                      <w:color w:val="auto"/>
                    </w:rPr>
                    <w:t>危险废物名称</w:t>
                  </w:r>
                </w:p>
              </w:tc>
              <w:tc>
                <w:tcPr>
                  <w:tcW w:w="1243" w:type="dxa"/>
                  <w:tcBorders>
                    <w:tl2br w:val="nil"/>
                    <w:tr2bl w:val="nil"/>
                  </w:tcBorders>
                  <w:vAlign w:val="center"/>
                </w:tcPr>
                <w:p>
                  <w:pPr>
                    <w:pStyle w:val="39"/>
                    <w:rPr>
                      <w:color w:val="auto"/>
                    </w:rPr>
                  </w:pPr>
                  <w:r>
                    <w:rPr>
                      <w:color w:val="auto"/>
                    </w:rPr>
                    <w:t>危险废物类别</w:t>
                  </w:r>
                </w:p>
              </w:tc>
              <w:tc>
                <w:tcPr>
                  <w:tcW w:w="1196" w:type="dxa"/>
                  <w:tcBorders>
                    <w:tl2br w:val="nil"/>
                    <w:tr2bl w:val="nil"/>
                  </w:tcBorders>
                  <w:vAlign w:val="center"/>
                </w:tcPr>
                <w:p>
                  <w:pPr>
                    <w:pStyle w:val="39"/>
                    <w:rPr>
                      <w:color w:val="auto"/>
                    </w:rPr>
                  </w:pPr>
                  <w:r>
                    <w:rPr>
                      <w:color w:val="auto"/>
                    </w:rPr>
                    <w:t>危险废物</w:t>
                  </w:r>
                </w:p>
                <w:p>
                  <w:pPr>
                    <w:pStyle w:val="39"/>
                    <w:rPr>
                      <w:color w:val="auto"/>
                    </w:rPr>
                  </w:pPr>
                  <w:r>
                    <w:rPr>
                      <w:color w:val="auto"/>
                    </w:rPr>
                    <w:t>代码</w:t>
                  </w:r>
                </w:p>
              </w:tc>
              <w:tc>
                <w:tcPr>
                  <w:tcW w:w="436" w:type="dxa"/>
                  <w:tcBorders>
                    <w:tl2br w:val="nil"/>
                    <w:tr2bl w:val="nil"/>
                  </w:tcBorders>
                  <w:vAlign w:val="center"/>
                </w:tcPr>
                <w:p>
                  <w:pPr>
                    <w:pStyle w:val="39"/>
                    <w:rPr>
                      <w:color w:val="auto"/>
                    </w:rPr>
                  </w:pPr>
                  <w:r>
                    <w:rPr>
                      <w:color w:val="auto"/>
                    </w:rPr>
                    <w:t>位置</w:t>
                  </w:r>
                </w:p>
              </w:tc>
              <w:tc>
                <w:tcPr>
                  <w:tcW w:w="815" w:type="dxa"/>
                  <w:tcBorders>
                    <w:tl2br w:val="nil"/>
                    <w:tr2bl w:val="nil"/>
                  </w:tcBorders>
                  <w:vAlign w:val="center"/>
                </w:tcPr>
                <w:p>
                  <w:pPr>
                    <w:pStyle w:val="39"/>
                    <w:rPr>
                      <w:color w:val="auto"/>
                    </w:rPr>
                  </w:pPr>
                  <w:r>
                    <w:rPr>
                      <w:color w:val="auto"/>
                    </w:rPr>
                    <w:t>占地面积</w:t>
                  </w:r>
                </w:p>
              </w:tc>
              <w:tc>
                <w:tcPr>
                  <w:tcW w:w="708" w:type="dxa"/>
                  <w:tcBorders>
                    <w:tl2br w:val="nil"/>
                    <w:tr2bl w:val="nil"/>
                  </w:tcBorders>
                  <w:vAlign w:val="center"/>
                </w:tcPr>
                <w:p>
                  <w:pPr>
                    <w:pStyle w:val="39"/>
                    <w:rPr>
                      <w:color w:val="auto"/>
                    </w:rPr>
                  </w:pPr>
                  <w:r>
                    <w:rPr>
                      <w:color w:val="auto"/>
                    </w:rPr>
                    <w:t>贮存方式</w:t>
                  </w:r>
                </w:p>
              </w:tc>
              <w:tc>
                <w:tcPr>
                  <w:tcW w:w="638" w:type="dxa"/>
                  <w:tcBorders>
                    <w:tl2br w:val="nil"/>
                    <w:tr2bl w:val="nil"/>
                  </w:tcBorders>
                  <w:vAlign w:val="center"/>
                </w:tcPr>
                <w:p>
                  <w:pPr>
                    <w:pStyle w:val="39"/>
                    <w:rPr>
                      <w:color w:val="auto"/>
                    </w:rPr>
                  </w:pPr>
                  <w:r>
                    <w:rPr>
                      <w:color w:val="auto"/>
                    </w:rPr>
                    <w:t>贮存能力</w:t>
                  </w:r>
                </w:p>
              </w:tc>
              <w:tc>
                <w:tcPr>
                  <w:tcW w:w="694" w:type="dxa"/>
                  <w:tcBorders>
                    <w:tl2br w:val="nil"/>
                    <w:tr2bl w:val="nil"/>
                  </w:tcBorders>
                  <w:vAlign w:val="center"/>
                </w:tcPr>
                <w:p>
                  <w:pPr>
                    <w:pStyle w:val="39"/>
                    <w:rPr>
                      <w:color w:val="auto"/>
                    </w:rPr>
                  </w:pPr>
                  <w:r>
                    <w:rPr>
                      <w:color w:val="auto"/>
                    </w:rPr>
                    <w:t>贮存</w:t>
                  </w:r>
                </w:p>
                <w:p>
                  <w:pPr>
                    <w:pStyle w:val="39"/>
                    <w:rPr>
                      <w:color w:val="auto"/>
                    </w:rPr>
                  </w:pPr>
                  <w:r>
                    <w:rPr>
                      <w:color w:val="auto"/>
                    </w:rPr>
                    <w:t>周期</w:t>
                  </w:r>
                </w:p>
              </w:tc>
            </w:tr>
            <w:tr>
              <w:trPr>
                <w:trHeight w:val="23"/>
              </w:trPr>
              <w:tc>
                <w:tcPr>
                  <w:tcW w:w="1184" w:type="dxa"/>
                  <w:vMerge w:val="restart"/>
                  <w:tcBorders>
                    <w:tl2br w:val="nil"/>
                    <w:tr2bl w:val="nil"/>
                  </w:tcBorders>
                  <w:vAlign w:val="center"/>
                </w:tcPr>
                <w:p>
                  <w:pPr>
                    <w:pStyle w:val="39"/>
                    <w:rPr>
                      <w:color w:val="auto"/>
                    </w:rPr>
                  </w:pPr>
                  <w:r>
                    <w:rPr>
                      <w:rFonts w:hint="eastAsia"/>
                      <w:color w:val="auto"/>
                    </w:rPr>
                    <w:t>危废间</w:t>
                  </w:r>
                </w:p>
              </w:tc>
              <w:tc>
                <w:tcPr>
                  <w:tcW w:w="1454"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化验室废液</w:t>
                  </w:r>
                </w:p>
              </w:tc>
              <w:tc>
                <w:tcPr>
                  <w:tcW w:w="1243" w:type="dxa"/>
                  <w:vMerge w:val="restart"/>
                  <w:tcBorders>
                    <w:tl2br w:val="nil"/>
                    <w:tr2bl w:val="nil"/>
                  </w:tcBorders>
                  <w:vAlign w:val="center"/>
                </w:tcPr>
                <w:p>
                  <w:pPr>
                    <w:pStyle w:val="39"/>
                    <w:rPr>
                      <w:color w:val="auto"/>
                    </w:rPr>
                  </w:pPr>
                  <w:r>
                    <w:rPr>
                      <w:rFonts w:hint="eastAsia"/>
                      <w:color w:val="auto"/>
                    </w:rPr>
                    <w:t>HW49其他废物</w:t>
                  </w:r>
                </w:p>
              </w:tc>
              <w:tc>
                <w:tcPr>
                  <w:tcW w:w="1196"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900-04</w:t>
                  </w:r>
                  <w:r>
                    <w:rPr>
                      <w:rFonts w:hint="eastAsia"/>
                      <w:color w:val="auto"/>
                      <w:lang w:val="en-US" w:eastAsia="zh-CN"/>
                    </w:rPr>
                    <w:t>7</w:t>
                  </w:r>
                  <w:r>
                    <w:rPr>
                      <w:color w:val="auto"/>
                    </w:rPr>
                    <w:t>-49</w:t>
                  </w:r>
                </w:p>
              </w:tc>
              <w:tc>
                <w:tcPr>
                  <w:tcW w:w="436" w:type="dxa"/>
                  <w:vMerge w:val="restar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厂区东北侧</w:t>
                  </w:r>
                </w:p>
              </w:tc>
              <w:tc>
                <w:tcPr>
                  <w:tcW w:w="815" w:type="dxa"/>
                  <w:vMerge w:val="restart"/>
                  <w:tcBorders>
                    <w:tl2br w:val="nil"/>
                    <w:tr2bl w:val="nil"/>
                  </w:tcBorders>
                  <w:vAlign w:val="center"/>
                </w:tcPr>
                <w:p>
                  <w:pPr>
                    <w:pStyle w:val="39"/>
                    <w:rPr>
                      <w:rFonts w:eastAsia="宋体" w:hint="eastAsia"/>
                      <w:color w:val="auto"/>
                      <w:lang w:eastAsia="zh-CN"/>
                    </w:rPr>
                  </w:pPr>
                  <w:r>
                    <w:rPr>
                      <w:rFonts w:hint="eastAsia"/>
                      <w:color w:val="auto"/>
                      <w:lang w:val="en-US" w:eastAsia="zh-CN"/>
                    </w:rPr>
                    <w:t>40m</w:t>
                  </w:r>
                  <w:r>
                    <w:rPr>
                      <w:rFonts w:hint="eastAsia"/>
                      <w:color w:val="auto"/>
                      <w:vertAlign w:val="superscript"/>
                      <w:lang w:val="en-US" w:eastAsia="zh-CN"/>
                    </w:rPr>
                    <w:t>2</w:t>
                  </w:r>
                </w:p>
              </w:tc>
              <w:tc>
                <w:tcPr>
                  <w:tcW w:w="708" w:type="dxa"/>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hint="eastAsia"/>
                      <w:color w:val="auto"/>
                      <w:sz w:val="21"/>
                      <w:szCs w:val="21"/>
                      <w:lang w:val="en-US" w:eastAsia="zh-CN"/>
                      <w:highlight w:val="none"/>
                    </w:rPr>
                    <w:t>密闭容器</w:t>
                  </w:r>
                </w:p>
              </w:tc>
              <w:tc>
                <w:tcPr>
                  <w:tcW w:w="638" w:type="dxa"/>
                  <w:vMerge w:val="restart"/>
                  <w:tcBorders>
                    <w:tl2br w:val="nil"/>
                    <w:tr2bl w:val="nil"/>
                  </w:tcBorders>
                  <w:vAlign w:val="center"/>
                </w:tcPr>
                <w:p>
                  <w:pPr>
                    <w:pStyle w:val="39"/>
                    <w:rPr>
                      <w:color w:val="auto"/>
                    </w:rPr>
                  </w:pPr>
                  <w:r>
                    <w:rPr>
                      <w:rFonts w:hint="eastAsia"/>
                      <w:color w:val="auto"/>
                      <w:lang w:val="en-US" w:eastAsia="zh-CN"/>
                    </w:rPr>
                    <w:t>40</w:t>
                  </w:r>
                  <w:r>
                    <w:rPr>
                      <w:rFonts w:hint="eastAsia"/>
                      <w:color w:val="auto"/>
                    </w:rPr>
                    <w:t>t</w:t>
                  </w:r>
                </w:p>
              </w:tc>
              <w:tc>
                <w:tcPr>
                  <w:tcW w:w="694" w:type="dxa"/>
                  <w:tcBorders>
                    <w:tl2br w:val="nil"/>
                    <w:tr2bl w:val="nil"/>
                  </w:tcBorders>
                  <w:vAlign w:val="center"/>
                </w:tcPr>
                <w:p>
                  <w:pPr>
                    <w:pStyle w:val="39"/>
                    <w:rPr>
                      <w:color w:val="auto"/>
                    </w:rPr>
                  </w:pPr>
                  <w:r>
                    <w:rPr>
                      <w:rFonts w:hint="eastAsia"/>
                      <w:color w:val="auto"/>
                      <w:lang w:val="en-US" w:eastAsia="zh-CN"/>
                    </w:rPr>
                    <w:t>1</w:t>
                  </w:r>
                  <w:r>
                    <w:rPr>
                      <w:rFonts w:hint="eastAsia"/>
                      <w:color w:val="auto"/>
                    </w:rPr>
                    <w:t>年</w:t>
                  </w:r>
                </w:p>
              </w:tc>
            </w:tr>
            <w:tr>
              <w:trPr>
                <w:trHeight w:val="90"/>
              </w:trPr>
              <w:tc>
                <w:tcPr>
                  <w:tcW w:w="1184" w:type="dxa"/>
                  <w:vMerge/>
                  <w:tcBorders>
                    <w:tl2br w:val="nil"/>
                    <w:tr2bl w:val="nil"/>
                  </w:tcBorders>
                  <w:vAlign w:val="center"/>
                </w:tcPr>
                <w:p/>
              </w:tc>
              <w:tc>
                <w:tcPr>
                  <w:tcW w:w="1454"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化验室废</w:t>
                  </w:r>
                  <w:r>
                    <w:rPr>
                      <w:rFonts w:ascii="Times New Roman" w:eastAsia="宋体" w:cs="Times New Roman" w:hAnsi="Times New Roman" w:hint="eastAsia"/>
                      <w:color w:val="auto"/>
                      <w:sz w:val="21"/>
                      <w:szCs w:val="21"/>
                      <w:lang w:val="en-US" w:eastAsia="zh-CN"/>
                      <w:highlight w:val="none"/>
                    </w:rPr>
                    <w:t>包装</w:t>
                  </w:r>
                </w:p>
              </w:tc>
              <w:tc>
                <w:tcPr>
                  <w:tcW w:w="1243" w:type="dxa"/>
                  <w:vMerge/>
                  <w:tcBorders>
                    <w:tl2br w:val="nil"/>
                    <w:tr2bl w:val="nil"/>
                  </w:tcBorders>
                  <w:vAlign w:val="center"/>
                </w:tcPr>
                <w:p/>
              </w:tc>
              <w:tc>
                <w:tcPr>
                  <w:tcW w:w="1196"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900-04</w:t>
                  </w:r>
                  <w:r>
                    <w:rPr>
                      <w:rFonts w:hint="eastAsia"/>
                      <w:color w:val="auto"/>
                      <w:lang w:val="en-US" w:eastAsia="zh-CN"/>
                    </w:rPr>
                    <w:t>7</w:t>
                  </w:r>
                  <w:r>
                    <w:rPr>
                      <w:color w:val="auto"/>
                    </w:rPr>
                    <w:t>-49</w:t>
                  </w:r>
                </w:p>
              </w:tc>
              <w:tc>
                <w:tcPr>
                  <w:tcW w:w="436" w:type="dxa"/>
                  <w:vMerge/>
                  <w:tcBorders>
                    <w:tl2br w:val="nil"/>
                    <w:tr2bl w:val="nil"/>
                  </w:tcBorders>
                  <w:vAlign w:val="center"/>
                </w:tcPr>
                <w:p/>
              </w:tc>
              <w:tc>
                <w:tcPr>
                  <w:tcW w:w="815" w:type="dxa"/>
                  <w:vMerge/>
                  <w:tcBorders>
                    <w:tl2br w:val="nil"/>
                    <w:tr2bl w:val="nil"/>
                  </w:tcBorders>
                  <w:vAlign w:val="center"/>
                </w:tcPr>
                <w:p/>
              </w:tc>
              <w:tc>
                <w:tcPr>
                  <w:tcW w:w="708" w:type="dxa"/>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hint="eastAsia"/>
                      <w:color w:val="auto"/>
                      <w:sz w:val="21"/>
                      <w:szCs w:val="21"/>
                      <w:lang w:val="en-US" w:eastAsia="zh-CN"/>
                      <w:highlight w:val="none"/>
                    </w:rPr>
                    <w:t>密闭容器</w:t>
                  </w:r>
                </w:p>
              </w:tc>
              <w:tc>
                <w:tcPr>
                  <w:tcW w:w="638" w:type="dxa"/>
                  <w:vMerge/>
                  <w:tcBorders>
                    <w:tl2br w:val="nil"/>
                    <w:tr2bl w:val="nil"/>
                  </w:tcBorders>
                  <w:vAlign w:val="center"/>
                </w:tcPr>
                <w:p/>
              </w:tc>
              <w:tc>
                <w:tcPr>
                  <w:tcW w:w="694" w:type="dxa"/>
                  <w:tcBorders>
                    <w:tl2br w:val="nil"/>
                    <w:tr2bl w:val="nil"/>
                  </w:tcBorders>
                  <w:vAlign w:val="center"/>
                </w:tcPr>
                <w:p>
                  <w:pPr>
                    <w:pStyle w:val="39"/>
                    <w:rPr>
                      <w:color w:val="auto"/>
                      <w:lang w:val="en-US"/>
                    </w:rPr>
                  </w:pPr>
                  <w:r>
                    <w:rPr>
                      <w:rFonts w:hint="eastAsia"/>
                      <w:color w:val="auto"/>
                      <w:lang w:val="en-US" w:eastAsia="zh-CN"/>
                    </w:rPr>
                    <w:t>1年</w:t>
                  </w:r>
                </w:p>
              </w:tc>
            </w:tr>
            <w:tr>
              <w:trPr>
                <w:trHeight w:val="90"/>
              </w:trPr>
              <w:tc>
                <w:tcPr>
                  <w:tcW w:w="1184" w:type="dxa"/>
                  <w:vMerge/>
                  <w:tcBorders>
                    <w:tl2br w:val="nil"/>
                    <w:tr2bl w:val="nil"/>
                  </w:tcBorders>
                  <w:vAlign w:val="center"/>
                </w:tcPr>
                <w:p/>
              </w:tc>
              <w:tc>
                <w:tcPr>
                  <w:tcW w:w="1454"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废干式酸雾净化器吸附剂</w:t>
                  </w:r>
                </w:p>
              </w:tc>
              <w:tc>
                <w:tcPr>
                  <w:tcW w:w="1243" w:type="dxa"/>
                  <w:vMerge/>
                  <w:tcBorders>
                    <w:tl2br w:val="nil"/>
                    <w:tr2bl w:val="nil"/>
                  </w:tcBorders>
                  <w:vAlign w:val="center"/>
                </w:tcPr>
                <w:p/>
              </w:tc>
              <w:tc>
                <w:tcPr>
                  <w:tcW w:w="1196" w:type="dxa"/>
                  <w:tcBorders>
                    <w:tl2br w:val="nil"/>
                    <w:tr2bl w:val="nil"/>
                  </w:tcBorders>
                  <w:shd w:val="clear" w:color="auto" w:fill="auto"/>
                  <w:vAlign w:val="center"/>
                </w:tcPr>
                <w:p>
                  <w:pPr>
                    <w:pStyle w:val="39"/>
                    <w:ind w:firstLine="0"/>
                    <w:rPr>
                      <w:rFonts w:eastAsia="宋体"/>
                      <w:color w:val="auto"/>
                      <w:lang w:val="en-US" w:eastAsia="zh-CN"/>
                    </w:rPr>
                  </w:pPr>
                  <w:r>
                    <w:rPr>
                      <w:rFonts w:hint="eastAsia"/>
                      <w:color w:val="auto"/>
                      <w:lang w:val="en-US" w:eastAsia="zh-CN"/>
                    </w:rPr>
                    <w:t>900-042-49</w:t>
                  </w:r>
                </w:p>
              </w:tc>
              <w:tc>
                <w:tcPr>
                  <w:tcW w:w="436" w:type="dxa"/>
                  <w:vMerge/>
                  <w:tcBorders>
                    <w:tl2br w:val="nil"/>
                    <w:tr2bl w:val="nil"/>
                  </w:tcBorders>
                  <w:vAlign w:val="center"/>
                </w:tcPr>
                <w:p/>
              </w:tc>
              <w:tc>
                <w:tcPr>
                  <w:tcW w:w="815" w:type="dxa"/>
                  <w:vMerge/>
                  <w:tcBorders>
                    <w:tl2br w:val="nil"/>
                    <w:tr2bl w:val="nil"/>
                  </w:tcBorders>
                  <w:vAlign w:val="center"/>
                </w:tcPr>
                <w:p/>
              </w:tc>
              <w:tc>
                <w:tcPr>
                  <w:tcW w:w="708"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密闭容器</w:t>
                  </w:r>
                </w:p>
              </w:tc>
              <w:tc>
                <w:tcPr>
                  <w:tcW w:w="638" w:type="dxa"/>
                  <w:vMerge/>
                  <w:tcBorders>
                    <w:tl2br w:val="nil"/>
                    <w:tr2bl w:val="nil"/>
                  </w:tcBorders>
                  <w:vAlign w:val="center"/>
                </w:tcPr>
                <w:p/>
              </w:tc>
              <w:tc>
                <w:tcPr>
                  <w:tcW w:w="694" w:type="dxa"/>
                  <w:tcBorders>
                    <w:tl2br w:val="nil"/>
                    <w:tr2bl w:val="nil"/>
                  </w:tcBorders>
                  <w:vAlign w:val="center"/>
                </w:tcPr>
                <w:p>
                  <w:pPr>
                    <w:pStyle w:val="39"/>
                    <w:rPr>
                      <w:rFonts w:hint="eastAsia"/>
                      <w:color w:val="auto"/>
                      <w:lang w:val="en-US" w:eastAsia="zh-CN"/>
                    </w:rPr>
                  </w:pPr>
                  <w:r>
                    <w:rPr>
                      <w:rFonts w:hint="eastAsia"/>
                      <w:color w:val="auto"/>
                      <w:lang w:val="en-US" w:eastAsia="zh-CN"/>
                    </w:rPr>
                    <w:t>1年</w:t>
                  </w:r>
                </w:p>
              </w:tc>
            </w:tr>
            <w:tr>
              <w:trPr>
                <w:trHeight w:val="90"/>
              </w:trPr>
              <w:tc>
                <w:tcPr>
                  <w:tcW w:w="1184" w:type="dxa"/>
                  <w:vMerge/>
                  <w:tcBorders>
                    <w:tl2br w:val="nil"/>
                    <w:tr2bl w:val="nil"/>
                  </w:tcBorders>
                  <w:vAlign w:val="center"/>
                </w:tcPr>
                <w:p/>
              </w:tc>
              <w:tc>
                <w:tcPr>
                  <w:tcW w:w="1454"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废活性炭</w:t>
                  </w:r>
                </w:p>
              </w:tc>
              <w:tc>
                <w:tcPr>
                  <w:tcW w:w="1243" w:type="dxa"/>
                  <w:vMerge/>
                  <w:tcBorders>
                    <w:tl2br w:val="nil"/>
                    <w:tr2bl w:val="nil"/>
                  </w:tcBorders>
                  <w:vAlign w:val="center"/>
                </w:tcPr>
                <w:p/>
              </w:tc>
              <w:tc>
                <w:tcPr>
                  <w:tcW w:w="1196"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rPr>
                    <w:t>900-039-49</w:t>
                  </w:r>
                </w:p>
              </w:tc>
              <w:tc>
                <w:tcPr>
                  <w:tcW w:w="436" w:type="dxa"/>
                  <w:vMerge/>
                  <w:tcBorders>
                    <w:tl2br w:val="nil"/>
                    <w:tr2bl w:val="nil"/>
                  </w:tcBorders>
                  <w:vAlign w:val="center"/>
                </w:tcPr>
                <w:p/>
              </w:tc>
              <w:tc>
                <w:tcPr>
                  <w:tcW w:w="815" w:type="dxa"/>
                  <w:vMerge/>
                  <w:tcBorders>
                    <w:tl2br w:val="nil"/>
                    <w:tr2bl w:val="nil"/>
                  </w:tcBorders>
                  <w:vAlign w:val="center"/>
                </w:tcPr>
                <w:p/>
              </w:tc>
              <w:tc>
                <w:tcPr>
                  <w:tcW w:w="708" w:type="dxa"/>
                  <w:tcBorders>
                    <w:tl2br w:val="nil"/>
                    <w:tr2bl w:val="nil"/>
                  </w:tcBorders>
                  <w:vAlign w:val="center"/>
                </w:tcPr>
                <w:p>
                  <w:pPr>
                    <w:snapToGrid w:val="0"/>
                    <w:spacing w:line="240" w:lineRule="auto"/>
                    <w:ind w:firstLineChars="0" w:firstLine="0"/>
                    <w:jc w:val="center"/>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密闭容器</w:t>
                  </w:r>
                </w:p>
              </w:tc>
              <w:tc>
                <w:tcPr>
                  <w:tcW w:w="638" w:type="dxa"/>
                  <w:vMerge/>
                  <w:tcBorders>
                    <w:tl2br w:val="nil"/>
                    <w:tr2bl w:val="nil"/>
                  </w:tcBorders>
                  <w:vAlign w:val="center"/>
                </w:tcPr>
                <w:p/>
              </w:tc>
              <w:tc>
                <w:tcPr>
                  <w:tcW w:w="694" w:type="dxa"/>
                  <w:tcBorders>
                    <w:tl2br w:val="nil"/>
                    <w:tr2bl w:val="nil"/>
                  </w:tcBorders>
                  <w:vAlign w:val="center"/>
                </w:tcPr>
                <w:p>
                  <w:pPr>
                    <w:pStyle w:val="39"/>
                    <w:rPr>
                      <w:color w:val="auto"/>
                      <w:lang w:val="en-US" w:eastAsia="zh-CN"/>
                    </w:rPr>
                  </w:pPr>
                  <w:r>
                    <w:rPr>
                      <w:rFonts w:hint="eastAsia"/>
                      <w:color w:val="auto"/>
                      <w:lang w:val="en-US" w:eastAsia="zh-CN"/>
                    </w:rPr>
                    <w:t>2月</w:t>
                  </w:r>
                </w:p>
              </w:tc>
            </w:tr>
            <w:tr>
              <w:trPr>
                <w:trHeight w:val="23"/>
              </w:trPr>
              <w:tc>
                <w:tcPr>
                  <w:tcW w:w="1184" w:type="dxa"/>
                  <w:vMerge/>
                  <w:tcBorders>
                    <w:tl2br w:val="nil"/>
                    <w:tr2bl w:val="nil"/>
                  </w:tcBorders>
                  <w:vAlign w:val="center"/>
                </w:tcPr>
                <w:p/>
              </w:tc>
              <w:tc>
                <w:tcPr>
                  <w:tcW w:w="1454"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废机油、废润滑油</w:t>
                  </w:r>
                </w:p>
              </w:tc>
              <w:tc>
                <w:tcPr>
                  <w:tcW w:w="1243" w:type="dxa"/>
                  <w:vMerge w:val="restart"/>
                  <w:tcBorders>
                    <w:tl2br w:val="nil"/>
                    <w:tr2bl w:val="nil"/>
                  </w:tcBorders>
                  <w:vAlign w:val="center"/>
                </w:tcPr>
                <w:p>
                  <w:pPr>
                    <w:pStyle w:val="39"/>
                    <w:rPr>
                      <w:color w:val="auto"/>
                    </w:rPr>
                  </w:pPr>
                  <w:r>
                    <w:rPr>
                      <w:rFonts w:hint="eastAsia"/>
                      <w:color w:val="auto"/>
                    </w:rPr>
                    <w:t>HW08废矿物油与含矿物油废物</w:t>
                  </w:r>
                </w:p>
              </w:tc>
              <w:tc>
                <w:tcPr>
                  <w:tcW w:w="1196"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color w:val="auto"/>
                      <w:lang w:val="en-US" w:eastAsia="zh-CN"/>
                    </w:rPr>
                    <w:t>900-</w:t>
                  </w:r>
                  <w:r>
                    <w:rPr>
                      <w:rFonts w:hint="eastAsia"/>
                      <w:color w:val="auto"/>
                      <w:lang w:val="en-US" w:eastAsia="zh-CN"/>
                    </w:rPr>
                    <w:t>217</w:t>
                  </w:r>
                  <w:r>
                    <w:rPr>
                      <w:color w:val="auto"/>
                      <w:lang w:val="en-US" w:eastAsia="zh-CN"/>
                    </w:rPr>
                    <w:t>-</w:t>
                  </w:r>
                  <w:r>
                    <w:rPr>
                      <w:rFonts w:hint="eastAsia"/>
                      <w:color w:val="auto"/>
                      <w:lang w:val="en-US" w:eastAsia="zh-CN"/>
                    </w:rPr>
                    <w:t>08</w:t>
                  </w:r>
                </w:p>
              </w:tc>
              <w:tc>
                <w:tcPr>
                  <w:tcW w:w="436" w:type="dxa"/>
                  <w:vMerge/>
                  <w:tcBorders>
                    <w:tl2br w:val="nil"/>
                    <w:tr2bl w:val="nil"/>
                  </w:tcBorders>
                  <w:vAlign w:val="center"/>
                </w:tcPr>
                <w:p/>
              </w:tc>
              <w:tc>
                <w:tcPr>
                  <w:tcW w:w="815" w:type="dxa"/>
                  <w:vMerge/>
                  <w:tcBorders>
                    <w:tl2br w:val="nil"/>
                    <w:tr2bl w:val="nil"/>
                  </w:tcBorders>
                  <w:vAlign w:val="center"/>
                </w:tcPr>
                <w:p/>
              </w:tc>
              <w:tc>
                <w:tcPr>
                  <w:tcW w:w="708" w:type="dxa"/>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color w:val="auto"/>
                      <w:sz w:val="21"/>
                      <w:szCs w:val="21"/>
                      <w:lang w:val="en-US" w:eastAsia="zh-CN"/>
                      <w:highlight w:val="none"/>
                    </w:rPr>
                    <w:t>桶装堆放</w:t>
                  </w:r>
                </w:p>
              </w:tc>
              <w:tc>
                <w:tcPr>
                  <w:tcW w:w="638" w:type="dxa"/>
                  <w:vMerge/>
                  <w:tcBorders>
                    <w:tl2br w:val="nil"/>
                    <w:tr2bl w:val="nil"/>
                  </w:tcBorders>
                  <w:vAlign w:val="center"/>
                </w:tcPr>
                <w:p/>
              </w:tc>
              <w:tc>
                <w:tcPr>
                  <w:tcW w:w="694" w:type="dxa"/>
                  <w:tcBorders>
                    <w:tl2br w:val="nil"/>
                    <w:tr2bl w:val="nil"/>
                  </w:tcBorders>
                  <w:vAlign w:val="center"/>
                </w:tcPr>
                <w:p>
                  <w:pPr>
                    <w:pStyle w:val="39"/>
                    <w:rPr>
                      <w:rFonts w:eastAsia="宋体" w:hint="eastAsia"/>
                      <w:color w:val="auto"/>
                      <w:lang w:val="en-US" w:eastAsia="zh-CN"/>
                    </w:rPr>
                  </w:pPr>
                  <w:r>
                    <w:rPr>
                      <w:rFonts w:hint="eastAsia"/>
                      <w:color w:val="auto"/>
                    </w:rPr>
                    <w:t>1</w:t>
                  </w:r>
                  <w:r>
                    <w:rPr>
                      <w:rFonts w:hint="eastAsia"/>
                      <w:color w:val="auto"/>
                      <w:lang w:val="en-US" w:eastAsia="zh-CN"/>
                    </w:rPr>
                    <w:t>年</w:t>
                  </w:r>
                </w:p>
              </w:tc>
            </w:tr>
            <w:tr>
              <w:trPr>
                <w:trHeight w:val="23"/>
              </w:trPr>
              <w:tc>
                <w:tcPr>
                  <w:tcW w:w="1184" w:type="dxa"/>
                  <w:vMerge/>
                  <w:tcBorders>
                    <w:tl2br w:val="nil"/>
                    <w:tr2bl w:val="nil"/>
                  </w:tcBorders>
                  <w:vAlign w:val="center"/>
                </w:tcPr>
                <w:p/>
              </w:tc>
              <w:tc>
                <w:tcPr>
                  <w:tcW w:w="1454" w:type="dxa"/>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废油桶</w:t>
                  </w:r>
                </w:p>
              </w:tc>
              <w:tc>
                <w:tcPr>
                  <w:tcW w:w="1243" w:type="dxa"/>
                  <w:vMerge/>
                  <w:tcBorders>
                    <w:tl2br w:val="nil"/>
                    <w:tr2bl w:val="nil"/>
                  </w:tcBorders>
                  <w:vAlign w:val="center"/>
                </w:tcPr>
                <w:p/>
              </w:tc>
              <w:tc>
                <w:tcPr>
                  <w:tcW w:w="1196" w:type="dxa"/>
                  <w:tcBorders>
                    <w:tl2br w:val="nil"/>
                    <w:tr2bl w:val="nil"/>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hint="eastAsia"/>
                      <w:color w:val="auto"/>
                      <w:lang w:val="en-US" w:eastAsia="zh-CN"/>
                    </w:rPr>
                    <w:t>900-041-49</w:t>
                  </w:r>
                </w:p>
              </w:tc>
              <w:tc>
                <w:tcPr>
                  <w:tcW w:w="436" w:type="dxa"/>
                  <w:vMerge/>
                  <w:tcBorders>
                    <w:tl2br w:val="nil"/>
                    <w:tr2bl w:val="nil"/>
                  </w:tcBorders>
                  <w:vAlign w:val="center"/>
                </w:tcPr>
                <w:p/>
              </w:tc>
              <w:tc>
                <w:tcPr>
                  <w:tcW w:w="815" w:type="dxa"/>
                  <w:vMerge/>
                  <w:tcBorders>
                    <w:tl2br w:val="nil"/>
                    <w:tr2bl w:val="nil"/>
                  </w:tcBorders>
                  <w:vAlign w:val="center"/>
                </w:tcPr>
                <w:p/>
              </w:tc>
              <w:tc>
                <w:tcPr>
                  <w:tcW w:w="708" w:type="dxa"/>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hint="eastAsia"/>
                      <w:color w:val="auto"/>
                      <w:sz w:val="21"/>
                      <w:szCs w:val="21"/>
                      <w:lang w:val="en-US" w:eastAsia="zh-CN"/>
                      <w:highlight w:val="none"/>
                    </w:rPr>
                    <w:t>桶装堆放</w:t>
                  </w:r>
                </w:p>
              </w:tc>
              <w:tc>
                <w:tcPr>
                  <w:tcW w:w="638" w:type="dxa"/>
                  <w:vMerge/>
                  <w:tcBorders>
                    <w:tl2br w:val="nil"/>
                    <w:tr2bl w:val="nil"/>
                  </w:tcBorders>
                  <w:vAlign w:val="center"/>
                </w:tcPr>
                <w:p/>
              </w:tc>
              <w:tc>
                <w:tcPr>
                  <w:tcW w:w="694" w:type="dxa"/>
                  <w:tcBorders>
                    <w:tl2br w:val="nil"/>
                    <w:tr2bl w:val="nil"/>
                  </w:tcBorders>
                  <w:vAlign w:val="center"/>
                </w:tcPr>
                <w:p>
                  <w:pPr>
                    <w:pStyle w:val="39"/>
                    <w:rPr>
                      <w:color w:val="auto"/>
                    </w:rPr>
                  </w:pPr>
                  <w:r>
                    <w:rPr>
                      <w:color w:val="auto"/>
                    </w:rPr>
                    <w:t>1年</w:t>
                  </w:r>
                </w:p>
              </w:tc>
            </w:tr>
          </w:tbl>
          <w:p>
            <w:pPr>
              <w:spacing w:line="240" w:lineRule="auto"/>
              <w:jc w:val="center"/>
              <w:rPr>
                <w:b/>
                <w:bCs/>
                <w:snapToGrid w:val="0"/>
                <w:color w:val="auto"/>
                <w:kern w:val="0"/>
              </w:rPr>
            </w:pPr>
            <w:r>
              <w:rPr>
                <w:b/>
                <w:bCs/>
                <w:snapToGrid w:val="0"/>
                <w:color w:val="auto"/>
                <w:kern w:val="0"/>
              </w:rPr>
              <w:t>表4-</w:t>
            </w:r>
            <w:r>
              <w:rPr>
                <w:rFonts w:hint="eastAsia"/>
                <w:b/>
                <w:bCs/>
                <w:snapToGrid w:val="0"/>
                <w:color w:val="auto"/>
                <w:kern w:val="0"/>
              </w:rPr>
              <w:t>1</w:t>
            </w:r>
            <w:r>
              <w:rPr>
                <w:rFonts w:hint="eastAsia"/>
                <w:b/>
                <w:bCs/>
                <w:snapToGrid w:val="0"/>
                <w:color w:val="auto"/>
                <w:kern w:val="0"/>
                <w:lang w:val="en-US" w:eastAsia="zh-CN"/>
              </w:rPr>
              <w:t>7</w:t>
            </w:r>
            <w:r>
              <w:rPr>
                <w:rFonts w:hint="eastAsia"/>
                <w:b/>
                <w:bCs/>
                <w:snapToGrid w:val="0"/>
                <w:color w:val="auto"/>
                <w:kern w:val="0"/>
              </w:rPr>
              <w:t xml:space="preserve">  </w:t>
            </w:r>
            <w:r>
              <w:rPr>
                <w:rFonts w:hint="eastAsia"/>
                <w:b/>
                <w:bCs/>
                <w:snapToGrid w:val="0"/>
                <w:color w:val="auto"/>
                <w:kern w:val="0"/>
                <w:lang w:val="en-US" w:eastAsia="zh-CN"/>
              </w:rPr>
              <w:t>本项目完成后全厂</w:t>
            </w:r>
            <w:r>
              <w:rPr>
                <w:b/>
                <w:bCs/>
                <w:snapToGrid w:val="0"/>
                <w:color w:val="auto"/>
                <w:kern w:val="0"/>
              </w:rPr>
              <w:t>危险废物基本情况汇总</w:t>
            </w:r>
          </w:p>
          <w:tbl>
            <w:tblPr>
              <w:jc w:val="left"/>
              <w:tblInd w:w="0" w:type="dxa"/>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
              <w:gridCol w:w="700"/>
              <w:gridCol w:w="828"/>
              <w:gridCol w:w="1228"/>
              <w:gridCol w:w="1104"/>
              <w:gridCol w:w="784"/>
              <w:gridCol w:w="465"/>
              <w:gridCol w:w="668"/>
              <w:gridCol w:w="631"/>
              <w:gridCol w:w="886"/>
              <w:gridCol w:w="643"/>
            </w:tblGrid>
            <w:tr>
              <w:tc>
                <w:tcPr>
                  <w:tcW w:w="254" w:type="pct"/>
                  <w:tcBorders>
                    <w:tl2br w:val="nil"/>
                    <w:tr2bl w:val="nil"/>
                  </w:tcBorders>
                  <w:vAlign w:val="center"/>
                </w:tcPr>
                <w:p>
                  <w:pPr>
                    <w:pStyle w:val="39"/>
                    <w:rPr>
                      <w:color w:val="auto"/>
                    </w:rPr>
                  </w:pPr>
                  <w:r>
                    <w:rPr>
                      <w:color w:val="auto"/>
                    </w:rPr>
                    <w:t>序号</w:t>
                  </w:r>
                </w:p>
              </w:tc>
              <w:tc>
                <w:tcPr>
                  <w:tcW w:w="420" w:type="pct"/>
                  <w:tcBorders>
                    <w:tl2br w:val="nil"/>
                    <w:tr2bl w:val="nil"/>
                  </w:tcBorders>
                  <w:vAlign w:val="center"/>
                </w:tcPr>
                <w:p>
                  <w:pPr>
                    <w:pStyle w:val="39"/>
                    <w:rPr>
                      <w:color w:val="auto"/>
                    </w:rPr>
                  </w:pPr>
                  <w:r>
                    <w:rPr>
                      <w:color w:val="auto"/>
                    </w:rPr>
                    <w:t>名称</w:t>
                  </w:r>
                </w:p>
              </w:tc>
              <w:tc>
                <w:tcPr>
                  <w:tcW w:w="474" w:type="pct"/>
                  <w:tcBorders>
                    <w:tl2br w:val="nil"/>
                    <w:tr2bl w:val="nil"/>
                  </w:tcBorders>
                  <w:vAlign w:val="center"/>
                </w:tcPr>
                <w:p>
                  <w:pPr>
                    <w:pStyle w:val="39"/>
                    <w:rPr>
                      <w:color w:val="auto"/>
                    </w:rPr>
                  </w:pPr>
                  <w:r>
                    <w:rPr>
                      <w:color w:val="auto"/>
                    </w:rPr>
                    <w:t>危险废物类别</w:t>
                  </w:r>
                </w:p>
              </w:tc>
              <w:tc>
                <w:tcPr>
                  <w:tcW w:w="737" w:type="pct"/>
                  <w:tcBorders>
                    <w:tl2br w:val="nil"/>
                    <w:tr2bl w:val="nil"/>
                  </w:tcBorders>
                  <w:vAlign w:val="center"/>
                </w:tcPr>
                <w:p>
                  <w:pPr>
                    <w:pStyle w:val="39"/>
                    <w:rPr>
                      <w:color w:val="auto"/>
                    </w:rPr>
                  </w:pPr>
                  <w:r>
                    <w:rPr>
                      <w:color w:val="auto"/>
                    </w:rPr>
                    <w:t>危险废物代码</w:t>
                  </w:r>
                </w:p>
              </w:tc>
              <w:tc>
                <w:tcPr>
                  <w:tcW w:w="663" w:type="pct"/>
                  <w:tcBorders>
                    <w:tl2br w:val="nil"/>
                    <w:tr2bl w:val="nil"/>
                  </w:tcBorders>
                  <w:vAlign w:val="center"/>
                </w:tcPr>
                <w:p>
                  <w:pPr>
                    <w:pStyle w:val="39"/>
                    <w:rPr>
                      <w:color w:val="auto"/>
                    </w:rPr>
                  </w:pPr>
                  <w:r>
                    <w:rPr>
                      <w:color w:val="auto"/>
                    </w:rPr>
                    <w:t>产生量（t/a）</w:t>
                  </w:r>
                </w:p>
              </w:tc>
              <w:tc>
                <w:tcPr>
                  <w:tcW w:w="471" w:type="pct"/>
                  <w:tcBorders>
                    <w:tl2br w:val="nil"/>
                    <w:tr2bl w:val="nil"/>
                  </w:tcBorders>
                  <w:vAlign w:val="center"/>
                </w:tcPr>
                <w:p>
                  <w:pPr>
                    <w:pStyle w:val="39"/>
                    <w:rPr>
                      <w:color w:val="auto"/>
                    </w:rPr>
                  </w:pPr>
                  <w:r>
                    <w:rPr>
                      <w:color w:val="auto"/>
                    </w:rPr>
                    <w:t>产生工序及装置</w:t>
                  </w:r>
                </w:p>
              </w:tc>
              <w:tc>
                <w:tcPr>
                  <w:tcW w:w="279" w:type="pct"/>
                  <w:tcBorders>
                    <w:tl2br w:val="nil"/>
                    <w:tr2bl w:val="nil"/>
                  </w:tcBorders>
                  <w:vAlign w:val="center"/>
                </w:tcPr>
                <w:p>
                  <w:pPr>
                    <w:pStyle w:val="39"/>
                    <w:rPr>
                      <w:color w:val="auto"/>
                    </w:rPr>
                  </w:pPr>
                  <w:r>
                    <w:rPr>
                      <w:color w:val="auto"/>
                    </w:rPr>
                    <w:t>形态</w:t>
                  </w:r>
                </w:p>
              </w:tc>
              <w:tc>
                <w:tcPr>
                  <w:tcW w:w="401" w:type="pct"/>
                  <w:tcBorders>
                    <w:tl2br w:val="nil"/>
                    <w:tr2bl w:val="nil"/>
                  </w:tcBorders>
                  <w:vAlign w:val="center"/>
                </w:tcPr>
                <w:p>
                  <w:pPr>
                    <w:pStyle w:val="39"/>
                    <w:rPr>
                      <w:color w:val="auto"/>
                    </w:rPr>
                  </w:pPr>
                  <w:r>
                    <w:rPr>
                      <w:color w:val="auto"/>
                    </w:rPr>
                    <w:t>有害成分</w:t>
                  </w:r>
                </w:p>
              </w:tc>
              <w:tc>
                <w:tcPr>
                  <w:tcW w:w="379" w:type="pct"/>
                  <w:tcBorders>
                    <w:tl2br w:val="nil"/>
                    <w:tr2bl w:val="nil"/>
                  </w:tcBorders>
                  <w:vAlign w:val="center"/>
                </w:tcPr>
                <w:p>
                  <w:pPr>
                    <w:pStyle w:val="39"/>
                    <w:rPr>
                      <w:color w:val="auto"/>
                    </w:rPr>
                  </w:pPr>
                  <w:r>
                    <w:rPr>
                      <w:color w:val="auto"/>
                    </w:rPr>
                    <w:t>产废周期</w:t>
                  </w:r>
                </w:p>
              </w:tc>
              <w:tc>
                <w:tcPr>
                  <w:tcW w:w="532" w:type="pct"/>
                  <w:tcBorders>
                    <w:tl2br w:val="nil"/>
                    <w:tr2bl w:val="nil"/>
                  </w:tcBorders>
                  <w:vAlign w:val="center"/>
                </w:tcPr>
                <w:p>
                  <w:pPr>
                    <w:pStyle w:val="39"/>
                    <w:rPr>
                      <w:color w:val="auto"/>
                    </w:rPr>
                  </w:pPr>
                  <w:r>
                    <w:rPr>
                      <w:color w:val="auto"/>
                    </w:rPr>
                    <w:t>危险</w:t>
                  </w:r>
                </w:p>
                <w:p>
                  <w:pPr>
                    <w:pStyle w:val="39"/>
                    <w:rPr>
                      <w:color w:val="auto"/>
                    </w:rPr>
                  </w:pPr>
                  <w:r>
                    <w:rPr>
                      <w:color w:val="auto"/>
                    </w:rPr>
                    <w:t>特性</w:t>
                  </w:r>
                </w:p>
              </w:tc>
              <w:tc>
                <w:tcPr>
                  <w:tcW w:w="386" w:type="pct"/>
                  <w:tcBorders>
                    <w:tl2br w:val="nil"/>
                    <w:tr2bl w:val="nil"/>
                  </w:tcBorders>
                  <w:vAlign w:val="center"/>
                </w:tcPr>
                <w:p>
                  <w:pPr>
                    <w:pStyle w:val="39"/>
                    <w:rPr>
                      <w:color w:val="auto"/>
                    </w:rPr>
                  </w:pPr>
                  <w:r>
                    <w:rPr>
                      <w:color w:val="auto"/>
                    </w:rPr>
                    <w:t>污染防治措施</w:t>
                  </w:r>
                </w:p>
              </w:tc>
            </w:tr>
            <w:tr>
              <w:trPr>
                <w:trHeight w:val="524"/>
              </w:trPr>
              <w:tc>
                <w:tcPr>
                  <w:tcW w:w="254" w:type="pct"/>
                  <w:tcBorders>
                    <w:tl2br w:val="nil"/>
                    <w:tr2bl w:val="nil"/>
                  </w:tcBorders>
                  <w:vAlign w:val="center"/>
                </w:tcPr>
                <w:p>
                  <w:pPr>
                    <w:pStyle w:val="39"/>
                    <w:rPr>
                      <w:color w:val="auto"/>
                    </w:rPr>
                  </w:pPr>
                  <w:r>
                    <w:rPr>
                      <w:rFonts w:hint="eastAsia"/>
                      <w:color w:val="auto"/>
                    </w:rPr>
                    <w:t>1</w:t>
                  </w:r>
                </w:p>
              </w:tc>
              <w:tc>
                <w:tcPr>
                  <w:tcW w:w="420" w:type="pct"/>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化验室废液</w:t>
                  </w:r>
                </w:p>
              </w:tc>
              <w:tc>
                <w:tcPr>
                  <w:tcW w:w="474" w:type="pct"/>
                  <w:vMerge w:val="restart"/>
                  <w:tcBorders>
                    <w:tl2br w:val="nil"/>
                    <w:tr2bl w:val="nil"/>
                  </w:tcBorders>
                  <w:vAlign w:val="center"/>
                </w:tcPr>
                <w:p>
                  <w:pPr>
                    <w:pStyle w:val="39"/>
                    <w:ind w:firstLine="0"/>
                    <w:rPr>
                      <w:color w:val="auto"/>
                    </w:rPr>
                  </w:pPr>
                  <w:r>
                    <w:rPr>
                      <w:rFonts w:hint="eastAsia"/>
                      <w:color w:val="auto"/>
                    </w:rPr>
                    <w:t>HW49其他废物</w:t>
                  </w:r>
                </w:p>
              </w:tc>
              <w:tc>
                <w:tcPr>
                  <w:tcW w:w="737" w:type="pct"/>
                  <w:tcBorders>
                    <w:tl2br w:val="nil"/>
                    <w:tr2bl w:val="nil"/>
                  </w:tcBorders>
                  <w:vAlign w:val="center"/>
                </w:tcPr>
                <w:p>
                  <w:pPr>
                    <w:pStyle w:val="39"/>
                    <w:ind w:firstLine="0"/>
                    <w:rPr>
                      <w:color w:val="auto"/>
                    </w:rPr>
                  </w:pPr>
                  <w:r>
                    <w:rPr>
                      <w:color w:val="auto"/>
                    </w:rPr>
                    <w:t>900-04</w:t>
                  </w:r>
                  <w:r>
                    <w:rPr>
                      <w:rFonts w:hint="eastAsia"/>
                      <w:color w:val="auto"/>
                      <w:lang w:val="en-US" w:eastAsia="zh-CN"/>
                    </w:rPr>
                    <w:t>7</w:t>
                  </w:r>
                  <w:r>
                    <w:rPr>
                      <w:color w:val="auto"/>
                    </w:rPr>
                    <w:t>-49</w:t>
                  </w:r>
                </w:p>
              </w:tc>
              <w:tc>
                <w:tcPr>
                  <w:tcW w:w="663" w:type="pct"/>
                  <w:tcBorders>
                    <w:tl2br w:val="nil"/>
                    <w:tr2bl w:val="nil"/>
                  </w:tcBorders>
                  <w:vAlign w:val="center"/>
                </w:tcPr>
                <w:p>
                  <w:pPr>
                    <w:snapToGrid w:val="0"/>
                    <w:spacing w:line="240" w:lineRule="auto"/>
                    <w:ind w:firstLineChars="0" w:firstLine="0"/>
                    <w:jc w:val="center"/>
                    <w:rPr>
                      <w:rFonts w:eastAsia="宋体"/>
                      <w:color w:val="auto"/>
                      <w:lang w:val="en-US" w:eastAsia="zh-CN"/>
                    </w:rPr>
                  </w:pPr>
                  <w:r>
                    <w:rPr>
                      <w:rFonts w:ascii="Times New Roman" w:eastAsia="宋体" w:cs="Times New Roman" w:hAnsi="Times New Roman" w:hint="eastAsia"/>
                      <w:color w:val="auto"/>
                      <w:sz w:val="21"/>
                      <w:szCs w:val="21"/>
                      <w:lang w:val="en-US" w:eastAsia="zh-CN"/>
                      <w:highlight w:val="none"/>
                    </w:rPr>
                    <w:t>1.2</w:t>
                  </w:r>
                </w:p>
              </w:tc>
              <w:tc>
                <w:tcPr>
                  <w:tcW w:w="471" w:type="pct"/>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化验室</w:t>
                  </w:r>
                </w:p>
              </w:tc>
              <w:tc>
                <w:tcPr>
                  <w:tcW w:w="279" w:type="pct"/>
                  <w:tcBorders>
                    <w:tl2br w:val="nil"/>
                    <w:tr2bl w:val="nil"/>
                  </w:tcBorders>
                  <w:vAlign w:val="center"/>
                </w:tcPr>
                <w:p>
                  <w:pPr>
                    <w:pStyle w:val="39"/>
                    <w:rPr>
                      <w:rFonts w:eastAsia="宋体" w:hint="eastAsia"/>
                      <w:color w:val="auto"/>
                      <w:lang w:eastAsia="zh-CN"/>
                    </w:rPr>
                  </w:pPr>
                  <w:r>
                    <w:rPr>
                      <w:rFonts w:hint="eastAsia"/>
                      <w:color w:val="auto"/>
                      <w:lang w:val="en-US" w:eastAsia="zh-CN"/>
                    </w:rPr>
                    <w:t>液体</w:t>
                  </w:r>
                </w:p>
              </w:tc>
              <w:tc>
                <w:tcPr>
                  <w:tcW w:w="401" w:type="pct"/>
                  <w:tcBorders>
                    <w:tl2br w:val="nil"/>
                    <w:tr2bl w:val="nil"/>
                  </w:tcBorders>
                  <w:vAlign w:val="center"/>
                </w:tcPr>
                <w:p>
                  <w:pPr>
                    <w:snapToGrid w:val="0"/>
                    <w:spacing w:line="240" w:lineRule="auto"/>
                    <w:ind w:firstLineChars="0" w:firstLine="0"/>
                    <w:jc w:val="center"/>
                    <w:rPr>
                      <w:rFonts w:eastAsia="宋体" w:hint="eastAsia"/>
                      <w:color w:val="auto"/>
                      <w:lang w:eastAsia="zh-CN"/>
                    </w:rPr>
                  </w:pPr>
                  <w:r>
                    <w:rPr>
                      <w:rFonts w:ascii="Times New Roman" w:eastAsia="宋体" w:cs="Times New Roman" w:hAnsi="Times New Roman" w:hint="eastAsia"/>
                      <w:color w:val="auto"/>
                      <w:sz w:val="21"/>
                      <w:szCs w:val="21"/>
                      <w:lang w:val="en-US" w:eastAsia="zh-CN"/>
                      <w:highlight w:val="none"/>
                    </w:rPr>
                    <w:t>废试剂</w:t>
                  </w:r>
                </w:p>
              </w:tc>
              <w:tc>
                <w:tcPr>
                  <w:tcW w:w="379" w:type="pct"/>
                  <w:tcBorders>
                    <w:tl2br w:val="nil"/>
                    <w:tr2bl w:val="nil"/>
                  </w:tcBorders>
                  <w:vAlign w:val="center"/>
                </w:tcPr>
                <w:p>
                  <w:pPr>
                    <w:pStyle w:val="39"/>
                    <w:rPr>
                      <w:color w:val="auto"/>
                      <w:lang w:val="en-US"/>
                    </w:rPr>
                  </w:pPr>
                  <w:r>
                    <w:rPr>
                      <w:rFonts w:hint="eastAsia"/>
                      <w:color w:val="auto"/>
                      <w:lang w:val="en-US" w:eastAsia="zh-CN"/>
                    </w:rPr>
                    <w:t>1月</w:t>
                  </w:r>
                </w:p>
              </w:tc>
              <w:tc>
                <w:tcPr>
                  <w:tcW w:w="532" w:type="pct"/>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color w:val="auto"/>
                      <w:sz w:val="21"/>
                      <w:szCs w:val="21"/>
                      <w:lang w:val="en-US" w:eastAsia="zh-CN"/>
                      <w:highlight w:val="none"/>
                    </w:rPr>
                    <w:t>T/C/I/R</w:t>
                  </w:r>
                </w:p>
              </w:tc>
              <w:tc>
                <w:tcPr>
                  <w:tcW w:w="386" w:type="pct"/>
                  <w:vMerge w:val="restart"/>
                  <w:tcBorders>
                    <w:tl2br w:val="nil"/>
                    <w:tr2bl w:val="nil"/>
                  </w:tcBorders>
                  <w:vAlign w:val="center"/>
                </w:tcPr>
                <w:p>
                  <w:pPr>
                    <w:pStyle w:val="39"/>
                    <w:rPr>
                      <w:rFonts w:eastAsia="宋体"/>
                      <w:color w:val="auto"/>
                      <w:lang w:val="en-US" w:eastAsia="zh-CN"/>
                    </w:rPr>
                  </w:pPr>
                  <w:r>
                    <w:rPr>
                      <w:rFonts w:hint="eastAsia"/>
                      <w:color w:val="auto"/>
                      <w:lang w:val="en-US" w:eastAsia="zh-CN"/>
                    </w:rPr>
                    <w:t>分类密闭收集</w:t>
                  </w:r>
                  <w:r>
                    <w:rPr>
                      <w:color w:val="auto"/>
                    </w:rPr>
                    <w:t>暂存于危废间，定期交由有资质单位处理</w:t>
                  </w:r>
                </w:p>
              </w:tc>
            </w:tr>
            <w:tr>
              <w:trPr>
                <w:trHeight w:val="524"/>
              </w:trPr>
              <w:tc>
                <w:tcPr>
                  <w:tcW w:w="254" w:type="pct"/>
                  <w:tcBorders>
                    <w:tl2br w:val="nil"/>
                    <w:tr2bl w:val="nil"/>
                  </w:tcBorders>
                  <w:vAlign w:val="center"/>
                </w:tcPr>
                <w:p>
                  <w:pPr>
                    <w:pStyle w:val="39"/>
                    <w:rPr>
                      <w:color w:val="auto"/>
                    </w:rPr>
                  </w:pPr>
                  <w:r>
                    <w:rPr>
                      <w:rFonts w:hint="eastAsia"/>
                      <w:color w:val="auto"/>
                    </w:rPr>
                    <w:t>2</w:t>
                  </w:r>
                </w:p>
              </w:tc>
              <w:tc>
                <w:tcPr>
                  <w:tcW w:w="420" w:type="pct"/>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化验室废</w:t>
                  </w:r>
                  <w:r>
                    <w:rPr>
                      <w:rFonts w:ascii="Times New Roman" w:eastAsia="宋体" w:cs="Times New Roman" w:hAnsi="Times New Roman" w:hint="eastAsia"/>
                      <w:color w:val="auto"/>
                      <w:sz w:val="21"/>
                      <w:szCs w:val="21"/>
                      <w:lang w:val="en-US" w:eastAsia="zh-CN"/>
                      <w:highlight w:val="none"/>
                    </w:rPr>
                    <w:t>包装</w:t>
                  </w:r>
                </w:p>
              </w:tc>
              <w:tc>
                <w:tcPr>
                  <w:tcW w:w="474" w:type="pct"/>
                  <w:vMerge/>
                  <w:tcBorders>
                    <w:tl2br w:val="nil"/>
                    <w:tr2bl w:val="nil"/>
                  </w:tcBorders>
                  <w:vAlign w:val="center"/>
                </w:tcPr>
                <w:p/>
              </w:tc>
              <w:tc>
                <w:tcPr>
                  <w:tcW w:w="737" w:type="pct"/>
                  <w:tcBorders>
                    <w:tl2br w:val="nil"/>
                    <w:tr2bl w:val="nil"/>
                  </w:tcBorders>
                  <w:vAlign w:val="center"/>
                </w:tcPr>
                <w:p>
                  <w:pPr>
                    <w:pStyle w:val="39"/>
                    <w:ind w:firstLine="0"/>
                    <w:rPr>
                      <w:color w:val="auto"/>
                    </w:rPr>
                  </w:pPr>
                  <w:r>
                    <w:rPr>
                      <w:color w:val="auto"/>
                    </w:rPr>
                    <w:t>900-04</w:t>
                  </w:r>
                  <w:r>
                    <w:rPr>
                      <w:rFonts w:hint="eastAsia"/>
                      <w:color w:val="auto"/>
                      <w:lang w:val="en-US" w:eastAsia="zh-CN"/>
                    </w:rPr>
                    <w:t>7</w:t>
                  </w:r>
                  <w:r>
                    <w:rPr>
                      <w:color w:val="auto"/>
                    </w:rPr>
                    <w:t>-49</w:t>
                  </w:r>
                </w:p>
              </w:tc>
              <w:tc>
                <w:tcPr>
                  <w:tcW w:w="663" w:type="pct"/>
                  <w:tcBorders>
                    <w:tl2br w:val="nil"/>
                    <w:tr2bl w:val="nil"/>
                  </w:tcBorders>
                  <w:vAlign w:val="center"/>
                </w:tcPr>
                <w:p>
                  <w:pPr>
                    <w:snapToGrid w:val="0"/>
                    <w:spacing w:line="240" w:lineRule="auto"/>
                    <w:ind w:firstLineChars="0" w:firstLine="0"/>
                    <w:jc w:val="center"/>
                    <w:rPr>
                      <w:rFonts w:eastAsia="宋体"/>
                      <w:color w:val="auto"/>
                      <w:lang w:val="en-US" w:eastAsia="zh-CN"/>
                    </w:rPr>
                  </w:pPr>
                  <w:r>
                    <w:rPr>
                      <w:rFonts w:ascii="Times New Roman" w:eastAsia="宋体" w:cs="Times New Roman" w:hAnsi="Times New Roman" w:hint="eastAsia"/>
                      <w:color w:val="auto"/>
                      <w:sz w:val="21"/>
                      <w:szCs w:val="21"/>
                      <w:lang w:val="en-US" w:eastAsia="zh-CN"/>
                      <w:highlight w:val="none"/>
                    </w:rPr>
                    <w:t>0.1</w:t>
                  </w:r>
                </w:p>
              </w:tc>
              <w:tc>
                <w:tcPr>
                  <w:tcW w:w="471" w:type="pct"/>
                  <w:vMerge/>
                  <w:tcBorders>
                    <w:tl2br w:val="nil"/>
                    <w:tr2bl w:val="nil"/>
                  </w:tcBorders>
                  <w:vAlign w:val="center"/>
                </w:tcPr>
                <w:p/>
              </w:tc>
              <w:tc>
                <w:tcPr>
                  <w:tcW w:w="279" w:type="pct"/>
                  <w:tcBorders>
                    <w:tl2br w:val="nil"/>
                    <w:tr2bl w:val="nil"/>
                  </w:tcBorders>
                  <w:vAlign w:val="center"/>
                </w:tcPr>
                <w:p>
                  <w:pPr>
                    <w:pStyle w:val="39"/>
                    <w:rPr>
                      <w:color w:val="auto"/>
                    </w:rPr>
                  </w:pPr>
                  <w:r>
                    <w:rPr>
                      <w:rFonts w:hint="eastAsia"/>
                      <w:color w:val="auto"/>
                    </w:rPr>
                    <w:t>固体</w:t>
                  </w:r>
                </w:p>
              </w:tc>
              <w:tc>
                <w:tcPr>
                  <w:tcW w:w="401" w:type="pct"/>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hint="eastAsia"/>
                      <w:color w:val="auto"/>
                      <w:sz w:val="21"/>
                      <w:szCs w:val="21"/>
                      <w:lang w:val="en-US" w:eastAsia="zh-CN"/>
                      <w:highlight w:val="none"/>
                    </w:rPr>
                    <w:t>化学试剂</w:t>
                  </w:r>
                </w:p>
              </w:tc>
              <w:tc>
                <w:tcPr>
                  <w:tcW w:w="379" w:type="pct"/>
                  <w:tcBorders>
                    <w:tl2br w:val="nil"/>
                    <w:tr2bl w:val="nil"/>
                  </w:tcBorders>
                  <w:vAlign w:val="center"/>
                </w:tcPr>
                <w:p>
                  <w:pPr>
                    <w:pStyle w:val="39"/>
                    <w:rPr>
                      <w:rFonts w:eastAsia="宋体"/>
                      <w:color w:val="auto"/>
                      <w:lang w:val="en-US" w:eastAsia="zh-CN"/>
                    </w:rPr>
                  </w:pPr>
                  <w:r>
                    <w:rPr>
                      <w:rFonts w:hint="eastAsia"/>
                      <w:color w:val="auto"/>
                      <w:lang w:val="en-US" w:eastAsia="zh-CN"/>
                    </w:rPr>
                    <w:t>1月</w:t>
                  </w:r>
                </w:p>
              </w:tc>
              <w:tc>
                <w:tcPr>
                  <w:tcW w:w="532" w:type="pct"/>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color w:val="auto"/>
                      <w:sz w:val="21"/>
                      <w:szCs w:val="21"/>
                      <w:lang w:val="en-US" w:eastAsia="zh-CN"/>
                      <w:highlight w:val="none"/>
                    </w:rPr>
                    <w:t>T/C/I/R</w:t>
                  </w:r>
                </w:p>
              </w:tc>
              <w:tc>
                <w:tcPr>
                  <w:tcW w:w="386" w:type="pct"/>
                  <w:vMerge/>
                  <w:tcBorders>
                    <w:tl2br w:val="nil"/>
                    <w:tr2bl w:val="nil"/>
                  </w:tcBorders>
                  <w:vAlign w:val="center"/>
                </w:tcPr>
                <w:p/>
              </w:tc>
            </w:tr>
            <w:tr>
              <w:trPr>
                <w:trHeight w:val="312"/>
              </w:trPr>
              <w:tc>
                <w:tcPr>
                  <w:tcW w:w="254" w:type="pct"/>
                  <w:tcBorders>
                    <w:tl2br w:val="nil"/>
                    <w:tr2bl w:val="nil"/>
                  </w:tcBorders>
                  <w:vAlign w:val="center"/>
                </w:tcPr>
                <w:p>
                  <w:pPr>
                    <w:pStyle w:val="39"/>
                    <w:rPr>
                      <w:color w:val="auto"/>
                    </w:rPr>
                  </w:pPr>
                  <w:r>
                    <w:rPr>
                      <w:rFonts w:hint="eastAsia"/>
                      <w:color w:val="auto"/>
                    </w:rPr>
                    <w:t>3</w:t>
                  </w:r>
                </w:p>
              </w:tc>
              <w:tc>
                <w:tcPr>
                  <w:tcW w:w="420" w:type="pct"/>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废机油、废润滑油</w:t>
                  </w:r>
                </w:p>
              </w:tc>
              <w:tc>
                <w:tcPr>
                  <w:tcW w:w="474" w:type="pct"/>
                  <w:vMerge/>
                  <w:tcBorders>
                    <w:tl2br w:val="nil"/>
                    <w:tr2bl w:val="nil"/>
                  </w:tcBorders>
                  <w:vAlign w:val="center"/>
                </w:tcPr>
                <w:p/>
              </w:tc>
              <w:tc>
                <w:tcPr>
                  <w:tcW w:w="737" w:type="pct"/>
                  <w:tcBorders>
                    <w:tl2br w:val="nil"/>
                    <w:tr2bl w:val="nil"/>
                  </w:tcBorders>
                  <w:vAlign w:val="center"/>
                </w:tcPr>
                <w:p>
                  <w:pPr>
                    <w:pStyle w:val="39"/>
                    <w:ind w:firstLine="0"/>
                    <w:rPr>
                      <w:color w:val="auto"/>
                    </w:rPr>
                  </w:pPr>
                  <w:r>
                    <w:rPr>
                      <w:color w:val="auto"/>
                      <w:lang w:val="en-US" w:eastAsia="zh-CN"/>
                    </w:rPr>
                    <w:t>900-</w:t>
                  </w:r>
                  <w:r>
                    <w:rPr>
                      <w:rFonts w:hint="eastAsia"/>
                      <w:color w:val="auto"/>
                      <w:lang w:val="en-US" w:eastAsia="zh-CN"/>
                    </w:rPr>
                    <w:t>217</w:t>
                  </w:r>
                  <w:r>
                    <w:rPr>
                      <w:color w:val="auto"/>
                      <w:lang w:val="en-US" w:eastAsia="zh-CN"/>
                    </w:rPr>
                    <w:t>-</w:t>
                  </w:r>
                  <w:r>
                    <w:rPr>
                      <w:rFonts w:hint="eastAsia"/>
                      <w:color w:val="auto"/>
                      <w:lang w:val="en-US" w:eastAsia="zh-CN"/>
                    </w:rPr>
                    <w:t>08</w:t>
                  </w:r>
                </w:p>
              </w:tc>
              <w:tc>
                <w:tcPr>
                  <w:tcW w:w="663" w:type="pct"/>
                  <w:tcBorders>
                    <w:tl2br w:val="nil"/>
                    <w:tr2bl w:val="nil"/>
                  </w:tcBorders>
                  <w:vAlign w:val="center"/>
                </w:tcPr>
                <w:p>
                  <w:pPr>
                    <w:snapToGrid w:val="0"/>
                    <w:spacing w:line="240" w:lineRule="auto"/>
                    <w:ind w:firstLineChars="0" w:firstLine="0"/>
                    <w:jc w:val="center"/>
                    <w:rPr>
                      <w:rFonts w:eastAsia="宋体"/>
                      <w:color w:val="auto"/>
                      <w:lang w:val="en-US" w:eastAsia="zh-CN"/>
                    </w:rPr>
                  </w:pPr>
                  <w:r>
                    <w:rPr>
                      <w:rFonts w:ascii="Times New Roman" w:eastAsia="宋体" w:cs="Times New Roman" w:hAnsi="Times New Roman" w:hint="eastAsia"/>
                      <w:color w:val="auto"/>
                      <w:sz w:val="21"/>
                      <w:szCs w:val="21"/>
                      <w:lang w:val="en-US" w:eastAsia="zh-CN"/>
                      <w:highlight w:val="none"/>
                    </w:rPr>
                    <w:t>0.5</w:t>
                  </w:r>
                </w:p>
              </w:tc>
              <w:tc>
                <w:tcPr>
                  <w:tcW w:w="471" w:type="pct"/>
                  <w:tcBorders>
                    <w:tl2br w:val="nil"/>
                    <w:tr2bl w:val="nil"/>
                  </w:tcBorders>
                  <w:vAlign w:val="center"/>
                </w:tcPr>
                <w:p>
                  <w:pPr>
                    <w:pStyle w:val="39"/>
                    <w:rPr>
                      <w:color w:val="auto"/>
                    </w:rPr>
                  </w:pPr>
                  <w:r>
                    <w:rPr>
                      <w:rFonts w:hint="eastAsia"/>
                      <w:color w:val="auto"/>
                    </w:rPr>
                    <w:t>设备维护</w:t>
                  </w:r>
                </w:p>
              </w:tc>
              <w:tc>
                <w:tcPr>
                  <w:tcW w:w="279" w:type="pc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液体</w:t>
                  </w:r>
                </w:p>
              </w:tc>
              <w:tc>
                <w:tcPr>
                  <w:tcW w:w="401" w:type="pct"/>
                  <w:tcBorders>
                    <w:tl2br w:val="nil"/>
                    <w:tr2bl w:val="nil"/>
                  </w:tcBorders>
                  <w:vAlign w:val="center"/>
                </w:tcPr>
                <w:p>
                  <w:pPr>
                    <w:pStyle w:val="39"/>
                    <w:rPr>
                      <w:color w:val="auto"/>
                    </w:rPr>
                  </w:pPr>
                  <w:r>
                    <w:rPr>
                      <w:rFonts w:hint="eastAsia"/>
                      <w:color w:val="auto"/>
                    </w:rPr>
                    <w:t>油类物质</w:t>
                  </w:r>
                </w:p>
              </w:tc>
              <w:tc>
                <w:tcPr>
                  <w:tcW w:w="379" w:type="pct"/>
                  <w:tcBorders>
                    <w:tl2br w:val="nil"/>
                    <w:tr2bl w:val="nil"/>
                  </w:tcBorders>
                  <w:vAlign w:val="center"/>
                </w:tcPr>
                <w:p>
                  <w:pPr>
                    <w:pStyle w:val="39"/>
                    <w:rPr>
                      <w:color w:val="auto"/>
                    </w:rPr>
                  </w:pPr>
                  <w:r>
                    <w:rPr>
                      <w:color w:val="auto"/>
                    </w:rPr>
                    <w:t>1年</w:t>
                  </w:r>
                </w:p>
              </w:tc>
              <w:tc>
                <w:tcPr>
                  <w:tcW w:w="532" w:type="pct"/>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color w:val="auto"/>
                      <w:sz w:val="21"/>
                      <w:szCs w:val="21"/>
                      <w:lang w:val="en-US" w:eastAsia="zh-CN"/>
                      <w:highlight w:val="none"/>
                    </w:rPr>
                    <w:t>T/I</w:t>
                  </w:r>
                </w:p>
              </w:tc>
              <w:tc>
                <w:tcPr>
                  <w:tcW w:w="386" w:type="pct"/>
                  <w:vMerge/>
                  <w:tcBorders>
                    <w:tl2br w:val="nil"/>
                    <w:tr2bl w:val="nil"/>
                  </w:tcBorders>
                  <w:vAlign w:val="center"/>
                </w:tcPr>
                <w:p/>
              </w:tc>
            </w:tr>
            <w:tr>
              <w:trPr>
                <w:trHeight w:val="312"/>
              </w:trPr>
              <w:tc>
                <w:tcPr>
                  <w:tcW w:w="254" w:type="pc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4</w:t>
                  </w:r>
                </w:p>
              </w:tc>
              <w:tc>
                <w:tcPr>
                  <w:tcW w:w="420" w:type="pct"/>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废活性炭</w:t>
                  </w:r>
                </w:p>
              </w:tc>
              <w:tc>
                <w:tcPr>
                  <w:tcW w:w="474" w:type="pct"/>
                  <w:vMerge/>
                  <w:tcBorders>
                    <w:tl2br w:val="nil"/>
                    <w:tr2bl w:val="nil"/>
                  </w:tcBorders>
                  <w:vAlign w:val="center"/>
                </w:tcPr>
                <w:p/>
              </w:tc>
              <w:tc>
                <w:tcPr>
                  <w:tcW w:w="737" w:type="pct"/>
                  <w:tcBorders>
                    <w:tl2br w:val="nil"/>
                    <w:tr2bl w:val="nil"/>
                  </w:tcBorders>
                  <w:vAlign w:val="center"/>
                </w:tcPr>
                <w:p>
                  <w:pPr>
                    <w:pStyle w:val="39"/>
                    <w:ind w:firstLine="0"/>
                    <w:rPr>
                      <w:color w:val="auto"/>
                      <w:lang w:val="en-US" w:eastAsia="zh-CN"/>
                    </w:rPr>
                  </w:pPr>
                  <w:r>
                    <w:rPr>
                      <w:color w:val="auto"/>
                      <w:lang w:val="en-US" w:eastAsia="zh-CN"/>
                    </w:rPr>
                    <w:t>900-039-49</w:t>
                  </w:r>
                </w:p>
              </w:tc>
              <w:tc>
                <w:tcPr>
                  <w:tcW w:w="663" w:type="pct"/>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22.6865</w:t>
                  </w:r>
                </w:p>
              </w:tc>
              <w:tc>
                <w:tcPr>
                  <w:tcW w:w="471" w:type="pc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治理设施</w:t>
                  </w:r>
                </w:p>
              </w:tc>
              <w:tc>
                <w:tcPr>
                  <w:tcW w:w="279" w:type="pct"/>
                  <w:tcBorders>
                    <w:tl2br w:val="nil"/>
                    <w:tr2bl w:val="nil"/>
                  </w:tcBorders>
                  <w:vAlign w:val="center"/>
                </w:tcPr>
                <w:p>
                  <w:pPr>
                    <w:pStyle w:val="39"/>
                    <w:rPr>
                      <w:rFonts w:hint="eastAsia"/>
                      <w:color w:val="auto"/>
                      <w:lang w:val="en-US" w:eastAsia="zh-CN"/>
                    </w:rPr>
                  </w:pPr>
                  <w:r>
                    <w:rPr>
                      <w:rFonts w:hint="eastAsia"/>
                      <w:color w:val="auto"/>
                      <w:lang w:val="en-US" w:eastAsia="zh-CN"/>
                    </w:rPr>
                    <w:t>固体</w:t>
                  </w:r>
                </w:p>
              </w:tc>
              <w:tc>
                <w:tcPr>
                  <w:tcW w:w="401" w:type="pct"/>
                  <w:tcBorders>
                    <w:tl2br w:val="nil"/>
                    <w:tr2bl w:val="nil"/>
                  </w:tcBorders>
                  <w:vAlign w:val="center"/>
                </w:tcPr>
                <w:p>
                  <w:pPr>
                    <w:pStyle w:val="39"/>
                    <w:rPr>
                      <w:rFonts w:hint="eastAsia"/>
                      <w:color w:val="auto"/>
                    </w:rPr>
                  </w:pPr>
                  <w:r>
                    <w:rPr>
                      <w:rFonts w:hint="eastAsia"/>
                      <w:color w:val="auto"/>
                    </w:rPr>
                    <w:t>挥发有机物</w:t>
                  </w:r>
                </w:p>
              </w:tc>
              <w:tc>
                <w:tcPr>
                  <w:tcW w:w="379" w:type="pct"/>
                  <w:tcBorders>
                    <w:tl2br w:val="nil"/>
                    <w:tr2bl w:val="nil"/>
                  </w:tcBorders>
                  <w:vAlign w:val="center"/>
                </w:tcPr>
                <w:p>
                  <w:pPr>
                    <w:pStyle w:val="39"/>
                    <w:rPr>
                      <w:rFonts w:eastAsia="宋体"/>
                      <w:color w:val="auto"/>
                      <w:lang w:val="en-US" w:eastAsia="zh-CN"/>
                    </w:rPr>
                  </w:pPr>
                  <w:r>
                    <w:rPr>
                      <w:rFonts w:hint="eastAsia"/>
                      <w:color w:val="auto"/>
                      <w:lang w:val="en-US" w:eastAsia="zh-CN"/>
                    </w:rPr>
                    <w:t>2月</w:t>
                  </w:r>
                </w:p>
              </w:tc>
              <w:tc>
                <w:tcPr>
                  <w:tcW w:w="532" w:type="pct"/>
                  <w:tcBorders>
                    <w:tl2br w:val="nil"/>
                    <w:tr2bl w:val="nil"/>
                  </w:tcBorders>
                  <w:vAlign w:val="center"/>
                </w:tcPr>
                <w:p>
                  <w:pPr>
                    <w:snapToGrid w:val="0"/>
                    <w:spacing w:line="240" w:lineRule="auto"/>
                    <w:ind w:firstLineChars="0" w:firstLine="0"/>
                    <w:jc w:val="center"/>
                    <w:rPr>
                      <w:rFonts w:ascii="Times New Roman" w:eastAsia="宋体" w:cs="Times New Roman" w:hAnsi="Times New Roman"/>
                      <w:color w:val="auto"/>
                      <w:sz w:val="21"/>
                      <w:szCs w:val="21"/>
                      <w:lang w:val="en-US" w:eastAsia="zh-CN"/>
                      <w:highlight w:val="none"/>
                    </w:rPr>
                  </w:pPr>
                  <w:r>
                    <w:rPr>
                      <w:rFonts w:cs="Times New Roman" w:hint="eastAsia"/>
                      <w:color w:val="auto"/>
                      <w:sz w:val="21"/>
                      <w:szCs w:val="21"/>
                      <w:lang w:val="en-US" w:eastAsia="zh-CN"/>
                      <w:highlight w:val="none"/>
                    </w:rPr>
                    <w:t>T</w:t>
                  </w:r>
                </w:p>
              </w:tc>
              <w:tc>
                <w:tcPr>
                  <w:tcW w:w="386" w:type="pct"/>
                  <w:vMerge/>
                  <w:tcBorders>
                    <w:tl2br w:val="nil"/>
                    <w:tr2bl w:val="nil"/>
                  </w:tcBorders>
                  <w:vAlign w:val="center"/>
                </w:tcPr>
                <w:p/>
              </w:tc>
            </w:tr>
            <w:tr>
              <w:trPr>
                <w:trHeight w:val="312"/>
              </w:trPr>
              <w:tc>
                <w:tcPr>
                  <w:tcW w:w="254" w:type="pct"/>
                  <w:tcBorders>
                    <w:tl2br w:val="nil"/>
                    <w:tr2bl w:val="nil"/>
                  </w:tcBorders>
                  <w:vAlign w:val="center"/>
                </w:tcPr>
                <w:p>
                  <w:pPr>
                    <w:pStyle w:val="39"/>
                    <w:rPr>
                      <w:color w:val="auto"/>
                      <w:lang w:val="en-US" w:eastAsia="zh-CN"/>
                    </w:rPr>
                  </w:pPr>
                  <w:r>
                    <w:rPr>
                      <w:rFonts w:hint="eastAsia"/>
                      <w:color w:val="auto"/>
                      <w:lang w:val="en-US" w:eastAsia="zh-CN"/>
                    </w:rPr>
                    <w:t>5</w:t>
                  </w:r>
                </w:p>
              </w:tc>
              <w:tc>
                <w:tcPr>
                  <w:tcW w:w="420" w:type="pct"/>
                  <w:tcBorders>
                    <w:tl2br w:val="nil"/>
                    <w:tr2bl w:val="nil"/>
                  </w:tcBorders>
                  <w:shd w:val="clear" w:color="auto" w:fill="auto"/>
                  <w:vAlign w:val="center"/>
                </w:tcPr>
                <w:p>
                  <w:pPr>
                    <w:snapToGrid w:val="0"/>
                    <w:spacing w:line="240" w:lineRule="auto"/>
                    <w:ind w:firstLineChars="0"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废干式酸雾净化器吸附剂</w:t>
                  </w:r>
                </w:p>
              </w:tc>
              <w:tc>
                <w:tcPr>
                  <w:tcW w:w="474" w:type="pct"/>
                  <w:vMerge/>
                  <w:tcBorders>
                    <w:tl2br w:val="nil"/>
                    <w:tr2bl w:val="nil"/>
                  </w:tcBorders>
                  <w:vAlign w:val="center"/>
                </w:tcPr>
                <w:p/>
              </w:tc>
              <w:tc>
                <w:tcPr>
                  <w:tcW w:w="737" w:type="pct"/>
                  <w:tcBorders>
                    <w:tl2br w:val="nil"/>
                    <w:tr2bl w:val="nil"/>
                  </w:tcBorders>
                  <w:vAlign w:val="center"/>
                </w:tcPr>
                <w:p>
                  <w:pPr>
                    <w:pStyle w:val="39"/>
                    <w:ind w:firstLine="0"/>
                    <w:rPr>
                      <w:color w:val="auto"/>
                      <w:lang w:val="en-US" w:eastAsia="zh-CN"/>
                    </w:rPr>
                  </w:pPr>
                  <w:r>
                    <w:rPr>
                      <w:rFonts w:hint="eastAsia"/>
                      <w:color w:val="auto"/>
                      <w:lang w:val="en-US" w:eastAsia="zh-CN"/>
                    </w:rPr>
                    <w:t>900-042-49</w:t>
                  </w:r>
                </w:p>
              </w:tc>
              <w:tc>
                <w:tcPr>
                  <w:tcW w:w="663" w:type="pct"/>
                  <w:tcBorders>
                    <w:tl2br w:val="nil"/>
                    <w:tr2bl w:val="nil"/>
                  </w:tcBorders>
                  <w:vAlign w:val="center"/>
                </w:tcPr>
                <w:p>
                  <w:pPr>
                    <w:snapToGrid w:val="0"/>
                    <w:spacing w:line="240" w:lineRule="auto"/>
                    <w:ind w:firstLineChars="0" w:firstLine="0"/>
                    <w:jc w:val="center"/>
                    <w:rPr>
                      <w:rFonts w:cs="Times New Roman"/>
                      <w:color w:val="auto"/>
                      <w:sz w:val="21"/>
                      <w:szCs w:val="21"/>
                      <w:lang w:val="en-US" w:eastAsia="zh-CN"/>
                      <w:highlight w:val="none"/>
                    </w:rPr>
                  </w:pPr>
                  <w:r>
                    <w:rPr>
                      <w:rFonts w:cs="Times New Roman" w:hint="eastAsia"/>
                      <w:color w:val="auto"/>
                      <w:sz w:val="21"/>
                      <w:szCs w:val="21"/>
                      <w:lang w:val="en-US" w:eastAsia="zh-CN"/>
                      <w:highlight w:val="none"/>
                    </w:rPr>
                    <w:t>0.0115</w:t>
                  </w:r>
                </w:p>
              </w:tc>
              <w:tc>
                <w:tcPr>
                  <w:tcW w:w="471" w:type="pct"/>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治理设施</w:t>
                  </w:r>
                </w:p>
              </w:tc>
              <w:tc>
                <w:tcPr>
                  <w:tcW w:w="279" w:type="pct"/>
                  <w:tcBorders>
                    <w:tl2br w:val="nil"/>
                    <w:tr2bl w:val="nil"/>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rPr>
                  </w:pPr>
                  <w:r>
                    <w:rPr>
                      <w:rFonts w:hint="eastAsia"/>
                      <w:color w:val="auto"/>
                      <w:lang w:val="en-US" w:eastAsia="zh-CN"/>
                    </w:rPr>
                    <w:t>固体</w:t>
                  </w:r>
                </w:p>
              </w:tc>
              <w:tc>
                <w:tcPr>
                  <w:tcW w:w="401" w:type="pct"/>
                  <w:tcBorders>
                    <w:tl2br w:val="nil"/>
                    <w:tr2bl w:val="nil"/>
                  </w:tcBorders>
                  <w:vAlign w:val="center"/>
                </w:tcPr>
                <w:p>
                  <w:pPr>
                    <w:pStyle w:val="39"/>
                    <w:rPr>
                      <w:rFonts w:eastAsia="宋体" w:hint="eastAsia"/>
                      <w:color w:val="auto"/>
                      <w:lang w:val="en-US" w:eastAsia="zh-CN"/>
                    </w:rPr>
                  </w:pPr>
                  <w:r>
                    <w:rPr>
                      <w:rFonts w:hint="eastAsia"/>
                      <w:color w:val="auto"/>
                      <w:lang w:val="en-US" w:eastAsia="zh-CN"/>
                    </w:rPr>
                    <w:t>酸性废气</w:t>
                  </w:r>
                </w:p>
              </w:tc>
              <w:tc>
                <w:tcPr>
                  <w:tcW w:w="379" w:type="pct"/>
                  <w:tcBorders>
                    <w:tl2br w:val="nil"/>
                    <w:tr2bl w:val="nil"/>
                  </w:tcBorders>
                  <w:vAlign w:val="center"/>
                </w:tcPr>
                <w:p>
                  <w:pPr>
                    <w:pStyle w:val="39"/>
                    <w:rPr>
                      <w:color w:val="auto"/>
                      <w:lang w:val="en-US" w:eastAsia="zh-CN"/>
                    </w:rPr>
                  </w:pPr>
                  <w:r>
                    <w:rPr>
                      <w:rFonts w:hint="eastAsia"/>
                      <w:color w:val="auto"/>
                      <w:lang w:val="en-US" w:eastAsia="zh-CN"/>
                    </w:rPr>
                    <w:t>1年</w:t>
                  </w:r>
                </w:p>
              </w:tc>
              <w:tc>
                <w:tcPr>
                  <w:tcW w:w="532" w:type="pct"/>
                  <w:tcBorders>
                    <w:tl2br w:val="nil"/>
                    <w:tr2bl w:val="nil"/>
                  </w:tcBorders>
                  <w:vAlign w:val="center"/>
                </w:tcPr>
                <w:p>
                  <w:pPr>
                    <w:snapToGrid w:val="0"/>
                    <w:spacing w:line="240" w:lineRule="auto"/>
                    <w:ind w:firstLineChars="0" w:firstLine="0"/>
                    <w:jc w:val="center"/>
                    <w:rPr>
                      <w:rFonts w:cs="Times New Roman" w:hint="eastAsia"/>
                      <w:color w:val="auto"/>
                      <w:sz w:val="21"/>
                      <w:szCs w:val="21"/>
                      <w:lang w:val="en-US" w:eastAsia="zh-CN"/>
                      <w:highlight w:val="none"/>
                    </w:rPr>
                  </w:pPr>
                  <w:r>
                    <w:rPr>
                      <w:rFonts w:cs="Times New Roman" w:hint="eastAsia"/>
                      <w:color w:val="auto"/>
                      <w:sz w:val="21"/>
                      <w:szCs w:val="21"/>
                      <w:lang w:val="en-US" w:eastAsia="zh-CN"/>
                      <w:highlight w:val="none"/>
                    </w:rPr>
                    <w:t>T</w:t>
                  </w:r>
                </w:p>
              </w:tc>
              <w:tc>
                <w:tcPr>
                  <w:tcW w:w="386" w:type="pct"/>
                  <w:vMerge/>
                  <w:tcBorders>
                    <w:tl2br w:val="nil"/>
                    <w:tr2bl w:val="nil"/>
                  </w:tcBorders>
                  <w:vAlign w:val="center"/>
                </w:tcPr>
                <w:p/>
              </w:tc>
            </w:tr>
            <w:tr>
              <w:trPr>
                <w:trHeight w:val="924"/>
              </w:trPr>
              <w:tc>
                <w:tcPr>
                  <w:tcW w:w="254" w:type="pct"/>
                  <w:tcBorders>
                    <w:tl2br w:val="nil"/>
                    <w:tr2bl w:val="nil"/>
                  </w:tcBorders>
                  <w:shd w:val="clear" w:color="auto" w:fill="auto"/>
                  <w:vAlign w:val="center"/>
                </w:tcPr>
                <w:p>
                  <w:pPr>
                    <w:pStyle w:val="39"/>
                    <w:rPr>
                      <w:rFonts w:eastAsia="宋体"/>
                      <w:color w:val="auto"/>
                      <w:lang w:val="en-US" w:eastAsia="zh-CN"/>
                    </w:rPr>
                  </w:pPr>
                  <w:r>
                    <w:rPr>
                      <w:rFonts w:hint="eastAsia"/>
                      <w:color w:val="auto"/>
                      <w:lang w:val="en-US" w:eastAsia="zh-CN"/>
                    </w:rPr>
                    <w:t>6</w:t>
                  </w:r>
                </w:p>
              </w:tc>
              <w:tc>
                <w:tcPr>
                  <w:tcW w:w="420" w:type="pct"/>
                  <w:tcBorders>
                    <w:tl2br w:val="nil"/>
                    <w:tr2bl w:val="nil"/>
                  </w:tcBorders>
                  <w:shd w:val="clear" w:color="auto" w:fill="auto"/>
                  <w:vAlign w:val="center"/>
                </w:tcPr>
                <w:p>
                  <w:pPr>
                    <w:snapToGrid w:val="0"/>
                    <w:spacing w:line="240" w:lineRule="auto"/>
                    <w:ind w:firstLineChars="0" w:firstLine="0"/>
                    <w:jc w:val="center"/>
                    <w:rPr>
                      <w:rFonts w:ascii="Times New Roman" w:eastAsia="宋体" w:cs="Times New Roman" w:hAnsi="Times New Roman" w:hint="eastAsia"/>
                      <w:color w:val="auto"/>
                      <w:kern w:val="2"/>
                      <w:sz w:val="21"/>
                      <w:szCs w:val="21"/>
                      <w:lang w:val="en-US" w:eastAsia="zh-CN" w:bidi="ar-SA"/>
                      <w:highlight w:val="none"/>
                    </w:rPr>
                  </w:pPr>
                  <w:r>
                    <w:rPr>
                      <w:rFonts w:ascii="Times New Roman" w:eastAsia="宋体" w:cs="Times New Roman" w:hAnsi="Times New Roman" w:hint="eastAsia"/>
                      <w:color w:val="auto"/>
                      <w:sz w:val="21"/>
                      <w:szCs w:val="21"/>
                      <w:lang w:val="en-US" w:eastAsia="zh-CN"/>
                      <w:highlight w:val="none"/>
                    </w:rPr>
                    <w:t>废油桶</w:t>
                  </w:r>
                </w:p>
              </w:tc>
              <w:tc>
                <w:tcPr>
                  <w:tcW w:w="474" w:type="pct"/>
                  <w:tcBorders>
                    <w:tl2br w:val="nil"/>
                    <w:tr2bl w:val="nil"/>
                  </w:tcBorders>
                  <w:vAlign w:val="center"/>
                </w:tcPr>
                <w:p>
                  <w:pPr>
                    <w:pStyle w:val="39"/>
                    <w:ind w:firstLine="0"/>
                    <w:rPr>
                      <w:color w:val="auto"/>
                    </w:rPr>
                  </w:pPr>
                  <w:r>
                    <w:rPr>
                      <w:rFonts w:hint="eastAsia"/>
                      <w:color w:val="auto"/>
                    </w:rPr>
                    <w:t>HW08废矿物油与含矿物油废物</w:t>
                  </w:r>
                </w:p>
              </w:tc>
              <w:tc>
                <w:tcPr>
                  <w:tcW w:w="737" w:type="pct"/>
                  <w:tcBorders>
                    <w:tl2br w:val="nil"/>
                    <w:tr2bl w:val="nil"/>
                  </w:tcBorders>
                  <w:vAlign w:val="center"/>
                </w:tcPr>
                <w:p>
                  <w:pPr>
                    <w:pStyle w:val="39"/>
                    <w:ind w:firstLine="0"/>
                    <w:rPr>
                      <w:color w:val="auto"/>
                    </w:rPr>
                  </w:pPr>
                  <w:r>
                    <w:rPr>
                      <w:rFonts w:hint="eastAsia"/>
                      <w:color w:val="auto"/>
                      <w:lang w:val="en-US" w:eastAsia="zh-CN"/>
                    </w:rPr>
                    <w:t>900-041-49</w:t>
                  </w:r>
                </w:p>
              </w:tc>
              <w:tc>
                <w:tcPr>
                  <w:tcW w:w="663" w:type="pct"/>
                  <w:tcBorders>
                    <w:tl2br w:val="nil"/>
                    <w:tr2bl w:val="nil"/>
                  </w:tcBorders>
                  <w:vAlign w:val="center"/>
                </w:tcPr>
                <w:p>
                  <w:pPr>
                    <w:snapToGrid w:val="0"/>
                    <w:spacing w:line="240" w:lineRule="auto"/>
                    <w:ind w:firstLineChars="0" w:firstLine="0"/>
                    <w:jc w:val="center"/>
                    <w:rPr>
                      <w:rFonts w:eastAsia="宋体" w:hint="eastAsia"/>
                      <w:color w:val="auto"/>
                      <w:lang w:val="en-US" w:eastAsia="zh-CN"/>
                    </w:rPr>
                  </w:pPr>
                  <w:r>
                    <w:rPr>
                      <w:rFonts w:ascii="Times New Roman" w:eastAsia="宋体" w:cs="Times New Roman" w:hAnsi="Times New Roman" w:hint="eastAsia"/>
                      <w:color w:val="auto"/>
                      <w:sz w:val="21"/>
                      <w:szCs w:val="21"/>
                      <w:lang w:val="en-US" w:eastAsia="zh-CN"/>
                      <w:highlight w:val="none"/>
                    </w:rPr>
                    <w:t>0.05</w:t>
                  </w:r>
                </w:p>
              </w:tc>
              <w:tc>
                <w:tcPr>
                  <w:tcW w:w="471" w:type="pct"/>
                  <w:tcBorders>
                    <w:tl2br w:val="nil"/>
                    <w:tr2bl w:val="nil"/>
                  </w:tcBorders>
                  <w:vAlign w:val="center"/>
                </w:tcPr>
                <w:p>
                  <w:pPr>
                    <w:pStyle w:val="39"/>
                    <w:rPr>
                      <w:color w:val="auto"/>
                    </w:rPr>
                  </w:pPr>
                  <w:r>
                    <w:rPr>
                      <w:rFonts w:hint="eastAsia"/>
                      <w:color w:val="auto"/>
                    </w:rPr>
                    <w:t>设备维护</w:t>
                  </w:r>
                </w:p>
              </w:tc>
              <w:tc>
                <w:tcPr>
                  <w:tcW w:w="279" w:type="pct"/>
                  <w:tcBorders>
                    <w:tl2br w:val="nil"/>
                    <w:tr2bl w:val="nil"/>
                  </w:tcBorders>
                  <w:vAlign w:val="center"/>
                </w:tcPr>
                <w:p>
                  <w:pPr>
                    <w:pStyle w:val="39"/>
                    <w:rPr>
                      <w:color w:val="auto"/>
                    </w:rPr>
                  </w:pPr>
                  <w:r>
                    <w:rPr>
                      <w:color w:val="auto"/>
                    </w:rPr>
                    <w:t>固体</w:t>
                  </w:r>
                </w:p>
              </w:tc>
              <w:tc>
                <w:tcPr>
                  <w:tcW w:w="401" w:type="pct"/>
                  <w:tcBorders>
                    <w:tl2br w:val="nil"/>
                    <w:tr2bl w:val="nil"/>
                  </w:tcBorders>
                  <w:vAlign w:val="center"/>
                </w:tcPr>
                <w:p>
                  <w:pPr>
                    <w:pStyle w:val="39"/>
                    <w:rPr>
                      <w:color w:val="auto"/>
                    </w:rPr>
                  </w:pPr>
                  <w:r>
                    <w:rPr>
                      <w:rFonts w:hint="eastAsia"/>
                      <w:color w:val="auto"/>
                    </w:rPr>
                    <w:t>油类物质</w:t>
                  </w:r>
                </w:p>
              </w:tc>
              <w:tc>
                <w:tcPr>
                  <w:tcW w:w="379" w:type="pct"/>
                  <w:tcBorders>
                    <w:tl2br w:val="nil"/>
                    <w:tr2bl w:val="nil"/>
                  </w:tcBorders>
                  <w:vAlign w:val="center"/>
                </w:tcPr>
                <w:p>
                  <w:pPr>
                    <w:pStyle w:val="39"/>
                    <w:rPr>
                      <w:color w:val="auto"/>
                    </w:rPr>
                  </w:pPr>
                  <w:r>
                    <w:rPr>
                      <w:color w:val="auto"/>
                    </w:rPr>
                    <w:t>1年</w:t>
                  </w:r>
                </w:p>
              </w:tc>
              <w:tc>
                <w:tcPr>
                  <w:tcW w:w="532" w:type="pct"/>
                  <w:tcBorders>
                    <w:tl2br w:val="nil"/>
                    <w:tr2bl w:val="nil"/>
                  </w:tcBorders>
                  <w:vAlign w:val="center"/>
                </w:tcPr>
                <w:p>
                  <w:pPr>
                    <w:snapToGrid w:val="0"/>
                    <w:spacing w:line="240" w:lineRule="auto"/>
                    <w:ind w:firstLineChars="0" w:firstLine="0"/>
                    <w:jc w:val="center"/>
                    <w:rPr>
                      <w:color w:val="auto"/>
                    </w:rPr>
                  </w:pPr>
                  <w:r>
                    <w:rPr>
                      <w:rFonts w:ascii="Times New Roman" w:eastAsia="宋体" w:cs="Times New Roman" w:hAnsi="Times New Roman"/>
                      <w:color w:val="auto"/>
                      <w:sz w:val="21"/>
                      <w:szCs w:val="21"/>
                      <w:lang w:val="en-US" w:eastAsia="zh-CN"/>
                      <w:highlight w:val="none"/>
                    </w:rPr>
                    <w:t>T/In</w:t>
                  </w:r>
                </w:p>
              </w:tc>
              <w:tc>
                <w:tcPr>
                  <w:tcW w:w="386" w:type="pct"/>
                  <w:vMerge/>
                  <w:tcBorders>
                    <w:tl2br w:val="nil"/>
                    <w:tr2bl w:val="nil"/>
                  </w:tcBorders>
                  <w:vAlign w:val="center"/>
                </w:tcPr>
                <w:p/>
              </w:tc>
            </w:tr>
          </w:tbl>
          <w:p>
            <w:pPr>
              <w:rPr>
                <w:color w:val="auto"/>
              </w:rPr>
            </w:pPr>
            <w:r>
              <w:rPr>
                <w:rFonts w:hint="eastAsia"/>
                <w:color w:val="auto"/>
                <w:lang w:val="en-US" w:eastAsia="zh-CN"/>
              </w:rPr>
              <w:t>3</w:t>
            </w:r>
            <w:r>
              <w:rPr>
                <w:rFonts w:hint="eastAsia"/>
                <w:color w:val="auto"/>
              </w:rPr>
              <w:t>、危险废物管理措施</w:t>
            </w:r>
          </w:p>
          <w:p>
            <w:pPr>
              <w:rPr>
                <w:color w:val="auto"/>
              </w:rPr>
            </w:pPr>
            <w:r>
              <w:rPr>
                <w:color w:val="auto"/>
              </w:rPr>
              <w:t>1）危险废物贮存管理要求</w:t>
            </w:r>
          </w:p>
          <w:p>
            <w:pPr>
              <w:rPr>
                <w:color w:val="auto"/>
              </w:rPr>
            </w:pPr>
            <w:r>
              <w:rPr>
                <w:color w:val="auto"/>
              </w:rPr>
              <w:t>依照《中华人民共和国固体废物污染环境防治法》，对危险废物提出以下要求：</w:t>
            </w:r>
          </w:p>
          <w:p>
            <w:pPr>
              <w:rPr>
                <w:color w:val="auto"/>
              </w:rPr>
            </w:pPr>
            <w:r>
              <w:rPr>
                <w:color w:val="auto"/>
              </w:rPr>
              <w:t>危险废物贮存按危险废物执行《危险废物贮存污染控制标准》 （GB18597-2023）中相关规定进行：</w:t>
            </w:r>
          </w:p>
          <w:p>
            <w:pPr>
              <w:rPr>
                <w:color w:val="auto"/>
              </w:rPr>
            </w:pPr>
            <w:r>
              <w:rPr>
                <w:color w:val="auto"/>
              </w:rPr>
              <w:t>①必须将危险废物装入容器内。</w:t>
            </w:r>
          </w:p>
          <w:p>
            <w:pPr>
              <w:rPr>
                <w:color w:val="auto"/>
              </w:rPr>
            </w:pPr>
            <w:r>
              <w:rPr>
                <w:color w:val="auto"/>
              </w:rPr>
              <w:t>②盛装危险废物的容器上必须粘贴符合标准要求的标签。</w:t>
            </w:r>
          </w:p>
          <w:p>
            <w:pPr>
              <w:rPr>
                <w:color w:val="auto"/>
              </w:rPr>
            </w:pPr>
            <w:r>
              <w:rPr>
                <w:color w:val="auto"/>
              </w:rPr>
              <w:t>③装载危险废物的容器及材质要满足相应的强度要求，装载危险废物的容器必须完好无损。</w:t>
            </w:r>
          </w:p>
          <w:p>
            <w:pPr>
              <w:rPr>
                <w:color w:val="auto"/>
              </w:rPr>
            </w:pPr>
            <w:r>
              <w:rPr>
                <w:color w:val="auto"/>
              </w:rPr>
              <w:t>④</w:t>
            </w:r>
            <w:r>
              <w:rPr>
                <w:rFonts w:hint="eastAsia"/>
                <w:color w:val="auto"/>
              </w:rPr>
              <w:t>做好</w:t>
            </w:r>
            <w:r>
              <w:rPr>
                <w:color w:val="auto"/>
              </w:rPr>
              <w:t>危险废物情况的记录，记录上须注明危险废物的名称、来源、数量、特性和包装容器的类别、入库日期、存放库位、废物出库日期及接收单位名称。</w:t>
            </w:r>
            <w:r>
              <w:rPr>
                <w:bCs/>
                <w:color w:val="auto"/>
              </w:rPr>
              <w:t>按照电子台账和纸质台账两种记录形式同步管理，保存时间不低于</w:t>
            </w:r>
            <w:r>
              <w:rPr>
                <w:rFonts w:hint="eastAsia"/>
                <w:bCs/>
                <w:color w:val="auto"/>
              </w:rPr>
              <w:t>5</w:t>
            </w:r>
            <w:r>
              <w:rPr>
                <w:bCs/>
                <w:color w:val="auto"/>
              </w:rPr>
              <w:t>年</w:t>
            </w:r>
            <w:r>
              <w:rPr>
                <w:color w:val="auto"/>
              </w:rPr>
              <w:t>。</w:t>
            </w:r>
          </w:p>
          <w:p>
            <w:pPr>
              <w:rPr>
                <w:color w:val="auto"/>
              </w:rPr>
            </w:pPr>
            <w:r>
              <w:rPr>
                <w:color w:val="auto"/>
              </w:rPr>
              <w:t>⑤必须定期对所贮存的危险废物包装容器及贮存设施进行检查，发现破损，应及时采取措施清理更换。</w:t>
            </w:r>
          </w:p>
          <w:p>
            <w:pPr>
              <w:rPr>
                <w:color w:val="auto"/>
              </w:rPr>
            </w:pPr>
            <w:r>
              <w:rPr>
                <w:rFonts w:hint="eastAsia"/>
                <w:color w:val="auto"/>
              </w:rPr>
              <w:t>2）</w:t>
            </w:r>
            <w:r>
              <w:rPr>
                <w:color w:val="auto"/>
              </w:rPr>
              <w:t>贮存场所环境影响分析</w:t>
            </w:r>
          </w:p>
          <w:p>
            <w:pPr>
              <w:rPr>
                <w:color w:val="auto"/>
              </w:rPr>
            </w:pPr>
            <w:r>
              <w:rPr>
                <w:color w:val="auto"/>
              </w:rPr>
              <w:t>A</w:t>
            </w:r>
            <w:r>
              <w:rPr>
                <w:rFonts w:hint="eastAsia"/>
                <w:color w:val="auto"/>
              </w:rPr>
              <w:t>.</w:t>
            </w:r>
            <w:r>
              <w:rPr>
                <w:color w:val="auto"/>
              </w:rPr>
              <w:t>选址可行性分析</w:t>
            </w:r>
          </w:p>
          <w:p>
            <w:pPr>
              <w:rPr>
                <w:color w:val="auto"/>
              </w:rPr>
            </w:pPr>
            <w:r>
              <w:rPr>
                <w:color w:val="auto"/>
              </w:rPr>
              <w:t>现有危险废物储存间所处位置地质结构稳定，危废间底部高于地下水最高水位，距离最近的居民区100m以上，其所处位置不属于溶洞区或已遭受自然灾害的地区，采取了基础防渗措施，以保证等效防渗系数≤10</w:t>
            </w:r>
            <w:r>
              <w:rPr>
                <w:rFonts w:hint="eastAsia"/>
                <w:color w:val="auto"/>
                <w:vertAlign w:val="superscript"/>
              </w:rPr>
              <w:t>-10</w:t>
            </w:r>
            <w:r>
              <w:rPr>
                <w:color w:val="auto"/>
              </w:rPr>
              <w:t>cm/s。</w:t>
            </w:r>
          </w:p>
          <w:p>
            <w:pPr>
              <w:rPr>
                <w:color w:val="auto"/>
              </w:rPr>
            </w:pPr>
            <w:r>
              <w:rPr>
                <w:color w:val="auto"/>
              </w:rPr>
              <w:t>B</w:t>
            </w:r>
            <w:r>
              <w:rPr>
                <w:rFonts w:hint="eastAsia"/>
                <w:color w:val="auto"/>
              </w:rPr>
              <w:t>.</w:t>
            </w:r>
            <w:r>
              <w:rPr>
                <w:color w:val="auto"/>
              </w:rPr>
              <w:t>对周围环境和敏感保护目标的影响</w:t>
            </w:r>
          </w:p>
          <w:p>
            <w:pPr>
              <w:rPr>
                <w:color w:val="auto"/>
              </w:rPr>
            </w:pPr>
            <w:r>
              <w:rPr>
                <w:color w:val="auto"/>
              </w:rPr>
              <w:t>现有危废暂存间对产生的危废进行储存，并按相关要求进行了防渗处理，对周围环境及敏感目标的影响较小。</w:t>
            </w:r>
          </w:p>
          <w:p>
            <w:pPr>
              <w:rPr>
                <w:color w:val="auto"/>
              </w:rPr>
            </w:pPr>
            <w:r>
              <w:rPr>
                <w:color w:val="auto"/>
              </w:rPr>
              <w:t>3）运输过程的环境影响</w:t>
            </w:r>
          </w:p>
          <w:p>
            <w:pPr>
              <w:rPr>
                <w:color w:val="auto"/>
              </w:rPr>
            </w:pPr>
            <w:r>
              <w:rPr>
                <w:color w:val="auto"/>
              </w:rPr>
              <w:t>厂内危废主要由员工收集后运输至危废暂存间，定期交由有资质的单位统一转运。厂内危险废物的收集要根据危险废物的排放周期和特性</w:t>
            </w:r>
            <w:r>
              <w:rPr>
                <w:rFonts w:hint="eastAsia"/>
                <w:color w:val="auto"/>
              </w:rPr>
              <w:t>制定</w:t>
            </w:r>
            <w:r>
              <w:rPr>
                <w:color w:val="auto"/>
              </w:rPr>
              <w:t>收集计划和操作规程，并对收集人员进行培训，并根据需要配备必要的个人防护装备和防火、防爆、防泄漏等污染防治措施。采用专用工具进行收集和运输，减少对周围环境的影响。因此在做好相关防范措施的基础上，危险废物的运输对周围环境影响较小。</w:t>
            </w:r>
          </w:p>
          <w:p>
            <w:pPr>
              <w:rPr>
                <w:color w:val="auto"/>
              </w:rPr>
            </w:pPr>
            <w:r>
              <w:rPr>
                <w:color w:val="auto"/>
              </w:rPr>
              <w:t>4）委托处置的环境影响分析</w:t>
            </w:r>
          </w:p>
          <w:p>
            <w:pPr>
              <w:rPr>
                <w:color w:val="auto"/>
              </w:rPr>
            </w:pPr>
            <w:r>
              <w:rPr>
                <w:rFonts w:hint="eastAsia"/>
                <w:color w:val="auto"/>
                <w:szCs w:val="32"/>
              </w:rPr>
              <w:t>本项目</w:t>
            </w:r>
            <w:r>
              <w:rPr>
                <w:color w:val="auto"/>
              </w:rPr>
              <w:t>的危险废物委托有</w:t>
            </w:r>
            <w:r>
              <w:rPr>
                <w:rFonts w:hint="eastAsia"/>
                <w:color w:val="auto"/>
                <w:szCs w:val="32"/>
              </w:rPr>
              <w:t>本项目</w:t>
            </w:r>
            <w:r>
              <w:rPr>
                <w:color w:val="auto"/>
              </w:rPr>
              <w:t>危险废物种类处置资质的单位进行安全处置。接收单位要具有环保部门颁发的危险废物经营许可证，许可证范围内的种类和数量方可接受，范围外不得接受。</w:t>
            </w:r>
          </w:p>
          <w:p>
            <w:pPr>
              <w:rPr>
                <w:color w:val="auto"/>
              </w:rPr>
            </w:pPr>
            <w:r>
              <w:rPr>
                <w:color w:val="auto"/>
              </w:rPr>
              <w:t>因此，从危险废物贮存场所（设施）的设置、运输过程、委托处置单位角度进行分析可知，本项目运营期间采取的危险废物处置措施是可行的，且对环境的影响较小。</w:t>
            </w:r>
          </w:p>
          <w:p>
            <w:pPr>
              <w:rPr>
                <w:color w:val="auto"/>
              </w:rPr>
            </w:pPr>
            <w:r>
              <w:rPr>
                <w:rFonts w:hint="eastAsia"/>
                <w:color w:val="auto"/>
                <w:lang w:val="en-US" w:eastAsia="zh-CN"/>
              </w:rPr>
              <w:t>4</w:t>
            </w:r>
            <w:r>
              <w:rPr>
                <w:rFonts w:hint="eastAsia"/>
                <w:color w:val="auto"/>
              </w:rPr>
              <w:t>、</w:t>
            </w:r>
            <w:r>
              <w:rPr>
                <w:color w:val="auto"/>
              </w:rPr>
              <w:t xml:space="preserve">固体废物环境管理要求 </w:t>
            </w:r>
          </w:p>
          <w:p>
            <w:pPr>
              <w:rPr>
                <w:color w:val="auto"/>
              </w:rPr>
            </w:pPr>
            <w:r>
              <w:rPr>
                <w:color w:val="auto"/>
              </w:rPr>
              <w:t>1）</w:t>
            </w:r>
            <w:r>
              <w:rPr>
                <w:rFonts w:hint="eastAsia"/>
                <w:color w:val="auto"/>
              </w:rPr>
              <w:t>一般</w:t>
            </w:r>
            <w:r>
              <w:rPr>
                <w:color w:val="auto"/>
              </w:rPr>
              <w:t xml:space="preserve">固体废物 </w:t>
            </w:r>
          </w:p>
          <w:p>
            <w:pPr>
              <w:rPr>
                <w:color w:val="auto"/>
              </w:rPr>
            </w:pPr>
            <w:r>
              <w:rPr>
                <w:color w:val="auto"/>
              </w:rPr>
              <w:t xml:space="preserve">①一般固体废弃物不得露天堆放； </w:t>
            </w:r>
          </w:p>
          <w:p>
            <w:pPr>
              <w:rPr>
                <w:color w:val="auto"/>
              </w:rPr>
            </w:pPr>
            <w:r>
              <w:rPr>
                <w:color w:val="auto"/>
              </w:rPr>
              <w:t>②对暂时不利用或者不能利用的，应当按照国务院生态环境等主管部门规定建设贮存设施、场所，安全分类存放，或者采取无害化处置措施。贮存工业固体废物应当采取符合国家环境保护标准的防护措施。</w:t>
            </w:r>
          </w:p>
          <w:p>
            <w:pPr>
              <w:rPr>
                <w:color w:val="auto"/>
              </w:rPr>
            </w:pPr>
            <w:r>
              <w:rPr>
                <w:color w:val="auto"/>
              </w:rPr>
              <w:t>③张贴一般固废贮存场所标牌。</w:t>
            </w:r>
          </w:p>
          <w:p>
            <w:pPr>
              <w:spacing w:line="240" w:lineRule="auto"/>
              <w:ind w:firstLineChars="0" w:firstLine="0"/>
              <w:jc w:val="center"/>
              <w:rPr>
                <w:color w:val="auto"/>
              </w:rPr>
            </w:pPr>
            <w:r>
              <w:rPr>
                <w:color w:val="auto"/>
              </w:rPr>
              <w:drawing>
                <wp:inline distT="0" distB="0" distL="114300" distR="114300">
                  <wp:extent cx="2114550" cy="1934210"/>
                  <wp:effectExtent l="0" t="0" r="1" b="0"/>
                  <wp:docPr id="1075" name="图片 7"/>
                  <wp:cNvGraphicFramePr>
                    <a:graphicFrameLocks noChangeAspect="1"/>
                  </wp:cNvGraphicFramePr>
                  <a:graphic>
                    <a:graphicData uri="http://schemas.openxmlformats.org/drawingml/2006/picture">
                      <pic:pic>
                        <pic:nvPicPr>
                          <pic:cNvPr id="527" name="图片 7 527"/>
                          <pic:cNvPicPr/>
                        </pic:nvPicPr>
                        <pic:blipFill>
                          <a:blip r:embed="rId50"/>
                          <a:stretch>
                            <a:fillRect/>
                          </a:stretch>
                        </pic:blipFill>
                        <pic:spPr>
                          <a:xfrm rot="0">
                            <a:off x="0" y="0"/>
                            <a:ext cx="2114550" cy="1934210"/>
                          </a:xfrm>
                          <a:prstGeom prst="rect"/>
                          <a:noFill/>
                          <a:ln cmpd="sng" cap="flat">
                            <a:noFill/>
                            <a:prstDash val="solid"/>
                            <a:round/>
                          </a:ln>
                        </pic:spPr>
                      </pic:pic>
                    </a:graphicData>
                  </a:graphic>
                </wp:inline>
              </w:drawing>
            </w:r>
          </w:p>
          <w:p>
            <w:pPr>
              <w:pStyle w:val="40"/>
              <w:rPr>
                <w:color w:val="auto"/>
              </w:rPr>
            </w:pPr>
            <w:r>
              <w:rPr>
                <w:rFonts w:hint="eastAsia"/>
                <w:color w:val="auto"/>
              </w:rPr>
              <w:t>图4-1  一般固废贮存场所标牌</w:t>
            </w:r>
          </w:p>
          <w:p>
            <w:pPr>
              <w:rPr>
                <w:color w:val="auto"/>
              </w:rPr>
            </w:pPr>
            <w:r>
              <w:rPr>
                <w:color w:val="auto"/>
              </w:rPr>
              <w:t>④产生工业固体废物的单位终止的，应当在终止前对工业固体废物的贮存、处置的设施、场所采取污染防治措施，并对未处置的工业固体废物作出妥善处置，防止污染环境</w:t>
            </w:r>
            <w:r>
              <w:rPr>
                <w:rFonts w:hint="eastAsia"/>
                <w:color w:val="auto"/>
              </w:rPr>
              <w:t>。</w:t>
            </w:r>
          </w:p>
          <w:p>
            <w:pPr>
              <w:rPr>
                <w:color w:val="auto"/>
              </w:rPr>
            </w:pPr>
            <w:r>
              <w:rPr>
                <w:rFonts w:hint="eastAsia"/>
                <w:color w:val="auto"/>
              </w:rPr>
              <w:t>2）危险废物</w:t>
            </w:r>
          </w:p>
          <w:p>
            <w:pPr>
              <w:rPr>
                <w:color w:val="auto"/>
              </w:rPr>
            </w:pPr>
            <w:r>
              <w:rPr>
                <w:color w:val="auto"/>
              </w:rPr>
              <w:t>①危险废物存入贮存设施前应对危险废物类别和特性与危险废物标签等危险废物识别标志的一致性进行核验，不一致的或类别、特性不明的不应存入。</w:t>
            </w:r>
          </w:p>
          <w:p>
            <w:pPr>
              <w:rPr>
                <w:color w:val="auto"/>
              </w:rPr>
            </w:pPr>
            <w:r>
              <w:rPr>
                <w:color w:val="auto"/>
              </w:rPr>
              <w:t>②应定期检查危险废物的贮存状况，及时清理贮存设施地面，更换破损泄漏的危险废物贮存容器和包装物，保证堆存危险废物的防雨、防风、防扬尘等设施功能完好。</w:t>
            </w:r>
          </w:p>
          <w:p>
            <w:pPr>
              <w:rPr>
                <w:color w:val="auto"/>
              </w:rPr>
            </w:pPr>
            <w:r>
              <w:rPr>
                <w:color w:val="auto"/>
              </w:rPr>
              <w:t>③作业设备及车辆等结束作业离开贮存设施时，应对其残留的危险废物进行清理，清理的废物或清洗废水应收集处理。</w:t>
            </w:r>
          </w:p>
          <w:p>
            <w:pPr>
              <w:rPr>
                <w:color w:val="auto"/>
              </w:rPr>
            </w:pPr>
            <w:r>
              <w:rPr>
                <w:color w:val="auto"/>
              </w:rPr>
              <w:t>④贮存设施运行期间，应按国家有关标准和规定建立危险废物管理台账并保存。</w:t>
            </w:r>
          </w:p>
          <w:p>
            <w:pPr>
              <w:rPr>
                <w:color w:val="auto"/>
              </w:rPr>
            </w:pPr>
            <w:r>
              <w:rPr>
                <w:color w:val="auto"/>
              </w:rPr>
              <w:t>⑤贮存设施所有者或运营者应建立贮存设施环境管理制度、管理人员岗位职责制度、设施运行操作制度、人员岗位培训制度等。</w:t>
            </w:r>
          </w:p>
          <w:p>
            <w:pPr>
              <w:rPr>
                <w:rFonts w:eastAsia="宋体" w:hint="eastAsia"/>
                <w:color w:val="auto"/>
                <w:lang w:eastAsia="zh-CN"/>
              </w:rPr>
            </w:pPr>
            <w:r>
              <w:rPr>
                <w:color w:val="auto"/>
              </w:rPr>
              <w:t>⑥贮存设施所有者或运营者应依据国家土壤和地下水污染防治的有关规定，结合贮存设施特点建立土壤和地下水污染隐患排查制度，并定期开展隐患排查；发现隐患应及时采取措施消除隐患，并建立档案</w:t>
            </w:r>
            <w:r>
              <w:rPr>
                <w:rFonts w:hint="eastAsia"/>
                <w:color w:val="auto"/>
                <w:lang w:eastAsia="zh-CN"/>
              </w:rPr>
              <w:t>。</w:t>
            </w:r>
          </w:p>
          <w:tbl>
            <w:tblPr>
              <w:jc w:val="cent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8388"/>
            </w:tblGrid>
            <w:tr>
              <w:tc>
                <w:tcPr>
                  <w:tcW w:w="8388" w:type="dxa"/>
                </w:tcPr>
                <w:p>
                  <w:pPr>
                    <w:pStyle w:val="39"/>
                    <w:rPr>
                      <w:color w:val="auto"/>
                    </w:rPr>
                  </w:pPr>
                  <w:r>
                    <w:rPr>
                      <w:rFonts w:hint="eastAsia"/>
                      <w:color w:val="auto"/>
                    </w:rPr>
                    <w:t>,</w:t>
                  </w:r>
                  <w:r>
                    <w:rPr>
                      <w:color w:val="auto"/>
                    </w:rPr>
                    <w:drawing>
                      <wp:inline distT="0" distB="0" distL="114300" distR="114300">
                        <wp:extent cx="2173605" cy="1259839"/>
                        <wp:effectExtent l="0" t="0" r="0" b="1"/>
                        <wp:docPr id="1076" name="图片 3"/>
                        <wp:cNvGraphicFramePr>
                          <a:graphicFrameLocks noChangeAspect="1"/>
                        </wp:cNvGraphicFramePr>
                        <a:graphic>
                          <a:graphicData uri="http://schemas.openxmlformats.org/drawingml/2006/picture">
                            <pic:pic>
                              <pic:nvPicPr>
                                <pic:cNvPr id="529" name="图片 3 529"/>
                                <pic:cNvPicPr/>
                              </pic:nvPicPr>
                              <pic:blipFill>
                                <a:blip r:embed="rId51"/>
                                <a:stretch>
                                  <a:fillRect/>
                                </a:stretch>
                              </pic:blipFill>
                              <pic:spPr>
                                <a:xfrm rot="0">
                                  <a:off x="0" y="0"/>
                                  <a:ext cx="2173605" cy="1259839"/>
                                </a:xfrm>
                                <a:prstGeom prst="rect"/>
                                <a:noFill/>
                                <a:ln cmpd="sng" cap="flat">
                                  <a:noFill/>
                                  <a:prstDash val="solid"/>
                                  <a:round/>
                                </a:ln>
                              </pic:spPr>
                            </pic:pic>
                          </a:graphicData>
                        </a:graphic>
                      </wp:inline>
                    </w:drawing>
                  </w:r>
                </w:p>
              </w:tc>
            </w:tr>
            <w:tr>
              <w:tc>
                <w:tcPr>
                  <w:tcW w:w="8388" w:type="dxa"/>
                </w:tcPr>
                <w:p>
                  <w:pPr>
                    <w:pStyle w:val="39"/>
                    <w:rPr>
                      <w:color w:val="auto"/>
                    </w:rPr>
                  </w:pPr>
                  <w:r>
                    <w:rPr>
                      <w:color w:val="auto"/>
                    </w:rPr>
                    <w:drawing>
                      <wp:inline distT="0" distB="0" distL="114300" distR="114300">
                        <wp:extent cx="2033904" cy="2051685"/>
                        <wp:effectExtent l="0" t="0" r="0" b="0"/>
                        <wp:docPr id="1077" name="图片 4"/>
                        <wp:cNvGraphicFramePr>
                          <a:graphicFrameLocks noChangeAspect="1"/>
                        </wp:cNvGraphicFramePr>
                        <a:graphic>
                          <a:graphicData uri="http://schemas.openxmlformats.org/drawingml/2006/picture">
                            <pic:pic>
                              <pic:nvPicPr>
                                <pic:cNvPr id="531" name="图片 4 531"/>
                                <pic:cNvPicPr/>
                              </pic:nvPicPr>
                              <pic:blipFill>
                                <a:blip r:embed="rId52"/>
                                <a:stretch>
                                  <a:fillRect/>
                                </a:stretch>
                              </pic:blipFill>
                              <pic:spPr>
                                <a:xfrm rot="0">
                                  <a:off x="0" y="0"/>
                                  <a:ext cx="2033904" cy="2051685"/>
                                </a:xfrm>
                                <a:prstGeom prst="rect"/>
                                <a:noFill/>
                                <a:ln cmpd="sng" cap="flat">
                                  <a:noFill/>
                                  <a:prstDash val="solid"/>
                                  <a:round/>
                                </a:ln>
                              </pic:spPr>
                            </pic:pic>
                          </a:graphicData>
                        </a:graphic>
                      </wp:inline>
                    </w:drawing>
                  </w:r>
                </w:p>
              </w:tc>
            </w:tr>
            <w:tr>
              <w:tc>
                <w:tcPr>
                  <w:tcW w:w="8388" w:type="dxa"/>
                </w:tcPr>
                <w:p>
                  <w:pPr>
                    <w:pStyle w:val="39"/>
                    <w:rPr>
                      <w:color w:val="auto"/>
                    </w:rPr>
                  </w:pPr>
                  <w:r>
                    <w:rPr>
                      <w:color w:val="auto"/>
                    </w:rPr>
                    <w:drawing>
                      <wp:inline distT="0" distB="0" distL="114300" distR="114300">
                        <wp:extent cx="2061845" cy="1727835"/>
                        <wp:effectExtent l="0" t="1" r="0" b="1"/>
                        <wp:docPr id="1078" name="图片 5"/>
                        <wp:cNvGraphicFramePr>
                          <a:graphicFrameLocks noChangeAspect="1"/>
                        </wp:cNvGraphicFramePr>
                        <a:graphic>
                          <a:graphicData uri="http://schemas.openxmlformats.org/drawingml/2006/picture">
                            <pic:pic>
                              <pic:nvPicPr>
                                <pic:cNvPr id="533" name="图片 5 533"/>
                                <pic:cNvPicPr/>
                              </pic:nvPicPr>
                              <pic:blipFill>
                                <a:blip r:embed="rId53"/>
                                <a:stretch>
                                  <a:fillRect/>
                                </a:stretch>
                              </pic:blipFill>
                              <pic:spPr>
                                <a:xfrm rot="0">
                                  <a:off x="0" y="0"/>
                                  <a:ext cx="2061845" cy="1727835"/>
                                </a:xfrm>
                                <a:prstGeom prst="rect"/>
                                <a:noFill/>
                                <a:ln cmpd="sng" cap="flat">
                                  <a:noFill/>
                                  <a:prstDash val="solid"/>
                                  <a:round/>
                                </a:ln>
                              </pic:spPr>
                            </pic:pic>
                          </a:graphicData>
                        </a:graphic>
                      </wp:inline>
                    </w:drawing>
                  </w:r>
                </w:p>
              </w:tc>
            </w:tr>
          </w:tbl>
          <w:p>
            <w:pPr>
              <w:pStyle w:val="40"/>
              <w:rPr>
                <w:color w:val="auto"/>
              </w:rPr>
            </w:pPr>
            <w:r>
              <w:rPr>
                <w:rFonts w:hint="eastAsia"/>
                <w:color w:val="auto"/>
              </w:rPr>
              <w:t>图4-2  危废间及储存容器标签示例图</w:t>
            </w:r>
          </w:p>
          <w:p>
            <w:pPr>
              <w:rPr>
                <w:color w:val="auto"/>
              </w:rPr>
            </w:pPr>
            <w:r>
              <w:rPr>
                <w:rFonts w:hint="eastAsia"/>
                <w:color w:val="auto"/>
              </w:rPr>
              <w:t>3）</w:t>
            </w:r>
            <w:r>
              <w:rPr>
                <w:color w:val="auto"/>
              </w:rPr>
              <w:t>台账管理制度：</w:t>
            </w:r>
          </w:p>
          <w:p>
            <w:pPr>
              <w:rPr>
                <w:color w:val="auto"/>
              </w:rPr>
            </w:pPr>
            <w:r>
              <w:rPr>
                <w:color w:val="auto"/>
              </w:rPr>
              <w:t xml:space="preserve">①台账录入要及时、准确、清晰，便于查看。 </w:t>
            </w:r>
          </w:p>
          <w:p>
            <w:pPr>
              <w:rPr>
                <w:color w:val="auto"/>
              </w:rPr>
            </w:pPr>
            <w:r>
              <w:rPr>
                <w:color w:val="auto"/>
              </w:rPr>
              <w:t xml:space="preserve">②台账要专人录入，数据、信息、记录内容要真实，与实际相符。 </w:t>
            </w:r>
          </w:p>
          <w:p>
            <w:pPr>
              <w:rPr>
                <w:color w:val="auto"/>
              </w:rPr>
            </w:pPr>
            <w:r>
              <w:rPr>
                <w:color w:val="auto"/>
              </w:rPr>
              <w:t xml:space="preserve">③台账要设专人管理，定点存放。无关人员不得随意移动、查看。 </w:t>
            </w:r>
          </w:p>
          <w:p>
            <w:pPr>
              <w:rPr>
                <w:color w:val="auto"/>
              </w:rPr>
            </w:pPr>
            <w:r>
              <w:rPr>
                <w:color w:val="auto"/>
              </w:rPr>
              <w:t>④重要台账必须纸版与电子版两种形式保存。</w:t>
            </w:r>
          </w:p>
          <w:p>
            <w:pPr>
              <w:rPr>
                <w:color w:val="auto"/>
              </w:rPr>
            </w:pPr>
            <w:r>
              <w:rPr>
                <w:color w:val="auto"/>
              </w:rPr>
              <w:t>⑤业务部定期对台账数据进行审核，定期检查台账录入内容，确保台账数据的准确性、及时性和完整性。</w:t>
            </w:r>
          </w:p>
          <w:p>
            <w:pPr>
              <w:rPr>
                <w:color w:val="auto"/>
              </w:rPr>
            </w:pPr>
            <w:r>
              <w:rPr>
                <w:color w:val="auto"/>
              </w:rPr>
              <w:t xml:space="preserve">⑥安全台账应与其他台账分开放置，由专职安全员亲自管理。 </w:t>
            </w:r>
          </w:p>
          <w:p>
            <w:pPr>
              <w:rPr>
                <w:color w:val="auto"/>
              </w:rPr>
            </w:pPr>
            <w:r>
              <w:rPr>
                <w:color w:val="auto"/>
              </w:rPr>
              <w:t>⑦所有台账盒签必须统一打印，名称清楚、完整。</w:t>
            </w:r>
          </w:p>
          <w:p>
            <w:pPr>
              <w:rPr>
                <w:color w:val="auto"/>
              </w:rPr>
            </w:pPr>
            <w:r>
              <w:rPr>
                <w:rFonts w:hint="eastAsia"/>
                <w:color w:val="auto"/>
                <w:szCs w:val="32"/>
              </w:rPr>
              <w:t>综上，本项目</w:t>
            </w:r>
            <w:r>
              <w:rPr>
                <w:color w:val="auto"/>
              </w:rPr>
              <w:t>产生的固体废物全部得到利用和无害化处置，不会对周围环境产生不利影响。</w:t>
            </w:r>
          </w:p>
          <w:p>
            <w:pPr>
              <w:rPr>
                <w:color w:val="auto"/>
                <w:highlight w:val="magenta"/>
              </w:rPr>
            </w:pPr>
            <w:r>
              <w:rPr>
                <w:rFonts w:hint="eastAsia"/>
                <w:b/>
                <w:bCs/>
                <w:color w:val="auto"/>
              </w:rPr>
              <w:t>五</w:t>
            </w:r>
            <w:r>
              <w:rPr>
                <w:b/>
                <w:bCs/>
                <w:color w:val="auto"/>
              </w:rPr>
              <w:t>、土壤、地下水环境影响分析</w:t>
            </w:r>
          </w:p>
          <w:p>
            <w:pPr>
              <w:rPr>
                <w:color w:val="auto"/>
              </w:rPr>
            </w:pPr>
            <w:r>
              <w:rPr>
                <w:color w:val="auto"/>
              </w:rPr>
              <w:t>土壤</w:t>
            </w:r>
            <w:r>
              <w:rPr>
                <w:rFonts w:hint="eastAsia"/>
                <w:color w:val="auto"/>
                <w:lang w:eastAsia="zh-CN"/>
              </w:rPr>
              <w:t>、</w:t>
            </w:r>
            <w:r>
              <w:rPr>
                <w:rFonts w:hint="eastAsia"/>
                <w:color w:val="auto"/>
                <w:lang w:val="en-US" w:eastAsia="zh-CN"/>
              </w:rPr>
              <w:t>地下水</w:t>
            </w:r>
            <w:r>
              <w:rPr>
                <w:color w:val="auto"/>
              </w:rPr>
              <w:t>的污染途径分为大气沉降、地面漫流、垂直入渗等，本项目无生产废水</w:t>
            </w:r>
            <w:r>
              <w:rPr>
                <w:color w:val="auto"/>
                <w:lang w:val="en-US" w:eastAsia="zh-CN"/>
              </w:rPr>
              <w:t>外排</w:t>
            </w:r>
            <w:r>
              <w:rPr>
                <w:color w:val="auto"/>
              </w:rPr>
              <w:t>；</w:t>
            </w:r>
            <w:r>
              <w:rPr>
                <w:color w:val="auto"/>
                <w:lang w:val="en-US" w:eastAsia="zh-CN"/>
              </w:rPr>
              <w:t>生活污水经厂区多格生物化粪池处理后，经污水管网排入石家庄装备制造基地绿源污水处理有限公司处理</w:t>
            </w:r>
            <w:r>
              <w:rPr>
                <w:color w:val="auto"/>
                <w:lang w:eastAsia="zh-CN"/>
              </w:rPr>
              <w:t>；</w:t>
            </w:r>
            <w:r>
              <w:rPr>
                <w:color w:val="auto"/>
                <w:lang w:val="en-US" w:eastAsia="zh-CN"/>
              </w:rPr>
              <w:t>产生的</w:t>
            </w:r>
            <w:r>
              <w:rPr>
                <w:color w:val="auto"/>
              </w:rPr>
              <w:t>废气经处理后达标排放。本项目所在厂区已进行了分区防渗，不存在对土壤、地下水环境污染途径。</w:t>
            </w:r>
          </w:p>
          <w:p>
            <w:pPr>
              <w:rPr>
                <w:color w:val="auto"/>
              </w:rPr>
            </w:pPr>
            <w:r>
              <w:rPr>
                <w:color w:val="auto"/>
              </w:rPr>
              <w:t>为防止对地下水和土壤的污染，</w:t>
            </w:r>
            <w:r>
              <w:rPr>
                <w:rFonts w:hint="eastAsia"/>
                <w:color w:val="auto"/>
                <w:lang w:val="en-US" w:eastAsia="zh-CN"/>
              </w:rPr>
              <w:t>企业已</w:t>
            </w:r>
            <w:r>
              <w:rPr>
                <w:color w:val="auto"/>
              </w:rPr>
              <w:t>按照重点防渗区、一般防渗区进行防渗处理，对防渗区分别采取不同等级的防渗方案。具体防渗措施如下：</w:t>
            </w:r>
          </w:p>
          <w:p>
            <w:pPr>
              <w:pStyle w:val="40"/>
              <w:rPr>
                <w:color w:val="auto"/>
              </w:rPr>
            </w:pPr>
            <w:r>
              <w:rPr>
                <w:color w:val="auto"/>
              </w:rPr>
              <w:t>表</w:t>
            </w:r>
            <w:r>
              <w:rPr>
                <w:rFonts w:hint="eastAsia"/>
                <w:color w:val="auto"/>
              </w:rPr>
              <w:t>4-1</w:t>
            </w:r>
            <w:r>
              <w:rPr>
                <w:rFonts w:hint="eastAsia"/>
                <w:color w:val="auto"/>
                <w:lang w:val="en-US" w:eastAsia="zh-CN"/>
              </w:rPr>
              <w:t>8</w:t>
            </w:r>
            <w:r>
              <w:rPr>
                <w:rFonts w:hint="eastAsia"/>
                <w:color w:val="auto"/>
              </w:rPr>
              <w:t xml:space="preserve"> </w:t>
            </w:r>
            <w:r>
              <w:rPr>
                <w:color w:val="auto"/>
              </w:rPr>
              <w:t xml:space="preserve"> 全厂分区防渗措施一览表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78"/>
              <w:gridCol w:w="1347"/>
              <w:gridCol w:w="1973"/>
              <w:gridCol w:w="4373"/>
            </w:tblGrid>
            <w:tr>
              <w:tc>
                <w:tcPr>
                  <w:tcW w:w="405" w:type="pct"/>
                  <w:vAlign w:val="center"/>
                </w:tcPr>
                <w:p>
                  <w:pPr>
                    <w:pStyle w:val="39"/>
                    <w:rPr>
                      <w:color w:val="auto"/>
                    </w:rPr>
                  </w:pPr>
                  <w:r>
                    <w:rPr>
                      <w:rFonts w:hint="eastAsia"/>
                      <w:color w:val="auto"/>
                    </w:rPr>
                    <w:t>序号</w:t>
                  </w:r>
                </w:p>
              </w:tc>
              <w:tc>
                <w:tcPr>
                  <w:tcW w:w="804" w:type="pct"/>
                  <w:vAlign w:val="center"/>
                </w:tcPr>
                <w:p>
                  <w:pPr>
                    <w:pStyle w:val="39"/>
                    <w:rPr>
                      <w:color w:val="auto"/>
                    </w:rPr>
                  </w:pPr>
                  <w:r>
                    <w:rPr>
                      <w:rFonts w:hint="eastAsia"/>
                      <w:color w:val="auto"/>
                    </w:rPr>
                    <w:t>区域</w:t>
                  </w:r>
                </w:p>
              </w:tc>
              <w:tc>
                <w:tcPr>
                  <w:tcW w:w="1178" w:type="pct"/>
                  <w:vAlign w:val="center"/>
                </w:tcPr>
                <w:p>
                  <w:pPr>
                    <w:pStyle w:val="39"/>
                    <w:rPr>
                      <w:color w:val="auto"/>
                    </w:rPr>
                  </w:pPr>
                  <w:r>
                    <w:rPr>
                      <w:color w:val="auto"/>
                    </w:rPr>
                    <w:t>分区</w:t>
                  </w:r>
                </w:p>
              </w:tc>
              <w:tc>
                <w:tcPr>
                  <w:tcW w:w="2611" w:type="pct"/>
                  <w:vAlign w:val="center"/>
                </w:tcPr>
                <w:p>
                  <w:pPr>
                    <w:pStyle w:val="39"/>
                    <w:rPr>
                      <w:color w:val="auto"/>
                    </w:rPr>
                  </w:pPr>
                  <w:r>
                    <w:rPr>
                      <w:rFonts w:hint="eastAsia"/>
                      <w:color w:val="auto"/>
                    </w:rPr>
                    <w:t>防渗要求</w:t>
                  </w:r>
                </w:p>
              </w:tc>
            </w:tr>
            <w:tr>
              <w:tc>
                <w:tcPr>
                  <w:tcW w:w="405" w:type="pct"/>
                  <w:vAlign w:val="center"/>
                </w:tcPr>
                <w:p>
                  <w:pPr>
                    <w:pStyle w:val="39"/>
                    <w:rPr>
                      <w:color w:val="auto"/>
                    </w:rPr>
                  </w:pPr>
                  <w:r>
                    <w:rPr>
                      <w:rFonts w:hint="eastAsia"/>
                      <w:color w:val="auto"/>
                    </w:rPr>
                    <w:t>1</w:t>
                  </w:r>
                </w:p>
              </w:tc>
              <w:tc>
                <w:tcPr>
                  <w:tcW w:w="804" w:type="pct"/>
                  <w:tcBorders>
                    <w:left w:val="single" w:sz="4" w:space="0" w:color="auto"/>
                  </w:tcBorders>
                  <w:vAlign w:val="center"/>
                </w:tcPr>
                <w:p>
                  <w:pPr>
                    <w:pStyle w:val="39"/>
                    <w:rPr>
                      <w:color w:val="auto"/>
                    </w:rPr>
                  </w:pPr>
                  <w:r>
                    <w:rPr>
                      <w:color w:val="auto"/>
                    </w:rPr>
                    <w:t>重点防渗区</w:t>
                  </w:r>
                </w:p>
              </w:tc>
              <w:tc>
                <w:tcPr>
                  <w:tcW w:w="1178"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各生产车间、危废间、喷淋塔装置区域、原料库、事故水池、化验室</w:t>
                  </w:r>
                </w:p>
              </w:tc>
              <w:tc>
                <w:tcPr>
                  <w:tcW w:w="2611" w:type="pct"/>
                  <w:tcBorders>
                    <w:left w:val="single" w:sz="4" w:space="0" w:color="auto"/>
                  </w:tcBorders>
                  <w:vAlign w:val="center"/>
                </w:tcPr>
                <w:p>
                  <w:pPr>
                    <w:pStyle w:val="39"/>
                    <w:rPr>
                      <w:color w:val="auto"/>
                    </w:rPr>
                  </w:pPr>
                  <w:r>
                    <w:rPr>
                      <w:rFonts w:ascii="Times New Roman" w:eastAsia="宋体" w:cs="Times New Roman" w:hAnsi="Times New Roman"/>
                      <w:color w:val="auto"/>
                      <w:sz w:val="21"/>
                      <w:szCs w:val="21"/>
                      <w:lang w:val="en-US" w:eastAsia="zh-CN"/>
                      <w:highlight w:val="none"/>
                    </w:rPr>
                    <w:t>地面采取</w:t>
                  </w:r>
                  <w:r>
                    <w:rPr>
                      <w:rFonts w:ascii="Times New Roman" w:eastAsia="宋体" w:cs="Times New Roman" w:hAnsi="Times New Roman"/>
                      <w:color w:val="auto"/>
                      <w:sz w:val="21"/>
                      <w:szCs w:val="21"/>
                      <w:highlight w:val="none"/>
                    </w:rPr>
                    <w:t>三合土铺底</w:t>
                  </w:r>
                  <w:r>
                    <w:rPr>
                      <w:rFonts w:ascii="Times New Roman" w:eastAsia="宋体" w:cs="Times New Roman" w:hAnsi="Times New Roman" w:hint="eastAsia"/>
                      <w:color w:val="auto"/>
                      <w:sz w:val="21"/>
                      <w:szCs w:val="21"/>
                      <w:lang w:eastAsia="zh-CN"/>
                      <w:highlight w:val="none"/>
                    </w:rPr>
                    <w:t>，</w:t>
                  </w:r>
                  <w:r>
                    <w:rPr>
                      <w:rFonts w:ascii="Times New Roman" w:eastAsia="宋体" w:cs="Times New Roman" w:hAnsi="Times New Roman"/>
                      <w:color w:val="auto"/>
                      <w:sz w:val="21"/>
                      <w:szCs w:val="21"/>
                      <w:highlight w:val="none"/>
                    </w:rPr>
                    <w:t>15cm的水泥混凝土进行硬化，涂环氧树脂防渗层渗透系数小于10</w:t>
                  </w:r>
                  <w:r>
                    <w:rPr>
                      <w:rFonts w:ascii="Times New Roman" w:eastAsia="宋体" w:cs="Times New Roman" w:hAnsi="Times New Roman"/>
                      <w:color w:val="auto"/>
                      <w:sz w:val="21"/>
                      <w:szCs w:val="21"/>
                      <w:vertAlign w:val="superscript"/>
                      <w:highlight w:val="none"/>
                    </w:rPr>
                    <w:t>-10</w:t>
                  </w:r>
                  <w:r>
                    <w:rPr>
                      <w:rFonts w:ascii="Times New Roman" w:eastAsia="宋体" w:cs="Times New Roman" w:hAnsi="Times New Roman"/>
                      <w:color w:val="auto"/>
                      <w:sz w:val="21"/>
                      <w:szCs w:val="21"/>
                      <w:highlight w:val="none"/>
                    </w:rPr>
                    <w:t>cm/s</w:t>
                  </w:r>
                  <w:r>
                    <w:rPr>
                      <w:rFonts w:ascii="Times New Roman" w:cs="Times New Roman" w:hAnsi="Times New Roman"/>
                      <w:color w:val="auto"/>
                      <w:sz w:val="21"/>
                      <w:szCs w:val="21"/>
                      <w:lang w:val="en-US" w:eastAsia="zh-CN"/>
                      <w:highlight w:val="none"/>
                    </w:rPr>
                    <w:t>，同时贮存装置设防雨、防风、防晒设施、避免污染物泄露，污染环境</w:t>
                  </w:r>
                </w:p>
              </w:tc>
            </w:tr>
            <w:tr>
              <w:tc>
                <w:tcPr>
                  <w:tcW w:w="405" w:type="pct"/>
                  <w:vAlign w:val="center"/>
                </w:tcPr>
                <w:p>
                  <w:pPr>
                    <w:pStyle w:val="39"/>
                    <w:rPr>
                      <w:color w:val="auto"/>
                    </w:rPr>
                  </w:pPr>
                  <w:r>
                    <w:rPr>
                      <w:rFonts w:hint="eastAsia"/>
                      <w:color w:val="auto"/>
                    </w:rPr>
                    <w:t>2</w:t>
                  </w:r>
                </w:p>
              </w:tc>
              <w:tc>
                <w:tcPr>
                  <w:tcW w:w="804" w:type="pct"/>
                  <w:tcBorders>
                    <w:left w:val="single" w:sz="4" w:space="0" w:color="auto"/>
                  </w:tcBorders>
                  <w:vAlign w:val="center"/>
                </w:tcPr>
                <w:p>
                  <w:pPr>
                    <w:pStyle w:val="39"/>
                    <w:rPr>
                      <w:color w:val="auto"/>
                    </w:rPr>
                  </w:pPr>
                  <w:r>
                    <w:rPr>
                      <w:color w:val="auto"/>
                    </w:rPr>
                    <w:t>一般防渗区</w:t>
                  </w:r>
                </w:p>
              </w:tc>
              <w:tc>
                <w:tcPr>
                  <w:tcW w:w="1178" w:type="pct"/>
                  <w:tcBorders>
                    <w:left w:val="single" w:sz="4" w:space="0" w:color="auto"/>
                  </w:tcBorders>
                  <w:vAlign w:val="center"/>
                </w:tcPr>
                <w:p>
                  <w:pPr>
                    <w:pStyle w:val="39"/>
                    <w:rPr>
                      <w:color w:val="auto"/>
                    </w:rPr>
                  </w:pPr>
                  <w:r>
                    <w:rPr>
                      <w:rFonts w:hint="eastAsia"/>
                      <w:color w:val="auto"/>
                      <w:lang w:val="en-US" w:eastAsia="zh-CN"/>
                    </w:rPr>
                    <w:t>成品库</w:t>
                  </w:r>
                </w:p>
              </w:tc>
              <w:tc>
                <w:tcPr>
                  <w:tcW w:w="2611" w:type="pct"/>
                  <w:tcBorders>
                    <w:left w:val="single" w:sz="4" w:space="0" w:color="auto"/>
                  </w:tcBorders>
                  <w:vAlign w:val="center"/>
                </w:tcPr>
                <w:p>
                  <w:pPr>
                    <w:pStyle w:val="39"/>
                    <w:rPr>
                      <w:color w:val="auto"/>
                    </w:rPr>
                  </w:pPr>
                  <w:r>
                    <w:rPr>
                      <w:rFonts w:hint="eastAsia"/>
                      <w:color w:val="auto"/>
                      <w:lang w:val="en-US" w:eastAsia="zh-CN"/>
                    </w:rPr>
                    <w:t>地面硬化铺设1.5m厚渗透系数为1.0×10</w:t>
                  </w:r>
                  <w:r>
                    <w:rPr>
                      <w:rFonts w:hint="eastAsia"/>
                      <w:color w:val="auto"/>
                      <w:vertAlign w:val="superscript"/>
                      <w:lang w:val="en-US" w:eastAsia="zh-CN"/>
                    </w:rPr>
                    <w:t>-7</w:t>
                  </w:r>
                  <w:r>
                    <w:rPr>
                      <w:rFonts w:hint="eastAsia"/>
                      <w:color w:val="auto"/>
                      <w:lang w:val="en-US" w:eastAsia="zh-CN"/>
                    </w:rPr>
                    <w:t>cm/s的粘土层。</w:t>
                  </w:r>
                </w:p>
              </w:tc>
            </w:tr>
          </w:tbl>
          <w:p>
            <w:pPr>
              <w:rPr>
                <w:color w:val="auto"/>
              </w:rPr>
            </w:pPr>
            <w:r>
              <w:rPr>
                <w:color w:val="auto"/>
              </w:rPr>
              <w:t>综上所述，</w:t>
            </w:r>
            <w:r>
              <w:rPr>
                <w:rFonts w:hint="eastAsia"/>
                <w:color w:val="auto"/>
              </w:rPr>
              <w:t>本项目</w:t>
            </w:r>
            <w:r>
              <w:rPr>
                <w:color w:val="auto"/>
              </w:rPr>
              <w:t>对污染防治区应分别采取不同等级的防渗方案后，</w:t>
            </w:r>
            <w:r>
              <w:rPr>
                <w:rFonts w:hint="eastAsia"/>
                <w:color w:val="auto"/>
              </w:rPr>
              <w:t>本</w:t>
            </w:r>
            <w:r>
              <w:rPr>
                <w:color w:val="auto"/>
              </w:rPr>
              <w:t>项目无地下水、土壤污染途径，不会对地下水及土壤环境产生影响。</w:t>
            </w:r>
          </w:p>
          <w:p>
            <w:pPr>
              <w:rPr>
                <w:b/>
                <w:bCs/>
                <w:color w:val="auto"/>
              </w:rPr>
            </w:pPr>
            <w:r>
              <w:rPr>
                <w:rFonts w:hint="eastAsia"/>
                <w:b/>
                <w:bCs/>
                <w:color w:val="auto"/>
                <w:szCs w:val="21"/>
              </w:rPr>
              <w:t>六</w:t>
            </w:r>
            <w:r>
              <w:rPr>
                <w:b/>
                <w:bCs/>
                <w:color w:val="auto"/>
              </w:rPr>
              <w:t>、环境风险分析</w:t>
            </w:r>
          </w:p>
          <w:p>
            <w:pPr>
              <w:tabs>
                <w:tab w:val="left" w:pos="6480"/>
              </w:tabs>
              <w:rPr>
                <w:color w:val="auto"/>
              </w:rPr>
            </w:pPr>
            <w:r>
              <w:rPr>
                <w:color w:val="auto"/>
              </w:rPr>
              <w:t>本次环境风险评价的目的在于识别物料生产、贮存、转运过程中的风险因素及可能诱发的环境问题，以突发性事故导致的危险物质环境急性损害防控为目标，对建设项目的环境风险进行分析，提出环境风险预防、控制、减缓措施，明确环境风险监控及应急建议要求，为建设项目环境风险防控提供科学依据，力求将建设项目的环境风险降至可防控水平。</w:t>
            </w:r>
          </w:p>
          <w:p>
            <w:pPr>
              <w:rPr>
                <w:color w:val="auto"/>
              </w:rPr>
            </w:pPr>
            <w:r>
              <w:rPr>
                <w:color w:val="auto"/>
              </w:rPr>
              <w:t>（1）物质识别</w:t>
            </w:r>
          </w:p>
          <w:p>
            <w:pPr>
              <w:rPr>
                <w:color w:val="auto"/>
              </w:rPr>
            </w:pPr>
            <w:r>
              <w:rPr>
                <w:color w:val="auto"/>
              </w:rPr>
              <w:t>根据《建设项目环境风险评价技术导则》（HJ169-2018），本</w:t>
            </w:r>
            <w:r>
              <w:rPr>
                <w:rFonts w:hint="eastAsia"/>
                <w:color w:val="auto"/>
                <w:szCs w:val="32"/>
              </w:rPr>
              <w:t>项目风险物质包括危废暂存间暂存的</w:t>
            </w:r>
            <w:r>
              <w:rPr>
                <w:rFonts w:hint="eastAsia"/>
                <w:color w:val="auto"/>
              </w:rPr>
              <w:t>危险废物</w:t>
            </w:r>
            <w:r>
              <w:rPr>
                <w:rFonts w:hint="eastAsia"/>
                <w:color w:val="auto"/>
                <w:lang w:val="en-US" w:eastAsia="zh-CN"/>
              </w:rPr>
              <w:t>和原辅材料</w:t>
            </w:r>
            <w:r>
              <w:rPr>
                <w:rFonts w:hint="eastAsia"/>
                <w:color w:val="auto"/>
              </w:rPr>
              <w:t>，本项目</w:t>
            </w:r>
            <w:r>
              <w:rPr>
                <w:color w:val="auto"/>
              </w:rPr>
              <w:t>Q值确定表见</w:t>
            </w:r>
            <w:r>
              <w:rPr>
                <w:rFonts w:hint="eastAsia"/>
                <w:color w:val="auto"/>
              </w:rPr>
              <w:t>下</w:t>
            </w:r>
            <w:r>
              <w:rPr>
                <w:color w:val="auto"/>
              </w:rPr>
              <w:t>表。</w:t>
            </w:r>
          </w:p>
          <w:p>
            <w:pPr>
              <w:pStyle w:val="40"/>
              <w:rPr>
                <w:color w:val="auto"/>
              </w:rPr>
            </w:pPr>
            <w:r>
              <w:rPr>
                <w:color w:val="auto"/>
              </w:rPr>
              <w:t>表</w:t>
            </w:r>
            <w:r>
              <w:rPr>
                <w:rFonts w:hint="eastAsia"/>
                <w:color w:val="auto"/>
              </w:rPr>
              <w:t>4-1</w:t>
            </w:r>
            <w:r>
              <w:rPr>
                <w:rFonts w:hint="eastAsia"/>
                <w:color w:val="auto"/>
                <w:lang w:val="en-US" w:eastAsia="zh-CN"/>
              </w:rPr>
              <w:t>9</w:t>
            </w:r>
            <w:r>
              <w:rPr>
                <w:color w:val="auto"/>
              </w:rPr>
              <w:t xml:space="preserve">  危险物质数量与临界量比值Q值确定表</w:t>
            </w:r>
          </w:p>
          <w:tbl>
            <w:tblPr>
              <w:jc w:val="center"/>
              <w:tblW w:w="4998" w:type="pc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Look w:val="0600" w:firstRow="0" w:lastRow="0" w:firstColumn="0" w:lastColumn="0" w:noHBand="1" w:noVBand="1"/>
            </w:tblPr>
            <w:tblGrid>
              <w:gridCol w:w="729"/>
              <w:gridCol w:w="2014"/>
              <w:gridCol w:w="882"/>
              <w:gridCol w:w="1676"/>
              <w:gridCol w:w="1323"/>
              <w:gridCol w:w="1738"/>
            </w:tblGrid>
            <w:tr>
              <w:trPr>
                <w:trHeight w:val="335"/>
              </w:trPr>
              <w:tc>
                <w:tcPr>
                  <w:tcW w:w="436" w:type="pct"/>
                  <w:tcBorders>
                    <w:top w:val="single" w:sz="8" w:space="0" w:color="000000"/>
                    <w:left w:val="single" w:sz="8" w:space="0" w:color="000000"/>
                    <w:bottom w:val="single" w:sz="4" w:space="0" w:color="000000"/>
                    <w:right w:val="single" w:sz="4" w:space="0" w:color="000000"/>
                  </w:tcBorders>
                  <w:vAlign w:val="center"/>
                </w:tcPr>
                <w:p>
                  <w:pPr>
                    <w:pStyle w:val="39"/>
                    <w:rPr>
                      <w:color w:val="auto"/>
                    </w:rPr>
                  </w:pPr>
                  <w:r>
                    <w:rPr>
                      <w:color w:val="auto"/>
                    </w:rPr>
                    <w:t>序号</w:t>
                  </w:r>
                </w:p>
              </w:tc>
              <w:tc>
                <w:tcPr>
                  <w:tcW w:w="1204" w:type="pct"/>
                  <w:tcBorders>
                    <w:top w:val="single" w:sz="8" w:space="0" w:color="000000"/>
                    <w:left w:val="single" w:sz="4" w:space="0" w:color="000000"/>
                    <w:bottom w:val="single" w:sz="4" w:space="0" w:color="000000"/>
                    <w:right w:val="single" w:sz="4" w:space="0" w:color="000000"/>
                  </w:tcBorders>
                  <w:vAlign w:val="center"/>
                </w:tcPr>
                <w:p>
                  <w:pPr>
                    <w:pStyle w:val="39"/>
                    <w:rPr>
                      <w:color w:val="auto"/>
                    </w:rPr>
                  </w:pPr>
                  <w:r>
                    <w:rPr>
                      <w:color w:val="auto"/>
                    </w:rPr>
                    <w:t>危险物质名称</w:t>
                  </w:r>
                </w:p>
              </w:tc>
              <w:tc>
                <w:tcPr>
                  <w:tcW w:w="527" w:type="pct"/>
                  <w:tcBorders>
                    <w:top w:val="single" w:sz="8" w:space="0" w:color="000000"/>
                    <w:left w:val="single" w:sz="4" w:space="0" w:color="000000"/>
                    <w:bottom w:val="single" w:sz="4" w:space="0" w:color="000000"/>
                    <w:right w:val="single" w:sz="4" w:space="0" w:color="000000"/>
                  </w:tcBorders>
                  <w:vAlign w:val="center"/>
                </w:tcPr>
                <w:p>
                  <w:pPr>
                    <w:pStyle w:val="39"/>
                    <w:rPr>
                      <w:color w:val="auto"/>
                    </w:rPr>
                  </w:pPr>
                  <w:r>
                    <w:rPr>
                      <w:color w:val="auto"/>
                    </w:rPr>
                    <w:t>CAS号</w:t>
                  </w:r>
                </w:p>
              </w:tc>
              <w:tc>
                <w:tcPr>
                  <w:tcW w:w="1002" w:type="pct"/>
                  <w:tcBorders>
                    <w:top w:val="single" w:sz="8" w:space="0" w:color="000000"/>
                    <w:left w:val="single" w:sz="4" w:space="0" w:color="000000"/>
                    <w:bottom w:val="single" w:sz="4" w:space="0" w:color="000000"/>
                    <w:right w:val="single" w:sz="4" w:space="0" w:color="000000"/>
                  </w:tcBorders>
                  <w:vAlign w:val="center"/>
                </w:tcPr>
                <w:p>
                  <w:pPr>
                    <w:pStyle w:val="39"/>
                    <w:rPr>
                      <w:color w:val="auto"/>
                    </w:rPr>
                  </w:pPr>
                  <w:r>
                    <w:rPr>
                      <w:color w:val="auto"/>
                    </w:rPr>
                    <w:t>最大存在总量qn/t</w:t>
                  </w:r>
                </w:p>
              </w:tc>
              <w:tc>
                <w:tcPr>
                  <w:tcW w:w="788" w:type="pct"/>
                  <w:tcBorders>
                    <w:top w:val="single" w:sz="8" w:space="0" w:color="000000"/>
                    <w:left w:val="single" w:sz="4" w:space="0" w:color="000000"/>
                    <w:bottom w:val="single" w:sz="4" w:space="0" w:color="000000"/>
                    <w:right w:val="single" w:sz="4" w:space="0" w:color="000000"/>
                  </w:tcBorders>
                  <w:vAlign w:val="center"/>
                </w:tcPr>
                <w:p>
                  <w:pPr>
                    <w:pStyle w:val="39"/>
                    <w:rPr>
                      <w:color w:val="auto"/>
                    </w:rPr>
                  </w:pPr>
                  <w:r>
                    <w:rPr>
                      <w:color w:val="auto"/>
                    </w:rPr>
                    <w:t>临界量Qn/t</w:t>
                  </w:r>
                </w:p>
              </w:tc>
              <w:tc>
                <w:tcPr>
                  <w:tcW w:w="1039" w:type="pct"/>
                  <w:tcBorders>
                    <w:top w:val="single" w:sz="8" w:space="0" w:color="000000"/>
                    <w:left w:val="single" w:sz="4" w:space="0" w:color="000000"/>
                    <w:bottom w:val="single" w:sz="4" w:space="0" w:color="000000"/>
                    <w:right w:val="single" w:sz="8" w:space="0" w:color="000000"/>
                  </w:tcBorders>
                  <w:vAlign w:val="center"/>
                </w:tcPr>
                <w:p>
                  <w:pPr>
                    <w:pStyle w:val="39"/>
                    <w:rPr>
                      <w:color w:val="auto"/>
                    </w:rPr>
                  </w:pPr>
                  <w:r>
                    <w:rPr>
                      <w:color w:val="auto"/>
                    </w:rPr>
                    <w:t>危险物质Q值</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rPr>
                  </w:pPr>
                  <w:r>
                    <w:rPr>
                      <w:color w:val="auto"/>
                    </w:rPr>
                    <w:t>1</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化验室废液</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highlight w:val="none"/>
                    </w:rPr>
                  </w:pPr>
                  <w:r>
                    <w:rPr>
                      <w:rFonts w:hint="eastAsia"/>
                      <w:color w:val="auto"/>
                      <w:highlight w:val="none"/>
                    </w:rPr>
                    <w:t>/</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1.2</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50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0.024</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rPr>
                  </w:pPr>
                  <w:r>
                    <w:rPr>
                      <w:rFonts w:hint="eastAsia"/>
                      <w:color w:val="auto"/>
                    </w:rPr>
                    <w:t>2</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highlight w:val="none"/>
                    </w:rPr>
                  </w:pPr>
                  <w:r>
                    <w:rPr>
                      <w:rFonts w:hint="eastAsia"/>
                      <w:color w:val="auto"/>
                      <w:lang w:val="en-US" w:eastAsia="zh-CN"/>
                      <w:highlight w:val="none"/>
                    </w:rPr>
                    <w:t>化验室废包装</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highlight w:val="none"/>
                    </w:rPr>
                  </w:pPr>
                  <w:r>
                    <w:rPr>
                      <w:rFonts w:hint="eastAsia"/>
                      <w:color w:val="auto"/>
                      <w:highlight w:val="none"/>
                    </w:rPr>
                    <w:t>/</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0.1</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50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0.002</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rPr>
                  </w:pPr>
                  <w:r>
                    <w:rPr>
                      <w:rFonts w:hint="eastAsia"/>
                      <w:color w:val="auto"/>
                    </w:rPr>
                    <w:t>3</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废机油、废润滑油</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rPr>
                  </w:pPr>
                  <w:r>
                    <w:rPr>
                      <w:rFonts w:hint="eastAsia"/>
                      <w:color w:val="auto"/>
                    </w:rPr>
                    <w:t>/</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0.5</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100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rFonts w:eastAsia="宋体"/>
                      <w:color w:val="auto"/>
                      <w:lang w:val="en-US" w:eastAsia="zh-CN"/>
                    </w:rPr>
                  </w:pPr>
                  <w:r>
                    <w:rPr>
                      <w:rFonts w:hint="eastAsia"/>
                      <w:color w:val="auto"/>
                      <w:lang w:val="en-US" w:eastAsia="zh-CN"/>
                    </w:rPr>
                    <w:t>0.005</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rFonts w:eastAsia="宋体" w:hint="eastAsia"/>
                      <w:color w:val="auto"/>
                      <w:lang w:val="en-US" w:eastAsia="zh-CN"/>
                    </w:rPr>
                  </w:pPr>
                  <w:r>
                    <w:rPr>
                      <w:rFonts w:hint="eastAsia"/>
                      <w:color w:val="auto"/>
                      <w:lang w:val="en-US" w:eastAsia="zh-CN"/>
                    </w:rPr>
                    <w:t>4</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废油桶</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hint="eastAsia"/>
                      <w:color w:val="auto"/>
                      <w:lang w:val="en-US" w:eastAsia="zh-CN"/>
                    </w:rPr>
                  </w:pPr>
                  <w:r>
                    <w:rPr>
                      <w:rFonts w:hint="eastAsia"/>
                      <w:color w:val="auto"/>
                      <w:lang w:val="en-US" w:eastAsia="zh-CN"/>
                    </w:rPr>
                    <w:t>/</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0.05</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50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rFonts w:eastAsia="宋体"/>
                      <w:color w:val="auto"/>
                      <w:lang w:val="en-US" w:eastAsia="zh-CN"/>
                    </w:rPr>
                  </w:pPr>
                  <w:r>
                    <w:rPr>
                      <w:rFonts w:hint="eastAsia"/>
                      <w:color w:val="auto"/>
                      <w:lang w:val="en-US" w:eastAsia="zh-CN"/>
                    </w:rPr>
                    <w:t>0.001</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5</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硫酸铵</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7783-20-2</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90</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10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color w:val="auto"/>
                      <w:lang w:val="en-US" w:eastAsia="zh-CN"/>
                    </w:rPr>
                  </w:pPr>
                  <w:r>
                    <w:rPr>
                      <w:rFonts w:hint="eastAsia"/>
                      <w:color w:val="auto"/>
                      <w:lang w:val="en-US" w:eastAsia="zh-CN"/>
                    </w:rPr>
                    <w:t>9</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6</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废活性炭</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3.78</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50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color w:val="auto"/>
                      <w:lang w:val="en-US" w:eastAsia="zh-CN"/>
                    </w:rPr>
                  </w:pPr>
                  <w:r>
                    <w:rPr>
                      <w:rFonts w:hint="eastAsia"/>
                      <w:color w:val="auto"/>
                      <w:lang w:val="en-US" w:eastAsia="zh-CN"/>
                    </w:rPr>
                    <w:t>0.0756</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7</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氢氧化钠</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1310-73-2</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0.015</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50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color w:val="auto"/>
                      <w:lang w:val="en-US" w:eastAsia="zh-CN"/>
                    </w:rPr>
                  </w:pPr>
                  <w:r>
                    <w:rPr>
                      <w:rFonts w:hint="eastAsia"/>
                      <w:color w:val="auto"/>
                      <w:lang w:val="en-US" w:eastAsia="zh-CN"/>
                    </w:rPr>
                    <w:t>0.0003</w:t>
                  </w:r>
                </w:p>
              </w:tc>
            </w:tr>
            <w:tr>
              <w:trPr>
                <w:trHeight w:val="90"/>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8</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硫酸</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7664-93-9</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0.015</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10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color w:val="auto"/>
                      <w:lang w:val="en-US" w:eastAsia="zh-CN"/>
                    </w:rPr>
                  </w:pPr>
                  <w:r>
                    <w:rPr>
                      <w:rFonts w:hint="eastAsia"/>
                      <w:color w:val="auto"/>
                      <w:lang w:val="en-US" w:eastAsia="zh-CN"/>
                    </w:rPr>
                    <w:t>0.0015</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9</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盐酸</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7647-01-0</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0.005</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7.5</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color w:val="auto"/>
                      <w:lang w:val="en-US" w:eastAsia="zh-CN"/>
                    </w:rPr>
                  </w:pPr>
                  <w:r>
                    <w:rPr>
                      <w:rFonts w:hint="eastAsia"/>
                      <w:color w:val="auto"/>
                      <w:lang w:val="en-US" w:eastAsia="zh-CN"/>
                    </w:rPr>
                    <w:t>0.0007</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10</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硝酸</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7679-37-2</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0.010</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7.5</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color w:val="auto"/>
                      <w:lang w:val="en-US" w:eastAsia="zh-CN"/>
                    </w:rPr>
                  </w:pPr>
                  <w:r>
                    <w:rPr>
                      <w:rFonts w:hint="eastAsia"/>
                      <w:color w:val="auto"/>
                      <w:lang w:val="en-US" w:eastAsia="zh-CN"/>
                    </w:rPr>
                    <w:t>0.0013</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11</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丙酮</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67-64-1</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0.0125</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color w:val="auto"/>
                      <w:lang w:val="en-US" w:eastAsia="zh-CN"/>
                    </w:rPr>
                  </w:pPr>
                  <w:r>
                    <w:rPr>
                      <w:rFonts w:hint="eastAsia"/>
                      <w:color w:val="auto"/>
                      <w:lang w:val="en-US" w:eastAsia="zh-CN"/>
                    </w:rPr>
                    <w:t>10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color w:val="auto"/>
                      <w:lang w:val="en-US" w:eastAsia="zh-CN"/>
                    </w:rPr>
                  </w:pPr>
                  <w:r>
                    <w:rPr>
                      <w:rFonts w:hint="eastAsia"/>
                      <w:color w:val="auto"/>
                      <w:lang w:val="en-US" w:eastAsia="zh-CN"/>
                    </w:rPr>
                    <w:t>0.00125</w:t>
                  </w:r>
                </w:p>
              </w:tc>
            </w:tr>
            <w:tr>
              <w:trPr>
                <w:trHeight w:val="77"/>
              </w:trPr>
              <w:tc>
                <w:tcPr>
                  <w:tcW w:w="436" w:type="pct"/>
                  <w:tcBorders>
                    <w:top w:val="single" w:sz="4" w:space="0" w:color="000000"/>
                    <w:left w:val="single" w:sz="8"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12</w:t>
                  </w:r>
                </w:p>
              </w:tc>
              <w:tc>
                <w:tcPr>
                  <w:tcW w:w="1204" w:type="pct"/>
                  <w:tcBorders>
                    <w:top w:val="single" w:sz="4" w:space="0" w:color="000000"/>
                    <w:left w:val="single" w:sz="4" w:space="0" w:color="000000"/>
                    <w:bottom w:val="single" w:sz="4" w:space="0" w:color="000000"/>
                    <w:right w:val="single" w:sz="4" w:space="0" w:color="000000"/>
                  </w:tcBorders>
                  <w:vAlign w:val="center"/>
                </w:tcPr>
                <w:p>
                  <w:pPr>
                    <w:pStyle w:val="39"/>
                    <w:rPr>
                      <w:color w:val="auto"/>
                    </w:rPr>
                  </w:pPr>
                  <w:r>
                    <w:rPr>
                      <w:rFonts w:hint="eastAsia"/>
                      <w:color w:val="auto"/>
                      <w:lang w:val="en-US" w:eastAsia="zh-CN"/>
                    </w:rPr>
                    <w:t>天然气（甲烷）</w:t>
                  </w:r>
                </w:p>
              </w:tc>
              <w:tc>
                <w:tcPr>
                  <w:tcW w:w="527"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74-82-8</w:t>
                  </w:r>
                </w:p>
              </w:tc>
              <w:tc>
                <w:tcPr>
                  <w:tcW w:w="1002"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0.01</w:t>
                  </w:r>
                </w:p>
              </w:tc>
              <w:tc>
                <w:tcPr>
                  <w:tcW w:w="788" w:type="pct"/>
                  <w:tcBorders>
                    <w:top w:val="single" w:sz="4" w:space="0" w:color="000000"/>
                    <w:left w:val="single" w:sz="4" w:space="0" w:color="000000"/>
                    <w:bottom w:val="single" w:sz="4" w:space="0" w:color="000000"/>
                    <w:right w:val="single" w:sz="4" w:space="0" w:color="000000"/>
                  </w:tcBorders>
                  <w:vAlign w:val="center"/>
                </w:tcPr>
                <w:p>
                  <w:pPr>
                    <w:pStyle w:val="39"/>
                    <w:rPr>
                      <w:rFonts w:eastAsia="宋体"/>
                      <w:color w:val="auto"/>
                      <w:lang w:val="en-US" w:eastAsia="zh-CN"/>
                    </w:rPr>
                  </w:pPr>
                  <w:r>
                    <w:rPr>
                      <w:rFonts w:hint="eastAsia"/>
                      <w:color w:val="auto"/>
                      <w:lang w:val="en-US" w:eastAsia="zh-CN"/>
                    </w:rPr>
                    <w:t>10</w:t>
                  </w:r>
                </w:p>
              </w:tc>
              <w:tc>
                <w:tcPr>
                  <w:tcW w:w="1039" w:type="pct"/>
                  <w:tcBorders>
                    <w:top w:val="single" w:sz="4" w:space="0" w:color="000000"/>
                    <w:left w:val="single" w:sz="4" w:space="0" w:color="000000"/>
                    <w:bottom w:val="single" w:sz="4" w:space="0" w:color="000000"/>
                    <w:right w:val="single" w:sz="8"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0.001</w:t>
                  </w:r>
                </w:p>
              </w:tc>
            </w:tr>
            <w:tr>
              <w:trPr>
                <w:trHeight w:val="77"/>
              </w:trPr>
              <w:tc>
                <w:tcPr>
                  <w:tcW w:w="3960" w:type="pct"/>
                  <w:gridSpan w:val="5"/>
                  <w:tcBorders>
                    <w:top w:val="single" w:sz="4" w:space="0" w:color="000000"/>
                    <w:left w:val="single" w:sz="8" w:space="0" w:color="000000"/>
                    <w:bottom w:val="single" w:sz="8" w:space="0" w:color="000000"/>
                    <w:right w:val="single" w:sz="4" w:space="0" w:color="000000"/>
                  </w:tcBorders>
                  <w:vAlign w:val="center"/>
                </w:tcPr>
                <w:p>
                  <w:pPr>
                    <w:pStyle w:val="39"/>
                    <w:rPr>
                      <w:color w:val="auto"/>
                    </w:rPr>
                  </w:pPr>
                  <w:r>
                    <w:rPr>
                      <w:color w:val="auto"/>
                    </w:rPr>
                    <w:t>项目Q值</w:t>
                  </w:r>
                </w:p>
              </w:tc>
              <w:tc>
                <w:tcPr>
                  <w:tcW w:w="1039" w:type="pct"/>
                  <w:tcBorders>
                    <w:top w:val="single" w:sz="4" w:space="0" w:color="000000"/>
                    <w:left w:val="single" w:sz="4" w:space="0" w:color="000000"/>
                    <w:bottom w:val="single" w:sz="8" w:space="0" w:color="000000"/>
                    <w:right w:val="single" w:sz="8" w:space="0" w:color="000000"/>
                  </w:tcBorders>
                  <w:vAlign w:val="center"/>
                </w:tcPr>
                <w:p>
                  <w:pPr>
                    <w:pStyle w:val="39"/>
                    <w:rPr>
                      <w:rFonts w:eastAsia="宋体"/>
                      <w:color w:val="auto"/>
                      <w:lang w:val="en-US" w:eastAsia="zh-CN"/>
                      <w:highlight w:val="none"/>
                    </w:rPr>
                  </w:pPr>
                  <w:r>
                    <w:rPr>
                      <w:rFonts w:hint="eastAsia"/>
                      <w:color w:val="auto"/>
                      <w:lang w:val="en-US" w:eastAsia="zh-CN"/>
                      <w:highlight w:val="none"/>
                    </w:rPr>
                    <w:t>9.11365</w:t>
                  </w:r>
                </w:p>
              </w:tc>
            </w:tr>
          </w:tbl>
          <w:p>
            <w:pPr>
              <w:rPr>
                <w:bCs/>
                <w:color w:val="auto"/>
                <w:highlight w:val="yellow"/>
              </w:rPr>
            </w:pPr>
            <w:bookmarkStart w:id="8" w:name="_Toc7246170"/>
            <w:bookmarkStart w:id="9" w:name="_Toc4835424"/>
            <w:r>
              <w:rPr>
                <w:bCs/>
                <w:color w:val="auto"/>
                <w:highlight w:val="none"/>
              </w:rPr>
              <w:t>按照</w:t>
            </w:r>
            <w:r>
              <w:rPr>
                <w:bCs/>
                <w:color w:val="auto"/>
                <w:lang w:val="en-US" w:eastAsia="zh-CN"/>
                <w:highlight w:val="none"/>
              </w:rPr>
              <w:t>建设项目环境影响报告表编制技术指南</w:t>
            </w:r>
            <w:r>
              <w:rPr>
                <w:rFonts w:hint="eastAsia"/>
                <w:bCs/>
                <w:color w:val="auto"/>
                <w:lang w:val="en-US" w:eastAsia="zh-CN"/>
                <w:highlight w:val="none"/>
              </w:rPr>
              <w:t>（污染影响类）要求</w:t>
            </w:r>
            <w:r>
              <w:rPr>
                <w:bCs/>
                <w:color w:val="auto"/>
                <w:highlight w:val="none"/>
              </w:rPr>
              <w:t>，</w:t>
            </w:r>
            <w:r>
              <w:rPr>
                <w:rFonts w:hint="eastAsia"/>
                <w:bCs/>
                <w:color w:val="auto"/>
                <w:lang w:val="en-US" w:eastAsia="zh-CN"/>
                <w:highlight w:val="none"/>
              </w:rPr>
              <w:t>有毒有害和易燃易爆危险物质存储量超过临界量的建设项目</w:t>
            </w:r>
            <w:r>
              <w:rPr>
                <w:bCs/>
                <w:color w:val="auto"/>
                <w:highlight w:val="none"/>
              </w:rPr>
              <w:t>，</w:t>
            </w:r>
            <w:r>
              <w:rPr>
                <w:rFonts w:hint="eastAsia"/>
                <w:bCs/>
                <w:color w:val="auto"/>
                <w:lang w:val="en-US" w:eastAsia="zh-CN"/>
                <w:highlight w:val="none"/>
              </w:rPr>
              <w:t>需</w:t>
            </w:r>
            <w:r>
              <w:rPr>
                <w:bCs/>
                <w:color w:val="auto"/>
                <w:highlight w:val="none"/>
              </w:rPr>
              <w:t>设置环境风险专项评价。</w:t>
            </w:r>
            <w:r>
              <w:rPr>
                <w:bCs/>
                <w:color w:val="auto"/>
                <w:lang w:val="en-US" w:eastAsia="zh-CN"/>
                <w:highlight w:val="none"/>
              </w:rPr>
              <w:t>根据《建设项目环境风险评价技术导则》（HJ169-2018）附录B的物质危险性标准，经分析，</w:t>
            </w:r>
            <w:r>
              <w:rPr>
                <w:bCs/>
                <w:color w:val="auto"/>
                <w:highlight w:val="none"/>
              </w:rPr>
              <w:t>本项目危险物质和工艺系统的危险性（P）为P4，大气环境、地表水环境、地下水环境敏感程度分别为E</w:t>
            </w:r>
            <w:r>
              <w:rPr>
                <w:rFonts w:hint="eastAsia"/>
                <w:bCs/>
                <w:color w:val="auto"/>
                <w:lang w:val="en-US" w:eastAsia="zh-CN"/>
                <w:highlight w:val="none"/>
              </w:rPr>
              <w:t>1</w:t>
            </w:r>
            <w:r>
              <w:rPr>
                <w:bCs/>
                <w:color w:val="auto"/>
                <w:highlight w:val="none"/>
              </w:rPr>
              <w:t>、E3、E</w:t>
            </w:r>
            <w:r>
              <w:rPr>
                <w:bCs/>
                <w:color w:val="auto"/>
                <w:lang w:val="en-US" w:eastAsia="zh-CN"/>
                <w:highlight w:val="none"/>
              </w:rPr>
              <w:t>3</w:t>
            </w:r>
            <w:r>
              <w:rPr>
                <w:bCs/>
                <w:color w:val="auto"/>
                <w:highlight w:val="none"/>
              </w:rPr>
              <w:t>，根据上表可知，本项目大气环境、地表水环境、地下水环境风险潜势分别为Ⅲ</w:t>
            </w:r>
            <w:r>
              <w:rPr>
                <w:bCs/>
                <w:color w:val="auto"/>
                <w:lang w:eastAsia="zh-CN"/>
                <w:highlight w:val="none"/>
              </w:rPr>
              <w:t>、</w:t>
            </w:r>
            <w:r>
              <w:rPr>
                <w:bCs/>
                <w:color w:val="auto"/>
                <w:highlight w:val="none"/>
              </w:rPr>
              <w:t>Ⅰ、Ⅰ级</w:t>
            </w:r>
            <w:r>
              <w:rPr>
                <w:bCs/>
                <w:color w:val="auto"/>
                <w:lang w:eastAsia="zh-CN"/>
                <w:highlight w:val="none"/>
              </w:rPr>
              <w:t>，</w:t>
            </w:r>
            <w:r>
              <w:rPr>
                <w:bCs/>
                <w:color w:val="auto"/>
                <w:highlight w:val="none"/>
              </w:rPr>
              <w:t>项目大气环境</w:t>
            </w:r>
            <w:r>
              <w:rPr>
                <w:bCs/>
                <w:color w:val="auto"/>
                <w:lang w:eastAsia="zh-CN"/>
                <w:highlight w:val="none"/>
              </w:rPr>
              <w:t>风险</w:t>
            </w:r>
            <w:r>
              <w:rPr>
                <w:bCs/>
                <w:color w:val="auto"/>
                <w:highlight w:val="none"/>
              </w:rPr>
              <w:t>评价工作等级划分为二级，地表水环境</w:t>
            </w:r>
            <w:r>
              <w:rPr>
                <w:bCs/>
                <w:color w:val="auto"/>
                <w:lang w:eastAsia="zh-CN"/>
                <w:highlight w:val="none"/>
              </w:rPr>
              <w:t>和地下水环境</w:t>
            </w:r>
            <w:r>
              <w:rPr>
                <w:bCs/>
                <w:color w:val="auto"/>
                <w:highlight w:val="none"/>
              </w:rPr>
              <w:t>为简单分析。</w:t>
            </w:r>
            <w:r>
              <w:rPr>
                <w:bCs/>
                <w:color w:val="auto"/>
                <w:lang w:val="en-US" w:eastAsia="zh-CN"/>
                <w:highlight w:val="none"/>
              </w:rPr>
              <w:t>项目最大可信事故为危废间和化验室环境风险物质泄漏蒸发事故对大气环境的环境风险影响，经预测，最不利气象条件下，下风向不同距离处有毒有害物质最大浓度没有出现超过毒性终点浓度-1及毒性终点浓度-2，不会对附近居住区居民产生明显影响。项目无生产废水排放，生活污水经厂区化粪池处理达标后排入石家庄装备制造基地绿源污水处理厂进一步处理，不直接外排地表水体。加强厂区日常监管，</w:t>
            </w:r>
            <w:r>
              <w:rPr>
                <w:bCs/>
                <w:color w:val="auto"/>
                <w:lang w:eastAsia="zh-CN"/>
                <w:highlight w:val="none"/>
              </w:rPr>
              <w:t>本项目在厂区设有事故水池（兼初期雨水收集池），设置的废水收集设施容积满足事故废水暂存的需要，防止事故废水直接排放，落实相应风险事故污水措施的情况下，在发生风险事故时，不会造成携带污染物的废水进入地表水环境，不会对地表水环境产生不利影响。考虑最不利情况，一旦发生消防废水过多，应将废水交由有资质的单位处理不外排，对区域地表水影响较小。</w:t>
            </w:r>
            <w:r>
              <w:rPr>
                <w:bCs/>
                <w:color w:val="auto"/>
                <w:lang w:val="en-US" w:eastAsia="zh-CN"/>
                <w:highlight w:val="none"/>
              </w:rPr>
              <w:t>项目地下水环境风险防控采取源头控制、分区防控及设置事故废水收集池等方面预防地下水环境风险，在严格按照环评制定的防渗分区施工基础上，可有效控制项目厂区地下水渗漏风险，在上述措施实施基础上地下水环境风险可控。</w:t>
            </w:r>
          </w:p>
          <w:p>
            <w:pPr>
              <w:rPr>
                <w:bCs/>
                <w:color w:val="auto"/>
                <w:highlight w:val="none"/>
              </w:rPr>
            </w:pPr>
            <w:r>
              <w:rPr>
                <w:bCs/>
                <w:color w:val="auto"/>
                <w:highlight w:val="none"/>
              </w:rPr>
              <w:t>（</w:t>
            </w:r>
            <w:r>
              <w:rPr>
                <w:rFonts w:hint="eastAsia"/>
                <w:bCs/>
                <w:color w:val="auto"/>
                <w:highlight w:val="none"/>
              </w:rPr>
              <w:t>2</w:t>
            </w:r>
            <w:r>
              <w:rPr>
                <w:bCs/>
                <w:color w:val="auto"/>
                <w:highlight w:val="none"/>
              </w:rPr>
              <w:t>）环境风险识别</w:t>
            </w:r>
            <w:bookmarkEnd w:id="8"/>
            <w:bookmarkEnd w:id="9"/>
          </w:p>
          <w:p>
            <w:pPr>
              <w:rPr>
                <w:color w:val="auto"/>
                <w:highlight w:val="none"/>
              </w:rPr>
            </w:pPr>
            <w:r>
              <w:rPr>
                <w:color w:val="auto"/>
                <w:highlight w:val="none"/>
              </w:rPr>
              <w:t>项目环境风险及环境影响途径识别表见表</w:t>
            </w:r>
            <w:r>
              <w:rPr>
                <w:rFonts w:hint="eastAsia"/>
                <w:color w:val="auto"/>
                <w:highlight w:val="none"/>
              </w:rPr>
              <w:t>4-</w:t>
            </w:r>
            <w:r>
              <w:rPr>
                <w:rFonts w:hint="eastAsia"/>
                <w:color w:val="auto"/>
                <w:lang w:val="en-US" w:eastAsia="zh-CN"/>
                <w:highlight w:val="none"/>
              </w:rPr>
              <w:t>20</w:t>
            </w:r>
            <w:r>
              <w:rPr>
                <w:color w:val="auto"/>
                <w:highlight w:val="none"/>
              </w:rPr>
              <w:t>。</w:t>
            </w:r>
          </w:p>
          <w:p>
            <w:pPr>
              <w:pStyle w:val="40"/>
              <w:rPr>
                <w:color w:val="auto"/>
                <w:highlight w:val="none"/>
              </w:rPr>
            </w:pPr>
            <w:r>
              <w:rPr>
                <w:color w:val="auto"/>
                <w:highlight w:val="none"/>
              </w:rPr>
              <w:t>表</w:t>
            </w:r>
            <w:r>
              <w:rPr>
                <w:rFonts w:hint="eastAsia"/>
                <w:color w:val="auto"/>
                <w:highlight w:val="none"/>
              </w:rPr>
              <w:t>4-</w:t>
            </w:r>
            <w:r>
              <w:rPr>
                <w:rFonts w:hint="eastAsia"/>
                <w:color w:val="auto"/>
                <w:lang w:val="en-US" w:eastAsia="zh-CN"/>
                <w:highlight w:val="none"/>
              </w:rPr>
              <w:t>20</w:t>
            </w:r>
            <w:r>
              <w:rPr>
                <w:color w:val="auto"/>
                <w:highlight w:val="none"/>
              </w:rPr>
              <w:t xml:space="preserve">  项目环境风险及环境影响途径识别表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578"/>
              <w:gridCol w:w="657"/>
              <w:gridCol w:w="1796"/>
              <w:gridCol w:w="1094"/>
              <w:gridCol w:w="1497"/>
              <w:gridCol w:w="1226"/>
              <w:gridCol w:w="1523"/>
            </w:tblGrid>
            <w:tr>
              <w:trPr>
                <w:trHeight w:val="20"/>
              </w:trPr>
              <w:tc>
                <w:tcPr>
                  <w:tcW w:w="345" w:type="pct"/>
                  <w:vAlign w:val="center"/>
                </w:tcPr>
                <w:p>
                  <w:pPr>
                    <w:pStyle w:val="39"/>
                    <w:rPr>
                      <w:color w:val="auto"/>
                      <w:highlight w:val="none"/>
                    </w:rPr>
                  </w:pPr>
                  <w:r>
                    <w:rPr>
                      <w:color w:val="auto"/>
                      <w:highlight w:val="none"/>
                    </w:rPr>
                    <w:t>序号</w:t>
                  </w:r>
                </w:p>
              </w:tc>
              <w:tc>
                <w:tcPr>
                  <w:tcW w:w="392" w:type="pct"/>
                  <w:vAlign w:val="center"/>
                </w:tcPr>
                <w:p>
                  <w:pPr>
                    <w:pStyle w:val="39"/>
                    <w:rPr>
                      <w:color w:val="auto"/>
                      <w:highlight w:val="none"/>
                    </w:rPr>
                  </w:pPr>
                  <w:r>
                    <w:rPr>
                      <w:color w:val="auto"/>
                      <w:highlight w:val="none"/>
                    </w:rPr>
                    <w:t>危险</w:t>
                  </w:r>
                </w:p>
                <w:p>
                  <w:pPr>
                    <w:pStyle w:val="39"/>
                    <w:rPr>
                      <w:color w:val="auto"/>
                      <w:highlight w:val="none"/>
                    </w:rPr>
                  </w:pPr>
                  <w:r>
                    <w:rPr>
                      <w:color w:val="auto"/>
                      <w:highlight w:val="none"/>
                    </w:rPr>
                    <w:t>单元</w:t>
                  </w:r>
                </w:p>
              </w:tc>
              <w:tc>
                <w:tcPr>
                  <w:tcW w:w="1072" w:type="pct"/>
                  <w:vAlign w:val="center"/>
                </w:tcPr>
                <w:p>
                  <w:pPr>
                    <w:pStyle w:val="39"/>
                    <w:rPr>
                      <w:color w:val="auto"/>
                      <w:highlight w:val="none"/>
                    </w:rPr>
                  </w:pPr>
                  <w:r>
                    <w:rPr>
                      <w:color w:val="auto"/>
                      <w:highlight w:val="none"/>
                    </w:rPr>
                    <w:t>风险源</w:t>
                  </w:r>
                </w:p>
              </w:tc>
              <w:tc>
                <w:tcPr>
                  <w:tcW w:w="653" w:type="pct"/>
                  <w:vAlign w:val="center"/>
                </w:tcPr>
                <w:p>
                  <w:pPr>
                    <w:pStyle w:val="39"/>
                    <w:rPr>
                      <w:color w:val="auto"/>
                      <w:highlight w:val="none"/>
                    </w:rPr>
                  </w:pPr>
                  <w:r>
                    <w:rPr>
                      <w:color w:val="auto"/>
                      <w:highlight w:val="none"/>
                    </w:rPr>
                    <w:t>主要危险物质</w:t>
                  </w:r>
                </w:p>
              </w:tc>
              <w:tc>
                <w:tcPr>
                  <w:tcW w:w="894" w:type="pct"/>
                  <w:vAlign w:val="center"/>
                </w:tcPr>
                <w:p>
                  <w:pPr>
                    <w:pStyle w:val="39"/>
                    <w:rPr>
                      <w:color w:val="auto"/>
                      <w:highlight w:val="none"/>
                    </w:rPr>
                  </w:pPr>
                  <w:r>
                    <w:rPr>
                      <w:color w:val="auto"/>
                      <w:highlight w:val="none"/>
                    </w:rPr>
                    <w:t>环境风险类型</w:t>
                  </w:r>
                </w:p>
              </w:tc>
              <w:tc>
                <w:tcPr>
                  <w:tcW w:w="732" w:type="pct"/>
                  <w:vAlign w:val="center"/>
                </w:tcPr>
                <w:p>
                  <w:pPr>
                    <w:pStyle w:val="39"/>
                    <w:rPr>
                      <w:color w:val="auto"/>
                      <w:highlight w:val="none"/>
                    </w:rPr>
                  </w:pPr>
                  <w:r>
                    <w:rPr>
                      <w:color w:val="auto"/>
                      <w:highlight w:val="none"/>
                    </w:rPr>
                    <w:t>环境影响途径</w:t>
                  </w:r>
                </w:p>
              </w:tc>
              <w:tc>
                <w:tcPr>
                  <w:tcW w:w="909" w:type="pct"/>
                  <w:vAlign w:val="center"/>
                </w:tcPr>
                <w:p>
                  <w:pPr>
                    <w:pStyle w:val="39"/>
                    <w:rPr>
                      <w:color w:val="auto"/>
                      <w:highlight w:val="none"/>
                    </w:rPr>
                  </w:pPr>
                  <w:r>
                    <w:rPr>
                      <w:color w:val="auto"/>
                      <w:highlight w:val="none"/>
                    </w:rPr>
                    <w:t>可能受影响的环境敏感目标</w:t>
                  </w:r>
                </w:p>
              </w:tc>
            </w:tr>
            <w:tr>
              <w:trPr>
                <w:trHeight w:val="670"/>
              </w:trPr>
              <w:tc>
                <w:tcPr>
                  <w:tcW w:w="345" w:type="pct"/>
                  <w:vAlign w:val="center"/>
                </w:tcPr>
                <w:p>
                  <w:pPr>
                    <w:pStyle w:val="39"/>
                    <w:rPr>
                      <w:color w:val="auto"/>
                      <w:highlight w:val="none"/>
                    </w:rPr>
                  </w:pPr>
                  <w:r>
                    <w:rPr>
                      <w:color w:val="auto"/>
                      <w:highlight w:val="none"/>
                    </w:rPr>
                    <w:t>1</w:t>
                  </w:r>
                </w:p>
              </w:tc>
              <w:tc>
                <w:tcPr>
                  <w:tcW w:w="392" w:type="pct"/>
                  <w:tcBorders>
                    <w:left w:val="single" w:sz="4" w:space="0" w:color="auto"/>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原料库</w:t>
                  </w:r>
                </w:p>
              </w:tc>
              <w:tc>
                <w:tcPr>
                  <w:tcW w:w="1072" w:type="pct"/>
                  <w:tcBorders>
                    <w:left w:val="single" w:sz="4" w:space="0" w:color="auto"/>
                  </w:tcBorders>
                  <w:vAlign w:val="center"/>
                </w:tcPr>
                <w:p>
                  <w:pPr>
                    <w:pStyle w:val="39"/>
                    <w:rPr>
                      <w:rFonts w:eastAsia="宋体" w:hint="eastAsia"/>
                      <w:color w:val="auto"/>
                      <w:lang w:eastAsia="zh-CN"/>
                      <w:highlight w:val="none"/>
                    </w:rPr>
                  </w:pPr>
                  <w:r>
                    <w:rPr>
                      <w:rFonts w:hint="eastAsia"/>
                      <w:color w:val="auto"/>
                      <w:lang w:val="en-US" w:eastAsia="zh-CN"/>
                      <w:highlight w:val="none"/>
                    </w:rPr>
                    <w:t>原料</w:t>
                  </w:r>
                </w:p>
              </w:tc>
              <w:tc>
                <w:tcPr>
                  <w:tcW w:w="653" w:type="pct"/>
                  <w:tcBorders>
                    <w:left w:val="single" w:sz="4" w:space="0" w:color="auto"/>
                  </w:tcBorders>
                  <w:vAlign w:val="center"/>
                </w:tcPr>
                <w:p>
                  <w:pPr>
                    <w:pStyle w:val="39"/>
                    <w:rPr>
                      <w:rFonts w:eastAsia="宋体" w:hint="eastAsia"/>
                      <w:color w:val="auto"/>
                      <w:lang w:eastAsia="zh-CN"/>
                      <w:highlight w:val="none"/>
                    </w:rPr>
                  </w:pPr>
                  <w:r>
                    <w:rPr>
                      <w:rFonts w:hint="eastAsia"/>
                      <w:color w:val="auto"/>
                      <w:lang w:val="en-US" w:eastAsia="zh-CN"/>
                      <w:highlight w:val="none"/>
                    </w:rPr>
                    <w:t>硫酸铵</w:t>
                  </w:r>
                </w:p>
              </w:tc>
              <w:tc>
                <w:tcPr>
                  <w:tcW w:w="894" w:type="pct"/>
                  <w:tcBorders>
                    <w:left w:val="single" w:sz="4" w:space="0" w:color="auto"/>
                  </w:tcBorders>
                  <w:vAlign w:val="center"/>
                </w:tcPr>
                <w:p>
                  <w:pPr>
                    <w:pStyle w:val="39"/>
                    <w:rPr>
                      <w:color w:val="auto"/>
                      <w:highlight w:val="none"/>
                    </w:rPr>
                  </w:pPr>
                  <w:r>
                    <w:rPr>
                      <w:rFonts w:hint="eastAsia"/>
                      <w:color w:val="auto"/>
                      <w:lang w:val="en-US" w:eastAsia="zh-CN"/>
                      <w:highlight w:val="none"/>
                    </w:rPr>
                    <w:t>与碱类作用释放氨气，遇高温释放有毒气体（氨气）</w:t>
                  </w:r>
                </w:p>
              </w:tc>
              <w:tc>
                <w:tcPr>
                  <w:tcW w:w="732" w:type="pct"/>
                  <w:tcBorders>
                    <w:left w:val="single" w:sz="4" w:space="0" w:color="auto"/>
                  </w:tcBorders>
                  <w:vAlign w:val="center"/>
                </w:tcPr>
                <w:p>
                  <w:pPr>
                    <w:pStyle w:val="39"/>
                    <w:rPr>
                      <w:color w:val="auto"/>
                      <w:highlight w:val="none"/>
                    </w:rPr>
                  </w:pPr>
                  <w:r>
                    <w:rPr>
                      <w:rFonts w:hint="eastAsia"/>
                      <w:color w:val="auto"/>
                      <w:highlight w:val="none"/>
                    </w:rPr>
                    <w:t>大气</w:t>
                  </w:r>
                </w:p>
              </w:tc>
              <w:tc>
                <w:tcPr>
                  <w:tcW w:w="909" w:type="pct"/>
                  <w:vMerge w:val="restart"/>
                  <w:tcBorders>
                    <w:left w:val="single" w:sz="4" w:space="0" w:color="auto"/>
                  </w:tcBorders>
                  <w:vAlign w:val="center"/>
                </w:tcPr>
                <w:p>
                  <w:pPr>
                    <w:pStyle w:val="39"/>
                    <w:rPr>
                      <w:color w:val="auto"/>
                      <w:highlight w:val="none"/>
                    </w:rPr>
                  </w:pPr>
                  <w:r>
                    <w:rPr>
                      <w:color w:val="auto"/>
                      <w:highlight w:val="none"/>
                    </w:rPr>
                    <w:t>企业</w:t>
                  </w:r>
                  <w:r>
                    <w:rPr>
                      <w:rFonts w:hint="eastAsia"/>
                      <w:color w:val="auto"/>
                      <w:highlight w:val="none"/>
                    </w:rPr>
                    <w:t>及周边</w:t>
                  </w:r>
                  <w:r>
                    <w:rPr>
                      <w:color w:val="auto"/>
                      <w:highlight w:val="none"/>
                    </w:rPr>
                    <w:t>职工</w:t>
                  </w:r>
                  <w:r>
                    <w:rPr>
                      <w:rFonts w:hint="eastAsia"/>
                      <w:color w:val="auto"/>
                      <w:highlight w:val="none"/>
                    </w:rPr>
                    <w:t>、周边居民</w:t>
                  </w:r>
                </w:p>
              </w:tc>
            </w:tr>
            <w:tr>
              <w:trPr>
                <w:trHeight w:val="670"/>
              </w:trPr>
              <w:tc>
                <w:tcPr>
                  <w:tcW w:w="345" w:type="pct"/>
                  <w:vAlign w:val="center"/>
                </w:tcPr>
                <w:p>
                  <w:pPr>
                    <w:pStyle w:val="39"/>
                    <w:rPr>
                      <w:rFonts w:eastAsia="宋体" w:hint="eastAsia"/>
                      <w:color w:val="auto"/>
                      <w:lang w:val="en-US" w:eastAsia="zh-CN"/>
                      <w:highlight w:val="none"/>
                    </w:rPr>
                  </w:pPr>
                  <w:r>
                    <w:rPr>
                      <w:rFonts w:hint="eastAsia"/>
                      <w:color w:val="auto"/>
                      <w:lang w:val="en-US" w:eastAsia="zh-CN"/>
                      <w:highlight w:val="none"/>
                    </w:rPr>
                    <w:t>2</w:t>
                  </w:r>
                </w:p>
              </w:tc>
              <w:tc>
                <w:tcPr>
                  <w:tcW w:w="392"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危废间</w:t>
                  </w:r>
                </w:p>
              </w:tc>
              <w:tc>
                <w:tcPr>
                  <w:tcW w:w="1072"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hint="eastAsia"/>
                      <w:color w:val="auto"/>
                      <w:highlight w:val="none"/>
                    </w:rPr>
                    <w:t>危险废物</w:t>
                  </w:r>
                </w:p>
              </w:tc>
              <w:tc>
                <w:tcPr>
                  <w:tcW w:w="653"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highlight w:val="none"/>
                    </w:rPr>
                    <w:t>危险废物</w:t>
                  </w:r>
                </w:p>
              </w:tc>
              <w:tc>
                <w:tcPr>
                  <w:tcW w:w="894"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危险物质泄漏</w:t>
                  </w:r>
                </w:p>
              </w:tc>
              <w:tc>
                <w:tcPr>
                  <w:tcW w:w="732"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highlight w:val="none"/>
                    </w:rPr>
                    <w:t>大气</w:t>
                  </w:r>
                </w:p>
              </w:tc>
              <w:tc>
                <w:tcPr>
                  <w:tcW w:w="909" w:type="pct"/>
                  <w:vMerge/>
                  <w:tcBorders>
                    <w:left w:val="single" w:sz="4" w:space="0" w:color="auto"/>
                  </w:tcBorders>
                  <w:vAlign w:val="center"/>
                </w:tcPr>
                <w:p/>
              </w:tc>
            </w:tr>
            <w:tr>
              <w:trPr>
                <w:trHeight w:val="670"/>
              </w:trPr>
              <w:tc>
                <w:tcPr>
                  <w:tcW w:w="345" w:type="pct"/>
                  <w:vAlign w:val="center"/>
                </w:tcPr>
                <w:p>
                  <w:pPr>
                    <w:pStyle w:val="39"/>
                    <w:rPr>
                      <w:color w:val="auto"/>
                      <w:lang w:val="en-US" w:eastAsia="zh-CN"/>
                      <w:highlight w:val="none"/>
                    </w:rPr>
                  </w:pPr>
                  <w:r>
                    <w:rPr>
                      <w:rFonts w:hint="eastAsia"/>
                      <w:color w:val="auto"/>
                      <w:lang w:val="en-US" w:eastAsia="zh-CN"/>
                      <w:highlight w:val="none"/>
                    </w:rPr>
                    <w:t>3</w:t>
                  </w:r>
                </w:p>
              </w:tc>
              <w:tc>
                <w:tcPr>
                  <w:tcW w:w="392"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天然气管道</w:t>
                  </w:r>
                </w:p>
              </w:tc>
              <w:tc>
                <w:tcPr>
                  <w:tcW w:w="1072"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生产车间</w:t>
                  </w:r>
                </w:p>
              </w:tc>
              <w:tc>
                <w:tcPr>
                  <w:tcW w:w="653"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天然气（甲烷）</w:t>
                  </w:r>
                </w:p>
              </w:tc>
              <w:tc>
                <w:tcPr>
                  <w:tcW w:w="8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ascii="Times New Roman" w:eastAsia="宋体" w:cs="Times New Roman" w:hAnsi="Times New Roman" w:hint="eastAsia"/>
                      <w:color w:val="auto"/>
                      <w:kern w:val="0"/>
                      <w:sz w:val="21"/>
                      <w:szCs w:val="24"/>
                      <w:lang w:val="en-US" w:eastAsia="zh-CN" w:bidi="ar-SA"/>
                      <w:highlight w:val="none"/>
                    </w:rPr>
                    <w:t>危险物质泄漏</w:t>
                  </w:r>
                </w:p>
              </w:tc>
              <w:tc>
                <w:tcPr>
                  <w:tcW w:w="732"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hint="eastAsia"/>
                      <w:color w:val="auto"/>
                      <w:lang w:val="en-US" w:eastAsia="zh-CN"/>
                      <w:highlight w:val="none"/>
                    </w:rPr>
                    <w:t>大气</w:t>
                  </w:r>
                </w:p>
              </w:tc>
              <w:tc>
                <w:tcPr>
                  <w:tcW w:w="909" w:type="pct"/>
                  <w:vMerge/>
                  <w:tcBorders>
                    <w:left w:val="single" w:sz="4" w:space="0" w:color="auto"/>
                  </w:tcBorders>
                  <w:vAlign w:val="center"/>
                </w:tcPr>
                <w:p/>
              </w:tc>
            </w:tr>
            <w:tr>
              <w:trPr>
                <w:trHeight w:val="670"/>
              </w:trPr>
              <w:tc>
                <w:tcPr>
                  <w:tcW w:w="345" w:type="pct"/>
                  <w:vAlign w:val="center"/>
                </w:tcPr>
                <w:p>
                  <w:pPr>
                    <w:pStyle w:val="39"/>
                    <w:rPr>
                      <w:color w:val="auto"/>
                      <w:lang w:val="en-US" w:eastAsia="zh-CN"/>
                      <w:highlight w:val="none"/>
                    </w:rPr>
                  </w:pPr>
                  <w:r>
                    <w:rPr>
                      <w:rFonts w:hint="eastAsia"/>
                      <w:color w:val="auto"/>
                      <w:lang w:val="en-US" w:eastAsia="zh-CN"/>
                      <w:highlight w:val="none"/>
                    </w:rPr>
                    <w:t>4</w:t>
                  </w:r>
                </w:p>
              </w:tc>
              <w:tc>
                <w:tcPr>
                  <w:tcW w:w="392"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化验室</w:t>
                  </w:r>
                </w:p>
              </w:tc>
              <w:tc>
                <w:tcPr>
                  <w:tcW w:w="1072"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化学试剂</w:t>
                  </w:r>
                </w:p>
              </w:tc>
              <w:tc>
                <w:tcPr>
                  <w:tcW w:w="653"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氢氧化钠、盐酸、硫酸、硝酸、丙酮</w:t>
                  </w:r>
                </w:p>
              </w:tc>
              <w:tc>
                <w:tcPr>
                  <w:tcW w:w="894"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ascii="Times New Roman" w:eastAsia="宋体" w:cs="Times New Roman" w:hAnsi="Times New Roman" w:hint="eastAsia"/>
                      <w:color w:val="auto"/>
                      <w:kern w:val="0"/>
                      <w:sz w:val="21"/>
                      <w:szCs w:val="24"/>
                      <w:lang w:val="en-US" w:eastAsia="zh-CN" w:bidi="ar-SA"/>
                      <w:highlight w:val="none"/>
                    </w:rPr>
                    <w:t>危险物质泄漏</w:t>
                  </w:r>
                </w:p>
              </w:tc>
              <w:tc>
                <w:tcPr>
                  <w:tcW w:w="732"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lang w:val="en-US" w:eastAsia="zh-CN"/>
                      <w:highlight w:val="none"/>
                    </w:rPr>
                    <w:t>大气</w:t>
                  </w:r>
                </w:p>
              </w:tc>
              <w:tc>
                <w:tcPr>
                  <w:tcW w:w="909" w:type="pct"/>
                  <w:vMerge/>
                  <w:tcBorders>
                    <w:left w:val="single" w:sz="4" w:space="0" w:color="auto"/>
                  </w:tcBorders>
                  <w:vAlign w:val="center"/>
                </w:tcPr>
                <w:p/>
              </w:tc>
            </w:tr>
          </w:tbl>
          <w:p>
            <w:pPr>
              <w:tabs>
                <w:tab w:val="left" w:pos="5040"/>
              </w:tabs>
              <w:rPr>
                <w:color w:val="auto"/>
                <w:highlight w:val="none"/>
              </w:rPr>
            </w:pPr>
            <w:r>
              <w:rPr>
                <w:color w:val="auto"/>
                <w:highlight w:val="none"/>
              </w:rPr>
              <w:t>（</w:t>
            </w:r>
            <w:r>
              <w:rPr>
                <w:rFonts w:hint="eastAsia"/>
                <w:color w:val="auto"/>
                <w:highlight w:val="none"/>
              </w:rPr>
              <w:t>3</w:t>
            </w:r>
            <w:r>
              <w:rPr>
                <w:color w:val="auto"/>
                <w:highlight w:val="none"/>
              </w:rPr>
              <w:t>）环境风险分析</w:t>
            </w:r>
          </w:p>
          <w:p>
            <w:pPr>
              <w:rPr>
                <w:color w:val="auto"/>
              </w:rPr>
            </w:pPr>
            <w:r>
              <w:rPr>
                <w:color w:val="auto"/>
              </w:rPr>
              <w:t>本项目</w:t>
            </w:r>
            <w:r>
              <w:rPr>
                <w:rFonts w:hint="eastAsia"/>
                <w:color w:val="auto"/>
              </w:rPr>
              <w:t>危险废物包装容器破损或泄漏，有可能经土壤渗入地下水，对土壤和地下水造成一定的影响。</w:t>
            </w:r>
            <w:r>
              <w:rPr>
                <w:rFonts w:hint="eastAsia"/>
                <w:color w:val="auto"/>
                <w:lang w:val="en-US" w:eastAsia="zh-CN"/>
              </w:rPr>
              <w:t>项目天然气泄漏后</w:t>
            </w:r>
            <w:r>
              <w:rPr>
                <w:rFonts w:hint="eastAsia"/>
                <w:color w:val="auto"/>
              </w:rPr>
              <w:t>遇明火</w:t>
            </w:r>
            <w:r>
              <w:rPr>
                <w:rFonts w:hint="eastAsia"/>
                <w:color w:val="auto"/>
                <w:lang w:val="en-US" w:eastAsia="zh-CN"/>
              </w:rPr>
              <w:t>发生火灾爆炸事故时伴生污染物会对大气环境造成影响，事故会造成局部大气污染。</w:t>
            </w:r>
          </w:p>
          <w:p>
            <w:pPr>
              <w:rPr>
                <w:color w:val="auto"/>
              </w:rPr>
            </w:pPr>
            <w:r>
              <w:rPr>
                <w:rFonts w:hint="eastAsia"/>
                <w:color w:val="auto"/>
              </w:rPr>
              <w:t>所以，发生事故后，应立即采取相应的应急预案，对周围受影响的人员进行疏散，避免人员伤亡。本项目不会发生毒性物质扩散环境风险事故，故不会对附近居住区居民产生明显影响。</w:t>
            </w:r>
          </w:p>
          <w:p>
            <w:pPr>
              <w:tabs>
                <w:tab w:val="left" w:pos="5040"/>
              </w:tabs>
              <w:rPr>
                <w:rFonts w:ascii="宋体" w:cs="宋体" w:hAnsi="宋体" w:hint="eastAsia"/>
                <w:bCs/>
                <w:color w:val="auto"/>
              </w:rPr>
            </w:pPr>
            <w:r>
              <w:rPr>
                <w:color w:val="auto"/>
              </w:rPr>
              <w:t>（</w:t>
            </w:r>
            <w:r>
              <w:rPr>
                <w:rFonts w:hint="eastAsia"/>
                <w:color w:val="auto"/>
              </w:rPr>
              <w:t>4</w:t>
            </w:r>
            <w:r>
              <w:rPr>
                <w:color w:val="auto"/>
              </w:rPr>
              <w:t>）环境风险</w:t>
            </w:r>
            <w:r>
              <w:rPr>
                <w:rFonts w:hint="eastAsia"/>
                <w:color w:val="auto"/>
              </w:rPr>
              <w:t>防范</w:t>
            </w:r>
            <w:r>
              <w:rPr>
                <w:color w:val="auto"/>
              </w:rPr>
              <w:t>措施</w:t>
            </w:r>
            <w:bookmarkStart w:id="10" w:name="_Toc183922775"/>
            <w:bookmarkStart w:id="11" w:name="_Toc290721474"/>
            <w:bookmarkStart w:id="12" w:name="_Toc181784344"/>
          </w:p>
          <w:p>
            <w:pPr>
              <w:rPr>
                <w:rFonts w:ascii="Times New Roman" w:eastAsia="宋体" w:cs="Times New Roman" w:hAnsi="Times New Roman" w:hint="eastAsia"/>
                <w:color w:val="auto"/>
              </w:rPr>
            </w:pPr>
            <w:r>
              <w:rPr>
                <w:rFonts w:ascii="宋体" w:cs="宋体" w:hAnsi="宋体" w:hint="eastAsia"/>
                <w:bCs/>
                <w:color w:val="auto"/>
              </w:rPr>
              <w:t>为使环境</w:t>
            </w:r>
            <w:r>
              <w:rPr>
                <w:rFonts w:ascii="Times New Roman" w:eastAsia="宋体" w:cs="Times New Roman" w:hAnsi="Times New Roman" w:hint="eastAsia"/>
                <w:color w:val="auto"/>
              </w:rPr>
              <w:t>风险减小到最低限度，必须加强劳动安全卫生管理，制定完善、有效的安全防范措施，尽可能降低拟建工程环境风险事故发生的概率。</w:t>
            </w:r>
          </w:p>
          <w:p>
            <w:pPr>
              <w:rPr>
                <w:rFonts w:ascii="Times New Roman" w:eastAsia="宋体" w:cs="Times New Roman" w:hAnsi="Times New Roman" w:hint="eastAsia"/>
                <w:color w:val="auto"/>
              </w:rPr>
            </w:pPr>
            <w:r>
              <w:rPr>
                <w:rFonts w:ascii="Times New Roman" w:eastAsia="宋体" w:cs="Times New Roman" w:hAnsi="Times New Roman" w:hint="eastAsia"/>
                <w:color w:val="auto"/>
              </w:rPr>
              <w:t>①事故发现应急处理措施</w:t>
            </w:r>
          </w:p>
          <w:p>
            <w:pPr>
              <w:rPr>
                <w:bCs/>
                <w:color w:val="auto"/>
              </w:rPr>
            </w:pPr>
            <w:r>
              <w:rPr>
                <w:bCs/>
                <w:color w:val="auto"/>
              </w:rPr>
              <w:t>现场操作人员巡回检查时发现</w:t>
            </w:r>
            <w:r>
              <w:rPr>
                <w:rFonts w:hint="eastAsia"/>
                <w:bCs/>
                <w:color w:val="auto"/>
              </w:rPr>
              <w:t>泄漏</w:t>
            </w:r>
            <w:r>
              <w:rPr>
                <w:bCs/>
                <w:color w:val="auto"/>
              </w:rPr>
              <w:t>时，应初步判断泄漏（散落）位置、泄漏（散落）设备或管道、泄漏（散落）量、危险性等情况。</w:t>
            </w:r>
          </w:p>
          <w:p>
            <w:pPr>
              <w:rPr>
                <w:bCs/>
                <w:color w:val="auto"/>
              </w:rPr>
            </w:pPr>
            <w:r>
              <w:rPr>
                <w:bCs/>
                <w:color w:val="auto"/>
              </w:rPr>
              <w:t>容器破裂发生泄漏，采取以下应急处理措施：1）隔离泄漏污染区，限制出入，现场禁带火种；2）对破损的</w:t>
            </w:r>
            <w:r>
              <w:rPr>
                <w:rFonts w:hint="eastAsia"/>
                <w:bCs/>
                <w:color w:val="auto"/>
              </w:rPr>
              <w:t>危险废物容器</w:t>
            </w:r>
            <w:r>
              <w:rPr>
                <w:bCs/>
                <w:color w:val="auto"/>
              </w:rPr>
              <w:t>进行止漏处理，同时对泄漏的</w:t>
            </w:r>
            <w:r>
              <w:rPr>
                <w:rFonts w:hint="eastAsia"/>
                <w:bCs/>
                <w:color w:val="auto"/>
              </w:rPr>
              <w:t>危险废物</w:t>
            </w:r>
            <w:r>
              <w:rPr>
                <w:bCs/>
                <w:color w:val="auto"/>
              </w:rPr>
              <w:t>收集至容器内；3）不能收集的用消防砂进行现场掩埋覆盖吸附，然后移入存放器具内；4）及时将未泄漏的周边</w:t>
            </w:r>
            <w:r>
              <w:rPr>
                <w:rFonts w:hint="eastAsia"/>
                <w:bCs/>
                <w:color w:val="auto"/>
              </w:rPr>
              <w:t>物品</w:t>
            </w:r>
            <w:r>
              <w:rPr>
                <w:bCs/>
                <w:color w:val="auto"/>
              </w:rPr>
              <w:t>转移于安全地带，以防污染扩大。</w:t>
            </w:r>
          </w:p>
          <w:p>
            <w:pPr>
              <w:rPr>
                <w:bCs/>
                <w:color w:val="auto"/>
              </w:rPr>
            </w:pPr>
            <w:bookmarkEnd w:id="10"/>
            <w:bookmarkEnd w:id="11"/>
            <w:bookmarkEnd w:id="12"/>
            <w:r>
              <w:rPr>
                <w:rFonts w:ascii="宋体" w:cs="宋体" w:hAnsi="宋体" w:hint="eastAsia"/>
                <w:bCs/>
                <w:color w:val="auto"/>
              </w:rPr>
              <w:t>②</w:t>
            </w:r>
            <w:r>
              <w:rPr>
                <w:bCs/>
                <w:color w:val="auto"/>
              </w:rPr>
              <w:t>危废间防范措施</w:t>
            </w:r>
          </w:p>
          <w:p>
            <w:pPr>
              <w:rPr>
                <w:color w:val="auto"/>
              </w:rPr>
            </w:pPr>
            <w:r>
              <w:rPr>
                <w:bCs/>
                <w:color w:val="auto"/>
              </w:rPr>
              <w:t>a项目产生的危险废物使用密闭桶盛装，暂存于危废间指定区域内，周</w:t>
            </w:r>
            <w:r>
              <w:rPr>
                <w:color w:val="auto"/>
              </w:rPr>
              <w:t>围做围堰，危废间地面做好防渗，四周设0.1m以上溢流围堰，防渗要求保证渗透系数小于1×10</w:t>
            </w:r>
            <w:r>
              <w:rPr>
                <w:rFonts w:hint="eastAsia"/>
                <w:color w:val="auto"/>
                <w:vertAlign w:val="superscript"/>
              </w:rPr>
              <w:t>-</w:t>
            </w:r>
            <w:r>
              <w:rPr>
                <w:color w:val="auto"/>
                <w:vertAlign w:val="superscript"/>
              </w:rPr>
              <w:t>10</w:t>
            </w:r>
            <w:r>
              <w:rPr>
                <w:color w:val="auto"/>
              </w:rPr>
              <w:t>cm/s。</w:t>
            </w:r>
          </w:p>
          <w:p>
            <w:pPr>
              <w:rPr>
                <w:color w:val="auto"/>
              </w:rPr>
            </w:pPr>
            <w:r>
              <w:rPr>
                <w:color w:val="auto"/>
              </w:rPr>
              <w:t>b危废间必须由专人管理，双人双锁，其他人未经允许不得进入库内。</w:t>
            </w:r>
          </w:p>
          <w:p>
            <w:pPr>
              <w:rPr>
                <w:color w:val="auto"/>
              </w:rPr>
            </w:pPr>
            <w:r>
              <w:rPr>
                <w:rFonts w:hint="eastAsia"/>
                <w:color w:val="auto"/>
                <w:lang w:val="en-US" w:eastAsia="zh-CN"/>
              </w:rPr>
              <w:t>c</w:t>
            </w:r>
            <w:r>
              <w:rPr>
                <w:color w:val="auto"/>
              </w:rPr>
              <w:t>危险废物贮存方式要符合国家对安全、消防的标准要求，设置明显的安全警示标志。</w:t>
            </w:r>
          </w:p>
          <w:p>
            <w:pPr>
              <w:rPr>
                <w:color w:val="auto"/>
              </w:rPr>
            </w:pPr>
            <w:r>
              <w:rPr>
                <w:color w:val="auto"/>
              </w:rPr>
              <w:t>d准备相应的消防应急物资，砂土、灭火器、消防栓等配备齐全。</w:t>
            </w:r>
          </w:p>
          <w:p>
            <w:pPr>
              <w:rPr>
                <w:color w:val="auto"/>
              </w:rPr>
            </w:pPr>
            <w:r>
              <w:rPr>
                <w:color w:val="auto"/>
              </w:rPr>
              <w:t>e安排专人对环保设施和生产设施进行日常维护，如发现问题及时上报维修，必要时要停产检修，确保污染物达标排放。</w:t>
            </w:r>
          </w:p>
          <w:p>
            <w:pPr>
              <w:rPr>
                <w:bCs/>
                <w:color w:val="auto"/>
              </w:rPr>
            </w:pPr>
            <w:r>
              <w:rPr>
                <w:rFonts w:hint="eastAsia"/>
                <w:bCs/>
                <w:color w:val="auto"/>
              </w:rPr>
              <w:t>（5）环境风险应急预案</w:t>
            </w:r>
          </w:p>
          <w:p>
            <w:pPr>
              <w:rPr>
                <w:color w:val="auto"/>
              </w:rPr>
            </w:pPr>
            <w:r>
              <w:rPr>
                <w:color w:val="auto"/>
              </w:rPr>
              <w:t>事故应急预案是在发生事故后，按照预先</w:t>
            </w:r>
            <w:r>
              <w:rPr>
                <w:rFonts w:hint="eastAsia"/>
                <w:color w:val="auto"/>
              </w:rPr>
              <w:t>制定</w:t>
            </w:r>
            <w:r>
              <w:rPr>
                <w:color w:val="auto"/>
              </w:rPr>
              <w:t>的方案</w:t>
            </w:r>
            <w:r>
              <w:rPr>
                <w:rFonts w:hint="eastAsia"/>
                <w:color w:val="auto"/>
              </w:rPr>
              <w:t>采取</w:t>
            </w:r>
            <w:r>
              <w:rPr>
                <w:color w:val="auto"/>
              </w:rPr>
              <w:t>一系列的措施，将事故的损失降低</w:t>
            </w:r>
            <w:r>
              <w:rPr>
                <w:rFonts w:hint="eastAsia"/>
                <w:color w:val="auto"/>
              </w:rPr>
              <w:t>到最低程度</w:t>
            </w:r>
            <w:r>
              <w:rPr>
                <w:color w:val="auto"/>
              </w:rPr>
              <w:t>。本</w:t>
            </w:r>
            <w:r>
              <w:rPr>
                <w:rFonts w:hint="eastAsia"/>
                <w:color w:val="auto"/>
              </w:rPr>
              <w:t>项目</w:t>
            </w:r>
            <w:r>
              <w:rPr>
                <w:color w:val="auto"/>
              </w:rPr>
              <w:t>应急预案重点如下：</w:t>
            </w:r>
          </w:p>
          <w:p>
            <w:pPr>
              <w:rPr>
                <w:color w:val="auto"/>
              </w:rPr>
            </w:pPr>
            <w:r>
              <w:rPr>
                <w:color w:val="auto"/>
              </w:rPr>
              <w:t>A</w:t>
            </w:r>
            <w:r>
              <w:rPr>
                <w:rFonts w:hint="eastAsia"/>
                <w:color w:val="auto"/>
              </w:rPr>
              <w:t>.</w:t>
            </w:r>
            <w:r>
              <w:rPr>
                <w:color w:val="auto"/>
              </w:rPr>
              <w:t>必须制定应急计划、方案和程序</w:t>
            </w:r>
          </w:p>
          <w:p>
            <w:pPr>
              <w:rPr>
                <w:color w:val="auto"/>
              </w:rPr>
            </w:pPr>
            <w:r>
              <w:rPr>
                <w:color w:val="auto"/>
              </w:rPr>
              <w:t>为了使突发事故发生后能有条不紊的处理事故，在工程投产之前就应制定好事故应急计划和方案，以备在发生事故后有备无患。</w:t>
            </w:r>
          </w:p>
          <w:p>
            <w:pPr>
              <w:rPr>
                <w:color w:val="auto"/>
              </w:rPr>
            </w:pPr>
            <w:r>
              <w:rPr>
                <w:color w:val="auto"/>
              </w:rPr>
              <w:t>B</w:t>
            </w:r>
            <w:r>
              <w:rPr>
                <w:rFonts w:hint="eastAsia"/>
                <w:color w:val="auto"/>
              </w:rPr>
              <w:t>.</w:t>
            </w:r>
            <w:r>
              <w:rPr>
                <w:color w:val="auto"/>
              </w:rPr>
              <w:t>成立重大事故</w:t>
            </w:r>
            <w:r>
              <w:rPr>
                <w:rFonts w:hint="eastAsia"/>
                <w:color w:val="auto"/>
              </w:rPr>
              <w:t>应急救援</w:t>
            </w:r>
            <w:r>
              <w:rPr>
                <w:color w:val="auto"/>
              </w:rPr>
              <w:t>小组</w:t>
            </w:r>
          </w:p>
          <w:p>
            <w:pPr>
              <w:rPr>
                <w:color w:val="auto"/>
              </w:rPr>
            </w:pPr>
            <w:r>
              <w:rPr>
                <w:color w:val="auto"/>
              </w:rPr>
              <w:t>成立由厂长、分管厂长及生产、安全、环保、保卫等部门组成的重大事故应急救援小组，一旦发生事故，救援小组便及时</w:t>
            </w:r>
            <w:r>
              <w:rPr>
                <w:rFonts w:hint="eastAsia"/>
                <w:color w:val="auto"/>
              </w:rPr>
              <w:t>履</w:t>
            </w:r>
            <w:r>
              <w:rPr>
                <w:color w:val="auto"/>
              </w:rPr>
              <w:t>行其相应的职责，处理事故。</w:t>
            </w:r>
          </w:p>
          <w:p>
            <w:pPr>
              <w:rPr>
                <w:color w:val="auto"/>
              </w:rPr>
            </w:pPr>
            <w:r>
              <w:rPr>
                <w:color w:val="auto"/>
              </w:rPr>
              <w:t>C</w:t>
            </w:r>
            <w:r>
              <w:rPr>
                <w:rFonts w:hint="eastAsia"/>
                <w:color w:val="auto"/>
              </w:rPr>
              <w:t>.</w:t>
            </w:r>
            <w:r>
              <w:rPr>
                <w:color w:val="auto"/>
              </w:rPr>
              <w:t>事故发生后应采取紧急隔离和疏散措施</w:t>
            </w:r>
          </w:p>
          <w:p>
            <w:pPr>
              <w:rPr>
                <w:color w:val="auto"/>
              </w:rPr>
            </w:pPr>
            <w:r>
              <w:rPr>
                <w:color w:val="auto"/>
              </w:rPr>
              <w:t>一旦发生突发事故，应及时发出警报，并在救援小组的领导下，紧急隔离危险物品，切断电源，疏散人群，抢救受害人员。</w:t>
            </w:r>
          </w:p>
          <w:p>
            <w:pPr>
              <w:rPr>
                <w:color w:val="auto"/>
              </w:rPr>
            </w:pPr>
            <w:r>
              <w:rPr>
                <w:color w:val="auto"/>
              </w:rPr>
              <w:t>（</w:t>
            </w:r>
            <w:r>
              <w:rPr>
                <w:rFonts w:hint="eastAsia"/>
                <w:color w:val="auto"/>
              </w:rPr>
              <w:t>6</w:t>
            </w:r>
            <w:r>
              <w:rPr>
                <w:color w:val="auto"/>
              </w:rPr>
              <w:t>）突发环境事件应急预案</w:t>
            </w:r>
          </w:p>
          <w:p>
            <w:pPr>
              <w:rPr>
                <w:color w:val="auto"/>
              </w:rPr>
            </w:pPr>
            <w:r>
              <w:rPr>
                <w:color w:val="auto"/>
              </w:rPr>
              <w:t>制定应急预案的</w:t>
            </w:r>
            <w:r>
              <w:rPr>
                <w:rFonts w:hint="eastAsia"/>
                <w:color w:val="auto"/>
              </w:rPr>
              <w:t>目的是</w:t>
            </w:r>
            <w:r>
              <w:rPr>
                <w:color w:val="auto"/>
              </w:rPr>
              <w:t>在发生风险事故时，能以最快的速度发挥最大的效能，有序的实施救援，尽快控制事态的发展，降低事故造成的危害，减少事故造成的损失。</w:t>
            </w:r>
          </w:p>
          <w:p>
            <w:pPr>
              <w:rPr>
                <w:color w:val="auto"/>
              </w:rPr>
            </w:pPr>
            <w:r>
              <w:rPr>
                <w:rFonts w:hint="eastAsia"/>
                <w:color w:val="auto"/>
                <w:szCs w:val="32"/>
              </w:rPr>
              <w:t>本项目</w:t>
            </w:r>
            <w:r>
              <w:rPr>
                <w:color w:val="auto"/>
              </w:rPr>
              <w:t>应依据</w:t>
            </w:r>
            <w:r>
              <w:rPr>
                <w:rFonts w:hint="eastAsia"/>
                <w:color w:val="auto"/>
              </w:rPr>
              <w:t>栾城区</w:t>
            </w:r>
            <w:r>
              <w:rPr>
                <w:color w:val="auto"/>
              </w:rPr>
              <w:t>突发环境事件应急预案，根据《建设项目环境风险评价技术导则》（HJ169-2018）的要求，提出突发环境事故应急预案纲要，供企业及管理部门参考。企业应在安全管理中具体化和完善突发环境事故应急救援预案，并在地方环保管理部门备案。</w:t>
            </w:r>
          </w:p>
          <w:p>
            <w:pPr>
              <w:rPr>
                <w:color w:val="auto"/>
              </w:rPr>
            </w:pPr>
            <w:r>
              <w:rPr>
                <w:color w:val="auto"/>
              </w:rPr>
              <w:fldChar w:fldCharType="begin"/>
            </w:r>
            <w:r>
              <w:rPr>
                <w:color w:val="auto"/>
              </w:rPr>
              <w:instrText xml:space="preserve"> = 1 \* GB3 \* MERGEFORMAT </w:instrText>
            </w:r>
            <w:r>
              <w:rPr>
                <w:color w:val="auto"/>
              </w:rPr>
              <w:fldChar w:fldCharType="separate"/>
            </w:r>
            <w:r>
              <w:rPr>
                <w:rFonts w:ascii="宋体" w:cs="宋体" w:hAnsi="宋体" w:hint="eastAsia"/>
                <w:color w:val="auto"/>
              </w:rPr>
              <w:t>①</w:t>
            </w:r>
            <w:r>
              <w:rPr>
                <w:color w:val="auto"/>
              </w:rPr>
              <w:fldChar w:fldCharType="end"/>
            </w:r>
            <w:r>
              <w:rPr>
                <w:color w:val="auto"/>
              </w:rPr>
              <w:t>预案编制程序</w:t>
            </w:r>
          </w:p>
          <w:p>
            <w:pPr>
              <w:rPr>
                <w:color w:val="auto"/>
              </w:rPr>
            </w:pPr>
            <w:r>
              <w:rPr>
                <w:color w:val="auto"/>
              </w:rPr>
              <w:t>突发环境事故应急预案编制程序，见图</w:t>
            </w:r>
            <w:r>
              <w:rPr>
                <w:rFonts w:hint="eastAsia"/>
                <w:color w:val="auto"/>
              </w:rPr>
              <w:t>4-3</w:t>
            </w:r>
            <w:r>
              <w:rPr>
                <w:color w:val="auto"/>
              </w:rPr>
              <w:t>。</w:t>
            </w:r>
          </w:p>
          <w:p>
            <w:pPr>
              <w:spacing w:line="240" w:lineRule="auto"/>
              <w:ind w:firstLineChars="0" w:firstLine="0"/>
              <w:jc w:val="center"/>
              <w:rPr>
                <w:color w:val="auto"/>
              </w:rPr>
            </w:pPr>
            <w:r>
              <w:rPr>
                <w:color w:val="auto"/>
              </w:rPr>
              <w:drawing>
                <wp:inline distT="0" distB="0" distL="114300" distR="114300">
                  <wp:extent cx="4436745" cy="2667000"/>
                  <wp:effectExtent l="0" t="0" r="1" b="0"/>
                  <wp:docPr id="1079" name="图片 4937"/>
                  <wp:cNvGraphicFramePr>
                    <a:graphicFrameLocks noChangeAspect="1"/>
                  </wp:cNvGraphicFramePr>
                  <a:graphic>
                    <a:graphicData uri="http://schemas.openxmlformats.org/drawingml/2006/picture">
                      <pic:pic>
                        <pic:nvPicPr>
                          <pic:cNvPr id="535" name="图片 4937 535"/>
                          <pic:cNvPicPr/>
                        </pic:nvPicPr>
                        <pic:blipFill>
                          <a:blip r:embed="rId54"/>
                          <a:srcRect t="3413" b="3833"/>
                          <a:stretch>
                            <a:fillRect/>
                          </a:stretch>
                        </pic:blipFill>
                        <pic:spPr>
                          <a:xfrm rot="0">
                            <a:off x="0" y="0"/>
                            <a:ext cx="4436745" cy="2667000"/>
                          </a:xfrm>
                          <a:prstGeom prst="rect"/>
                          <a:noFill/>
                          <a:ln cmpd="sng" cap="flat">
                            <a:noFill/>
                            <a:prstDash val="solid"/>
                            <a:round/>
                          </a:ln>
                        </pic:spPr>
                      </pic:pic>
                    </a:graphicData>
                  </a:graphic>
                </wp:inline>
              </w:drawing>
            </w:r>
          </w:p>
          <w:p>
            <w:pPr>
              <w:spacing w:line="240" w:lineRule="auto"/>
              <w:jc w:val="center"/>
              <w:rPr>
                <w:b/>
                <w:color w:val="auto"/>
              </w:rPr>
            </w:pPr>
            <w:r>
              <w:rPr>
                <w:b/>
                <w:color w:val="auto"/>
              </w:rPr>
              <w:t>图</w:t>
            </w:r>
            <w:r>
              <w:rPr>
                <w:rFonts w:hint="eastAsia"/>
                <w:b/>
                <w:color w:val="auto"/>
              </w:rPr>
              <w:t>4-3</w:t>
            </w:r>
            <w:r>
              <w:rPr>
                <w:b/>
                <w:color w:val="auto"/>
              </w:rPr>
              <w:t xml:space="preserve">  </w:t>
            </w:r>
            <w:r>
              <w:rPr>
                <w:rFonts w:hint="eastAsia"/>
                <w:b/>
                <w:color w:val="auto"/>
              </w:rPr>
              <w:t>突发环境事故应急预案编制工作程序图</w:t>
            </w:r>
          </w:p>
          <w:p>
            <w:pPr>
              <w:rPr>
                <w:color w:val="auto"/>
              </w:rPr>
            </w:pPr>
            <w:r>
              <w:rPr>
                <w:color w:val="auto"/>
              </w:rPr>
              <w:fldChar w:fldCharType="begin"/>
            </w:r>
            <w:r>
              <w:rPr>
                <w:color w:val="auto"/>
              </w:rPr>
              <w:instrText xml:space="preserve"> = 2 \* GB3 \* MERGEFORMAT </w:instrText>
            </w:r>
            <w:r>
              <w:rPr>
                <w:color w:val="auto"/>
              </w:rPr>
              <w:fldChar w:fldCharType="separate"/>
            </w:r>
            <w:r>
              <w:rPr>
                <w:rFonts w:ascii="宋体" w:cs="宋体" w:hAnsi="宋体" w:hint="eastAsia"/>
                <w:color w:val="auto"/>
              </w:rPr>
              <w:t>②</w:t>
            </w:r>
            <w:r>
              <w:rPr>
                <w:color w:val="auto"/>
              </w:rPr>
              <w:fldChar w:fldCharType="end"/>
            </w:r>
            <w:r>
              <w:rPr>
                <w:color w:val="auto"/>
              </w:rPr>
              <w:t>应急救援预案纲要</w:t>
            </w:r>
          </w:p>
          <w:p>
            <w:pPr>
              <w:rPr>
                <w:color w:val="auto"/>
              </w:rPr>
            </w:pPr>
            <w:r>
              <w:rPr>
                <w:color w:val="auto"/>
              </w:rPr>
              <w:t>考虑事故触发具有不确定性，厂内环境风险防控系统应纳入区域环境风险防控体系，明确风险防控设施、管理的衔接要求。企业应与地方政府有关部门协调一致、统筹考虑，建立协调统一的环境风险应急体系，企业的事故应与开发区、地方政府的事故应急网络联网。当发生事故，根据应急预案分级响应条件、区域联动原则，启动相应的预案分级响应措施，实现厂内与政府环境风险防控设施及管理有效联动，有效防控环境风险。</w:t>
            </w:r>
          </w:p>
          <w:p>
            <w:pPr>
              <w:rPr>
                <w:color w:val="auto"/>
              </w:rPr>
            </w:pPr>
            <w:r>
              <w:rPr>
                <w:color w:val="auto"/>
              </w:rPr>
              <w:fldChar w:fldCharType="begin"/>
            </w:r>
            <w:r>
              <w:rPr>
                <w:color w:val="auto"/>
              </w:rPr>
              <w:instrText xml:space="preserve"> = 3 \* GB3 \* MERGEFORMAT </w:instrText>
            </w:r>
            <w:r>
              <w:rPr>
                <w:color w:val="auto"/>
              </w:rPr>
              <w:fldChar w:fldCharType="separate"/>
            </w:r>
            <w:r>
              <w:rPr>
                <w:rFonts w:ascii="宋体" w:cs="宋体" w:hAnsi="宋体" w:hint="eastAsia"/>
                <w:color w:val="auto"/>
              </w:rPr>
              <w:t>③</w:t>
            </w:r>
            <w:r>
              <w:rPr>
                <w:color w:val="auto"/>
              </w:rPr>
              <w:fldChar w:fldCharType="end"/>
            </w:r>
            <w:r>
              <w:rPr>
                <w:color w:val="auto"/>
              </w:rPr>
              <w:t>应急预案的主要内容</w:t>
            </w:r>
          </w:p>
          <w:p>
            <w:pPr>
              <w:rPr>
                <w:color w:val="auto"/>
              </w:rPr>
            </w:pPr>
            <w:r>
              <w:rPr>
                <w:color w:val="auto"/>
              </w:rPr>
              <w:t>环境风险应急预案的编制，重点应考虑以下几个方面：按照国家、地方和相关部门要求，提出企业突发环境事件应急预案编制或完善的原则要求，包括预案适用范围、环境事件分类与分级、组织机构与职责、监控和预警、应急响应、应急保障、善后处置、预案管理与演练等内容。</w:t>
            </w:r>
          </w:p>
          <w:p>
            <w:pPr>
              <w:rPr>
                <w:color w:val="auto"/>
              </w:rPr>
            </w:pPr>
            <w:r>
              <w:rPr>
                <w:color w:val="auto"/>
              </w:rPr>
              <w:t>同时提供必要的附件：包括内部应急人员的职责、姓名、电话清单，外部联系电话、人员、电话（政府有关部门、救援单位、专家、环境保护目标等），单位所处地理位置、区域位置及周边关系图，本单位及周边区域人员撤离路线，应急设施（备）布置图等。</w:t>
            </w:r>
          </w:p>
          <w:p>
            <w:pPr>
              <w:rPr>
                <w:color w:val="auto"/>
              </w:rPr>
            </w:pPr>
            <w:r>
              <w:rPr>
                <w:color w:val="auto"/>
              </w:rPr>
              <w:t>具体突发环境事故应急预案编写内容及要求，见</w:t>
            </w:r>
            <w:r>
              <w:rPr>
                <w:rFonts w:hint="eastAsia"/>
                <w:color w:val="auto"/>
              </w:rPr>
              <w:t>下</w:t>
            </w:r>
            <w:r>
              <w:rPr>
                <w:color w:val="auto"/>
              </w:rPr>
              <w:t>表。</w:t>
            </w:r>
          </w:p>
          <w:p>
            <w:pPr>
              <w:pStyle w:val="40"/>
              <w:rPr>
                <w:color w:val="auto"/>
              </w:rPr>
            </w:pPr>
            <w:r>
              <w:rPr>
                <w:color w:val="auto"/>
              </w:rPr>
              <w:t>表</w:t>
            </w:r>
            <w:r>
              <w:rPr>
                <w:rFonts w:hint="eastAsia"/>
                <w:color w:val="auto"/>
              </w:rPr>
              <w:t>4-</w:t>
            </w:r>
            <w:r>
              <w:rPr>
                <w:rFonts w:hint="eastAsia"/>
                <w:color w:val="auto"/>
                <w:lang w:val="en-US" w:eastAsia="zh-CN"/>
              </w:rPr>
              <w:t>21</w:t>
            </w:r>
            <w:r>
              <w:rPr>
                <w:rFonts w:hint="eastAsia"/>
                <w:color w:val="auto"/>
              </w:rPr>
              <w:t xml:space="preserve">   </w:t>
            </w:r>
            <w:r>
              <w:rPr>
                <w:color w:val="auto"/>
              </w:rPr>
              <w:t>企业突发事故应急预案</w:t>
            </w:r>
          </w:p>
          <w:tbl>
            <w:tblPr>
              <w:jc w:val="cente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535"/>
              <w:gridCol w:w="1571"/>
              <w:gridCol w:w="5899"/>
            </w:tblGrid>
            <w:tr>
              <w:tc>
                <w:tcPr>
                  <w:tcW w:w="535" w:type="dxa"/>
                  <w:tcMar>
                    <w:left w:w="0" w:type="dxa"/>
                    <w:right w:w="0" w:type="dxa"/>
                  </w:tcMar>
                  <w:vAlign w:val="center"/>
                </w:tcPr>
                <w:p>
                  <w:pPr>
                    <w:pStyle w:val="39"/>
                    <w:rPr>
                      <w:color w:val="auto"/>
                    </w:rPr>
                  </w:pPr>
                  <w:r>
                    <w:rPr>
                      <w:color w:val="auto"/>
                    </w:rPr>
                    <w:t>序号</w:t>
                  </w:r>
                </w:p>
              </w:tc>
              <w:tc>
                <w:tcPr>
                  <w:tcW w:w="1571" w:type="dxa"/>
                  <w:tcMar>
                    <w:left w:w="0" w:type="dxa"/>
                    <w:right w:w="0" w:type="dxa"/>
                  </w:tcMar>
                  <w:vAlign w:val="center"/>
                </w:tcPr>
                <w:p>
                  <w:pPr>
                    <w:pStyle w:val="39"/>
                    <w:rPr>
                      <w:color w:val="auto"/>
                    </w:rPr>
                  </w:pPr>
                  <w:r>
                    <w:rPr>
                      <w:color w:val="auto"/>
                    </w:rPr>
                    <w:t>项目</w:t>
                  </w:r>
                </w:p>
              </w:tc>
              <w:tc>
                <w:tcPr>
                  <w:tcW w:w="5899" w:type="dxa"/>
                  <w:tcMar>
                    <w:left w:w="0" w:type="dxa"/>
                    <w:right w:w="0" w:type="dxa"/>
                  </w:tcMar>
                  <w:vAlign w:val="center"/>
                </w:tcPr>
                <w:p>
                  <w:pPr>
                    <w:pStyle w:val="39"/>
                    <w:rPr>
                      <w:color w:val="auto"/>
                    </w:rPr>
                  </w:pPr>
                  <w:r>
                    <w:rPr>
                      <w:color w:val="auto"/>
                    </w:rPr>
                    <w:t>内容及要求</w:t>
                  </w:r>
                </w:p>
              </w:tc>
            </w:tr>
            <w:tr>
              <w:tc>
                <w:tcPr>
                  <w:tcW w:w="535" w:type="dxa"/>
                  <w:tcMar>
                    <w:left w:w="0" w:type="dxa"/>
                    <w:right w:w="0" w:type="dxa"/>
                  </w:tcMar>
                  <w:vAlign w:val="center"/>
                </w:tcPr>
                <w:p>
                  <w:pPr>
                    <w:pStyle w:val="39"/>
                    <w:rPr>
                      <w:color w:val="auto"/>
                    </w:rPr>
                  </w:pPr>
                  <w:r>
                    <w:rPr>
                      <w:color w:val="auto"/>
                    </w:rPr>
                    <w:t>1</w:t>
                  </w:r>
                </w:p>
              </w:tc>
              <w:tc>
                <w:tcPr>
                  <w:tcW w:w="1571" w:type="dxa"/>
                  <w:tcBorders>
                    <w:left w:val="single" w:sz="4" w:space="0" w:color="auto"/>
                  </w:tcBorders>
                  <w:tcMar>
                    <w:left w:w="0" w:type="dxa"/>
                    <w:right w:w="0" w:type="dxa"/>
                  </w:tcMar>
                  <w:vAlign w:val="center"/>
                </w:tcPr>
                <w:p>
                  <w:pPr>
                    <w:pStyle w:val="39"/>
                    <w:rPr>
                      <w:color w:val="auto"/>
                    </w:rPr>
                  </w:pPr>
                  <w:r>
                    <w:rPr>
                      <w:color w:val="auto"/>
                    </w:rPr>
                    <w:t>危险源概况</w:t>
                  </w:r>
                </w:p>
              </w:tc>
              <w:tc>
                <w:tcPr>
                  <w:tcW w:w="5899" w:type="dxa"/>
                  <w:tcBorders>
                    <w:left w:val="single" w:sz="4" w:space="0" w:color="auto"/>
                  </w:tcBorders>
                  <w:tcMar>
                    <w:left w:w="0" w:type="dxa"/>
                    <w:right w:w="0" w:type="dxa"/>
                  </w:tcMar>
                  <w:vAlign w:val="center"/>
                </w:tcPr>
                <w:p>
                  <w:pPr>
                    <w:pStyle w:val="39"/>
                    <w:rPr>
                      <w:color w:val="auto"/>
                    </w:rPr>
                  </w:pPr>
                  <w:r>
                    <w:rPr>
                      <w:rFonts w:hint="eastAsia"/>
                      <w:color w:val="auto"/>
                    </w:rPr>
                    <w:t>危废间暂存的危险废物存在散落、火灾或泄漏</w:t>
                  </w:r>
                  <w:r>
                    <w:rPr>
                      <w:color w:val="auto"/>
                    </w:rPr>
                    <w:t>风险</w:t>
                  </w:r>
                  <w:r>
                    <w:rPr>
                      <w:rFonts w:hint="eastAsia"/>
                      <w:color w:val="auto"/>
                    </w:rPr>
                    <w:t>；</w:t>
                  </w:r>
                </w:p>
              </w:tc>
            </w:tr>
            <w:tr>
              <w:tc>
                <w:tcPr>
                  <w:tcW w:w="535" w:type="dxa"/>
                  <w:tcMar>
                    <w:left w:w="0" w:type="dxa"/>
                    <w:right w:w="0" w:type="dxa"/>
                  </w:tcMar>
                  <w:vAlign w:val="center"/>
                </w:tcPr>
                <w:p>
                  <w:pPr>
                    <w:pStyle w:val="39"/>
                    <w:rPr>
                      <w:color w:val="auto"/>
                    </w:rPr>
                  </w:pPr>
                  <w:r>
                    <w:rPr>
                      <w:color w:val="auto"/>
                    </w:rPr>
                    <w:t>2</w:t>
                  </w:r>
                </w:p>
              </w:tc>
              <w:tc>
                <w:tcPr>
                  <w:tcW w:w="1571" w:type="dxa"/>
                  <w:tcBorders>
                    <w:left w:val="single" w:sz="4" w:space="0" w:color="auto"/>
                  </w:tcBorders>
                  <w:tcMar>
                    <w:left w:w="0" w:type="dxa"/>
                    <w:right w:w="0" w:type="dxa"/>
                  </w:tcMar>
                  <w:vAlign w:val="center"/>
                </w:tcPr>
                <w:p>
                  <w:pPr>
                    <w:pStyle w:val="39"/>
                    <w:rPr>
                      <w:color w:val="auto"/>
                    </w:rPr>
                  </w:pPr>
                  <w:r>
                    <w:rPr>
                      <w:color w:val="auto"/>
                    </w:rPr>
                    <w:t>应急计划区</w:t>
                  </w:r>
                </w:p>
              </w:tc>
              <w:tc>
                <w:tcPr>
                  <w:tcW w:w="5899" w:type="dxa"/>
                  <w:tcBorders>
                    <w:left w:val="single" w:sz="4" w:space="0" w:color="auto"/>
                  </w:tcBorders>
                  <w:tcMar>
                    <w:left w:w="0" w:type="dxa"/>
                    <w:right w:w="0" w:type="dxa"/>
                  </w:tcMar>
                  <w:vAlign w:val="center"/>
                </w:tcPr>
                <w:p>
                  <w:pPr>
                    <w:pStyle w:val="39"/>
                    <w:rPr>
                      <w:color w:val="auto"/>
                    </w:rPr>
                  </w:pPr>
                  <w:r>
                    <w:rPr>
                      <w:color w:val="auto"/>
                    </w:rPr>
                    <w:t>危废间</w:t>
                  </w:r>
                </w:p>
              </w:tc>
            </w:tr>
            <w:tr>
              <w:tc>
                <w:tcPr>
                  <w:tcW w:w="535" w:type="dxa"/>
                  <w:tcMar>
                    <w:left w:w="0" w:type="dxa"/>
                    <w:right w:w="0" w:type="dxa"/>
                  </w:tcMar>
                  <w:vAlign w:val="center"/>
                </w:tcPr>
                <w:p>
                  <w:pPr>
                    <w:pStyle w:val="39"/>
                    <w:rPr>
                      <w:color w:val="auto"/>
                    </w:rPr>
                  </w:pPr>
                  <w:r>
                    <w:rPr>
                      <w:color w:val="auto"/>
                    </w:rPr>
                    <w:t>3</w:t>
                  </w:r>
                </w:p>
              </w:tc>
              <w:tc>
                <w:tcPr>
                  <w:tcW w:w="1571" w:type="dxa"/>
                  <w:tcBorders>
                    <w:left w:val="single" w:sz="4" w:space="0" w:color="auto"/>
                  </w:tcBorders>
                  <w:tcMar>
                    <w:left w:w="0" w:type="dxa"/>
                    <w:right w:w="0" w:type="dxa"/>
                  </w:tcMar>
                  <w:vAlign w:val="center"/>
                </w:tcPr>
                <w:p>
                  <w:pPr>
                    <w:pStyle w:val="39"/>
                    <w:rPr>
                      <w:color w:val="auto"/>
                    </w:rPr>
                  </w:pPr>
                  <w:r>
                    <w:rPr>
                      <w:color w:val="auto"/>
                    </w:rPr>
                    <w:t>应急组织</w:t>
                  </w:r>
                </w:p>
              </w:tc>
              <w:tc>
                <w:tcPr>
                  <w:tcW w:w="5899" w:type="dxa"/>
                  <w:tcBorders>
                    <w:left w:val="single" w:sz="4" w:space="0" w:color="auto"/>
                  </w:tcBorders>
                  <w:tcMar>
                    <w:left w:w="0" w:type="dxa"/>
                    <w:right w:w="0" w:type="dxa"/>
                  </w:tcMar>
                  <w:vAlign w:val="center"/>
                </w:tcPr>
                <w:p>
                  <w:pPr>
                    <w:pStyle w:val="39"/>
                    <w:rPr>
                      <w:color w:val="auto"/>
                    </w:rPr>
                  </w:pPr>
                  <w:r>
                    <w:rPr>
                      <w:color w:val="auto"/>
                    </w:rPr>
                    <w:t>厂区：成立事故应急救援指挥领导小组，下设应急救援办公楼。</w:t>
                  </w:r>
                </w:p>
                <w:p>
                  <w:pPr>
                    <w:pStyle w:val="39"/>
                    <w:rPr>
                      <w:color w:val="auto"/>
                    </w:rPr>
                  </w:pPr>
                  <w:r>
                    <w:rPr>
                      <w:color w:val="auto"/>
                    </w:rPr>
                    <w:t>专业救助队伍：成立专业救助队伍，负责事故控制、救援、善后处理。</w:t>
                  </w:r>
                </w:p>
              </w:tc>
            </w:tr>
            <w:tr>
              <w:tc>
                <w:tcPr>
                  <w:tcW w:w="535" w:type="dxa"/>
                  <w:tcMar>
                    <w:left w:w="0" w:type="dxa"/>
                    <w:right w:w="0" w:type="dxa"/>
                  </w:tcMar>
                  <w:vAlign w:val="center"/>
                </w:tcPr>
                <w:p>
                  <w:pPr>
                    <w:pStyle w:val="39"/>
                    <w:rPr>
                      <w:color w:val="auto"/>
                    </w:rPr>
                  </w:pPr>
                  <w:r>
                    <w:rPr>
                      <w:color w:val="auto"/>
                    </w:rPr>
                    <w:t>4</w:t>
                  </w:r>
                </w:p>
              </w:tc>
              <w:tc>
                <w:tcPr>
                  <w:tcW w:w="1571" w:type="dxa"/>
                  <w:tcBorders>
                    <w:left w:val="single" w:sz="4" w:space="0" w:color="auto"/>
                  </w:tcBorders>
                  <w:tcMar>
                    <w:left w:w="0" w:type="dxa"/>
                    <w:right w:w="0" w:type="dxa"/>
                  </w:tcMar>
                  <w:vAlign w:val="center"/>
                </w:tcPr>
                <w:p>
                  <w:pPr>
                    <w:pStyle w:val="39"/>
                    <w:rPr>
                      <w:color w:val="auto"/>
                    </w:rPr>
                  </w:pPr>
                  <w:r>
                    <w:rPr>
                      <w:color w:val="auto"/>
                    </w:rPr>
                    <w:t>应急状态分类及应急响应程序</w:t>
                  </w:r>
                </w:p>
              </w:tc>
              <w:tc>
                <w:tcPr>
                  <w:tcW w:w="5899" w:type="dxa"/>
                  <w:tcBorders>
                    <w:left w:val="single" w:sz="4" w:space="0" w:color="auto"/>
                  </w:tcBorders>
                  <w:tcMar>
                    <w:left w:w="0" w:type="dxa"/>
                    <w:right w:w="0" w:type="dxa"/>
                  </w:tcMar>
                  <w:vAlign w:val="center"/>
                </w:tcPr>
                <w:p>
                  <w:pPr>
                    <w:pStyle w:val="39"/>
                    <w:rPr>
                      <w:color w:val="auto"/>
                    </w:rPr>
                  </w:pPr>
                  <w:r>
                    <w:rPr>
                      <w:color w:val="auto"/>
                    </w:rPr>
                    <w:t>按照事故发生的严重程度，规定事故的级别及相应的应急分类响应程序。</w:t>
                  </w:r>
                </w:p>
              </w:tc>
            </w:tr>
            <w:tr>
              <w:tc>
                <w:tcPr>
                  <w:tcW w:w="535" w:type="dxa"/>
                  <w:tcBorders>
                    <w:bottom w:val="single" w:sz="4" w:space="0" w:color="auto"/>
                  </w:tcBorders>
                  <w:tcMar>
                    <w:left w:w="0" w:type="dxa"/>
                    <w:right w:w="0" w:type="dxa"/>
                  </w:tcMar>
                  <w:vAlign w:val="center"/>
                </w:tcPr>
                <w:p>
                  <w:pPr>
                    <w:pStyle w:val="39"/>
                    <w:rPr>
                      <w:color w:val="auto"/>
                    </w:rPr>
                  </w:pPr>
                  <w:r>
                    <w:rPr>
                      <w:color w:val="auto"/>
                    </w:rPr>
                    <w:t>5</w:t>
                  </w:r>
                </w:p>
              </w:tc>
              <w:tc>
                <w:tcPr>
                  <w:tcW w:w="1571" w:type="dxa"/>
                  <w:tcBorders>
                    <w:bottom w:val="single" w:sz="4" w:space="0" w:color="auto"/>
                  </w:tcBorders>
                  <w:tcMar>
                    <w:left w:w="0" w:type="dxa"/>
                    <w:right w:w="0" w:type="dxa"/>
                  </w:tcMar>
                  <w:vAlign w:val="center"/>
                </w:tcPr>
                <w:p>
                  <w:pPr>
                    <w:pStyle w:val="39"/>
                    <w:rPr>
                      <w:color w:val="auto"/>
                    </w:rPr>
                  </w:pPr>
                  <w:r>
                    <w:rPr>
                      <w:color w:val="auto"/>
                    </w:rPr>
                    <w:t>应急设施、设备与材料</w:t>
                  </w:r>
                </w:p>
              </w:tc>
              <w:tc>
                <w:tcPr>
                  <w:tcW w:w="5899" w:type="dxa"/>
                  <w:tcBorders>
                    <w:bottom w:val="single" w:sz="4" w:space="0" w:color="auto"/>
                  </w:tcBorders>
                  <w:tcMar>
                    <w:left w:w="0" w:type="dxa"/>
                    <w:right w:w="0" w:type="dxa"/>
                  </w:tcMar>
                  <w:vAlign w:val="center"/>
                </w:tcPr>
                <w:p>
                  <w:pPr>
                    <w:pStyle w:val="39"/>
                    <w:rPr>
                      <w:color w:val="auto"/>
                    </w:rPr>
                  </w:pPr>
                  <w:r>
                    <w:rPr>
                      <w:color w:val="auto"/>
                    </w:rPr>
                    <w:t>防火灾应急设施、设备与材料，主要为</w:t>
                  </w:r>
                  <w:r>
                    <w:rPr>
                      <w:rFonts w:hint="eastAsia"/>
                      <w:color w:val="auto"/>
                    </w:rPr>
                    <w:t>堵截器材、</w:t>
                  </w:r>
                  <w:r>
                    <w:rPr>
                      <w:color w:val="auto"/>
                    </w:rPr>
                    <w:t>消防器材，防静电服，自给正压式呼吸器、安全防护镜等。</w:t>
                  </w:r>
                </w:p>
              </w:tc>
            </w:tr>
            <w:tr>
              <w:tc>
                <w:tcPr>
                  <w:tcW w:w="535" w:type="dxa"/>
                  <w:tcBorders>
                    <w:bottom w:val="single" w:sz="4" w:space="0" w:color="auto"/>
                  </w:tcBorders>
                  <w:tcMar>
                    <w:left w:w="0" w:type="dxa"/>
                    <w:right w:w="0" w:type="dxa"/>
                  </w:tcMar>
                  <w:vAlign w:val="center"/>
                </w:tcPr>
                <w:p>
                  <w:pPr>
                    <w:pStyle w:val="39"/>
                    <w:rPr>
                      <w:color w:val="auto"/>
                    </w:rPr>
                  </w:pPr>
                  <w:r>
                    <w:rPr>
                      <w:color w:val="auto"/>
                    </w:rPr>
                    <w:t>6</w:t>
                  </w:r>
                </w:p>
              </w:tc>
              <w:tc>
                <w:tcPr>
                  <w:tcW w:w="1571" w:type="dxa"/>
                  <w:tcBorders>
                    <w:bottom w:val="single" w:sz="4" w:space="0" w:color="auto"/>
                  </w:tcBorders>
                  <w:tcMar>
                    <w:left w:w="0" w:type="dxa"/>
                    <w:right w:w="0" w:type="dxa"/>
                  </w:tcMar>
                  <w:vAlign w:val="center"/>
                </w:tcPr>
                <w:p>
                  <w:pPr>
                    <w:pStyle w:val="39"/>
                    <w:rPr>
                      <w:color w:val="auto"/>
                    </w:rPr>
                  </w:pPr>
                  <w:r>
                    <w:rPr>
                      <w:color w:val="auto"/>
                    </w:rPr>
                    <w:t>应急通讯、通知和交通</w:t>
                  </w:r>
                </w:p>
              </w:tc>
              <w:tc>
                <w:tcPr>
                  <w:tcW w:w="5899" w:type="dxa"/>
                  <w:tcBorders>
                    <w:bottom w:val="single" w:sz="4" w:space="0" w:color="auto"/>
                  </w:tcBorders>
                  <w:tcMar>
                    <w:left w:w="0" w:type="dxa"/>
                    <w:right w:w="0" w:type="dxa"/>
                  </w:tcMar>
                  <w:vAlign w:val="center"/>
                </w:tcPr>
                <w:p>
                  <w:pPr>
                    <w:pStyle w:val="39"/>
                    <w:rPr>
                      <w:color w:val="auto"/>
                    </w:rPr>
                  </w:pPr>
                  <w:r>
                    <w:rPr>
                      <w:color w:val="auto"/>
                    </w:rPr>
                    <w:t>组成通讯联络队，并规定应急状态下的通讯方式、通知方式和交通保障、管制</w:t>
                  </w:r>
                </w:p>
              </w:tc>
            </w:tr>
            <w:tr>
              <w:tc>
                <w:tcPr>
                  <w:tcW w:w="535" w:type="dxa"/>
                  <w:tcBorders>
                    <w:top w:val="single" w:sz="4" w:space="0" w:color="auto"/>
                  </w:tcBorders>
                  <w:tcMar>
                    <w:left w:w="0" w:type="dxa"/>
                    <w:right w:w="0" w:type="dxa"/>
                  </w:tcMar>
                  <w:vAlign w:val="center"/>
                </w:tcPr>
                <w:p>
                  <w:pPr>
                    <w:pStyle w:val="39"/>
                    <w:rPr>
                      <w:color w:val="auto"/>
                    </w:rPr>
                  </w:pPr>
                  <w:r>
                    <w:rPr>
                      <w:color w:val="auto"/>
                    </w:rPr>
                    <w:t>7</w:t>
                  </w:r>
                </w:p>
              </w:tc>
              <w:tc>
                <w:tcPr>
                  <w:tcW w:w="1571" w:type="dxa"/>
                  <w:tcBorders>
                    <w:top w:val="single" w:sz="4" w:space="0" w:color="auto"/>
                  </w:tcBorders>
                  <w:tcMar>
                    <w:left w:w="0" w:type="dxa"/>
                    <w:right w:w="0" w:type="dxa"/>
                  </w:tcMar>
                  <w:vAlign w:val="center"/>
                </w:tcPr>
                <w:p>
                  <w:pPr>
                    <w:pStyle w:val="39"/>
                    <w:rPr>
                      <w:color w:val="auto"/>
                    </w:rPr>
                  </w:pPr>
                  <w:r>
                    <w:rPr>
                      <w:color w:val="auto"/>
                    </w:rPr>
                    <w:t>应急环境监测及事故后评估</w:t>
                  </w:r>
                </w:p>
              </w:tc>
              <w:tc>
                <w:tcPr>
                  <w:tcW w:w="5899" w:type="dxa"/>
                  <w:tcBorders>
                    <w:top w:val="single" w:sz="4" w:space="0" w:color="auto"/>
                  </w:tcBorders>
                  <w:tcMar>
                    <w:left w:w="0" w:type="dxa"/>
                    <w:right w:w="0" w:type="dxa"/>
                  </w:tcMar>
                  <w:vAlign w:val="center"/>
                </w:tcPr>
                <w:p>
                  <w:pPr>
                    <w:pStyle w:val="39"/>
                    <w:rPr>
                      <w:color w:val="auto"/>
                    </w:rPr>
                  </w:pPr>
                  <w:r>
                    <w:rPr>
                      <w:color w:val="auto"/>
                    </w:rPr>
                    <w:t>有专业队伍负责对事故现场进行监测，对事故性质、参数与后果进行评估，为指挥部门提供决策依据</w:t>
                  </w:r>
                </w:p>
              </w:tc>
            </w:tr>
            <w:tr>
              <w:tc>
                <w:tcPr>
                  <w:tcW w:w="535" w:type="dxa"/>
                  <w:tcMar>
                    <w:left w:w="0" w:type="dxa"/>
                    <w:right w:w="0" w:type="dxa"/>
                  </w:tcMar>
                  <w:vAlign w:val="center"/>
                </w:tcPr>
                <w:p>
                  <w:pPr>
                    <w:pStyle w:val="39"/>
                    <w:rPr>
                      <w:color w:val="auto"/>
                    </w:rPr>
                  </w:pPr>
                  <w:r>
                    <w:rPr>
                      <w:color w:val="auto"/>
                    </w:rPr>
                    <w:t>8</w:t>
                  </w:r>
                </w:p>
              </w:tc>
              <w:tc>
                <w:tcPr>
                  <w:tcW w:w="1571" w:type="dxa"/>
                  <w:tcBorders>
                    <w:left w:val="single" w:sz="4" w:space="0" w:color="auto"/>
                  </w:tcBorders>
                  <w:tcMar>
                    <w:left w:w="0" w:type="dxa"/>
                    <w:right w:w="0" w:type="dxa"/>
                  </w:tcMar>
                  <w:vAlign w:val="center"/>
                </w:tcPr>
                <w:p>
                  <w:pPr>
                    <w:pStyle w:val="39"/>
                    <w:rPr>
                      <w:color w:val="auto"/>
                    </w:rPr>
                  </w:pPr>
                  <w:r>
                    <w:rPr>
                      <w:color w:val="auto"/>
                    </w:rPr>
                    <w:t>应急措施</w:t>
                  </w:r>
                </w:p>
              </w:tc>
              <w:tc>
                <w:tcPr>
                  <w:tcW w:w="5899" w:type="dxa"/>
                  <w:tcBorders>
                    <w:left w:val="single" w:sz="4" w:space="0" w:color="auto"/>
                  </w:tcBorders>
                  <w:tcMar>
                    <w:left w:w="0" w:type="dxa"/>
                    <w:right w:w="0" w:type="dxa"/>
                  </w:tcMar>
                  <w:vAlign w:val="center"/>
                </w:tcPr>
                <w:p>
                  <w:pPr>
                    <w:pStyle w:val="39"/>
                    <w:rPr>
                      <w:color w:val="auto"/>
                    </w:rPr>
                  </w:pPr>
                  <w:r>
                    <w:rPr>
                      <w:color w:val="auto"/>
                    </w:rPr>
                    <w:t>事故现场：控制事故，防止扩大、蔓延及连锁反应。</w:t>
                  </w:r>
                </w:p>
              </w:tc>
            </w:tr>
            <w:tr>
              <w:tc>
                <w:tcPr>
                  <w:tcW w:w="535" w:type="dxa"/>
                  <w:tcMar>
                    <w:left w:w="0" w:type="dxa"/>
                    <w:right w:w="0" w:type="dxa"/>
                  </w:tcMar>
                  <w:vAlign w:val="center"/>
                </w:tcPr>
                <w:p>
                  <w:pPr>
                    <w:pStyle w:val="39"/>
                    <w:rPr>
                      <w:color w:val="auto"/>
                    </w:rPr>
                  </w:pPr>
                  <w:r>
                    <w:rPr>
                      <w:color w:val="auto"/>
                    </w:rPr>
                    <w:t>9</w:t>
                  </w:r>
                </w:p>
              </w:tc>
              <w:tc>
                <w:tcPr>
                  <w:tcW w:w="1571" w:type="dxa"/>
                  <w:tcBorders>
                    <w:left w:val="single" w:sz="4" w:space="0" w:color="auto"/>
                  </w:tcBorders>
                  <w:tcMar>
                    <w:left w:w="0" w:type="dxa"/>
                    <w:right w:w="0" w:type="dxa"/>
                  </w:tcMar>
                  <w:vAlign w:val="center"/>
                </w:tcPr>
                <w:p>
                  <w:pPr>
                    <w:pStyle w:val="39"/>
                    <w:rPr>
                      <w:color w:val="auto"/>
                    </w:rPr>
                  </w:pPr>
                  <w:r>
                    <w:rPr>
                      <w:color w:val="auto"/>
                    </w:rPr>
                    <w:t>撤离组织计划、医疗救护与公众健康</w:t>
                  </w:r>
                </w:p>
              </w:tc>
              <w:tc>
                <w:tcPr>
                  <w:tcW w:w="5899" w:type="dxa"/>
                  <w:tcBorders>
                    <w:left w:val="single" w:sz="4" w:space="0" w:color="auto"/>
                  </w:tcBorders>
                  <w:tcMar>
                    <w:left w:w="0" w:type="dxa"/>
                    <w:right w:w="0" w:type="dxa"/>
                  </w:tcMar>
                  <w:vAlign w:val="center"/>
                </w:tcPr>
                <w:p>
                  <w:pPr>
                    <w:pStyle w:val="39"/>
                    <w:rPr>
                      <w:color w:val="auto"/>
                    </w:rPr>
                  </w:pPr>
                  <w:r>
                    <w:rPr>
                      <w:color w:val="auto"/>
                    </w:rPr>
                    <w:t>事故现场：事故处理人员制定对毒物应急剂量控制，现场及临近装置人员组织撤离计划及救护。</w:t>
                  </w:r>
                </w:p>
                <w:p>
                  <w:pPr>
                    <w:pStyle w:val="39"/>
                    <w:rPr>
                      <w:color w:val="auto"/>
                    </w:rPr>
                  </w:pPr>
                  <w:r>
                    <w:rPr>
                      <w:color w:val="auto"/>
                    </w:rPr>
                    <w:t>事故临近区：受事故影响的临近区域人员及公众规定对毒物应急剂量的控制，组织撤离计划及救护。</w:t>
                  </w:r>
                </w:p>
              </w:tc>
            </w:tr>
            <w:tr>
              <w:tc>
                <w:tcPr>
                  <w:tcW w:w="535" w:type="dxa"/>
                  <w:tcMar>
                    <w:left w:w="0" w:type="dxa"/>
                    <w:right w:w="0" w:type="dxa"/>
                  </w:tcMar>
                  <w:vAlign w:val="center"/>
                </w:tcPr>
                <w:p>
                  <w:pPr>
                    <w:pStyle w:val="39"/>
                    <w:rPr>
                      <w:color w:val="auto"/>
                    </w:rPr>
                  </w:pPr>
                  <w:r>
                    <w:rPr>
                      <w:color w:val="auto"/>
                    </w:rPr>
                    <w:t>10</w:t>
                  </w:r>
                </w:p>
              </w:tc>
              <w:tc>
                <w:tcPr>
                  <w:tcW w:w="1571" w:type="dxa"/>
                  <w:tcBorders>
                    <w:left w:val="single" w:sz="4" w:space="0" w:color="auto"/>
                  </w:tcBorders>
                  <w:tcMar>
                    <w:left w:w="0" w:type="dxa"/>
                    <w:right w:w="0" w:type="dxa"/>
                  </w:tcMar>
                  <w:vAlign w:val="center"/>
                </w:tcPr>
                <w:p>
                  <w:pPr>
                    <w:pStyle w:val="39"/>
                    <w:rPr>
                      <w:color w:val="auto"/>
                    </w:rPr>
                  </w:pPr>
                  <w:r>
                    <w:rPr>
                      <w:color w:val="auto"/>
                    </w:rPr>
                    <w:t>应急状态终止与恢复措施</w:t>
                  </w:r>
                </w:p>
              </w:tc>
              <w:tc>
                <w:tcPr>
                  <w:tcW w:w="5899" w:type="dxa"/>
                  <w:tcBorders>
                    <w:left w:val="single" w:sz="4" w:space="0" w:color="auto"/>
                  </w:tcBorders>
                  <w:tcMar>
                    <w:left w:w="0" w:type="dxa"/>
                    <w:right w:w="0" w:type="dxa"/>
                  </w:tcMar>
                  <w:vAlign w:val="center"/>
                </w:tcPr>
                <w:p>
                  <w:pPr>
                    <w:pStyle w:val="39"/>
                    <w:rPr>
                      <w:color w:val="auto"/>
                    </w:rPr>
                  </w:pPr>
                  <w:r>
                    <w:rPr>
                      <w:color w:val="auto"/>
                    </w:rPr>
                    <w:t>规定应急状态终止程序；事故现场善后处理，恢复措施；</w:t>
                  </w:r>
                  <w:r>
                    <w:rPr>
                      <w:rFonts w:hint="eastAsia"/>
                      <w:color w:val="auto"/>
                    </w:rPr>
                    <w:t>邻近</w:t>
                  </w:r>
                  <w:r>
                    <w:rPr>
                      <w:color w:val="auto"/>
                    </w:rPr>
                    <w:t>区域解除事故警戒及善后恢复措施。</w:t>
                  </w:r>
                </w:p>
              </w:tc>
            </w:tr>
            <w:tr>
              <w:tc>
                <w:tcPr>
                  <w:tcW w:w="535" w:type="dxa"/>
                  <w:tcMar>
                    <w:left w:w="0" w:type="dxa"/>
                    <w:right w:w="0" w:type="dxa"/>
                  </w:tcMar>
                  <w:vAlign w:val="center"/>
                </w:tcPr>
                <w:p>
                  <w:pPr>
                    <w:pStyle w:val="39"/>
                    <w:rPr>
                      <w:color w:val="auto"/>
                    </w:rPr>
                  </w:pPr>
                  <w:r>
                    <w:rPr>
                      <w:color w:val="auto"/>
                    </w:rPr>
                    <w:t>11</w:t>
                  </w:r>
                </w:p>
              </w:tc>
              <w:tc>
                <w:tcPr>
                  <w:tcW w:w="1571" w:type="dxa"/>
                  <w:tcBorders>
                    <w:left w:val="single" w:sz="4" w:space="0" w:color="auto"/>
                  </w:tcBorders>
                  <w:tcMar>
                    <w:left w:w="0" w:type="dxa"/>
                    <w:right w:w="0" w:type="dxa"/>
                  </w:tcMar>
                  <w:vAlign w:val="center"/>
                </w:tcPr>
                <w:p>
                  <w:pPr>
                    <w:pStyle w:val="39"/>
                    <w:rPr>
                      <w:color w:val="auto"/>
                    </w:rPr>
                  </w:pPr>
                  <w:r>
                    <w:rPr>
                      <w:color w:val="auto"/>
                    </w:rPr>
                    <w:t>人员培训与演练</w:t>
                  </w:r>
                </w:p>
              </w:tc>
              <w:tc>
                <w:tcPr>
                  <w:tcW w:w="5899" w:type="dxa"/>
                  <w:tcBorders>
                    <w:left w:val="single" w:sz="4" w:space="0" w:color="auto"/>
                  </w:tcBorders>
                  <w:tcMar>
                    <w:left w:w="0" w:type="dxa"/>
                    <w:right w:w="0" w:type="dxa"/>
                  </w:tcMar>
                  <w:vAlign w:val="center"/>
                </w:tcPr>
                <w:p>
                  <w:pPr>
                    <w:pStyle w:val="39"/>
                    <w:rPr>
                      <w:color w:val="auto"/>
                    </w:rPr>
                  </w:pPr>
                  <w:r>
                    <w:rPr>
                      <w:color w:val="auto"/>
                    </w:rPr>
                    <w:t>平时安排人员应急救援培训与演练。</w:t>
                  </w:r>
                </w:p>
              </w:tc>
            </w:tr>
            <w:tr>
              <w:tc>
                <w:tcPr>
                  <w:tcW w:w="535" w:type="dxa"/>
                  <w:tcMar>
                    <w:left w:w="0" w:type="dxa"/>
                    <w:right w:w="0" w:type="dxa"/>
                  </w:tcMar>
                  <w:vAlign w:val="center"/>
                </w:tcPr>
                <w:p>
                  <w:pPr>
                    <w:pStyle w:val="39"/>
                    <w:rPr>
                      <w:color w:val="auto"/>
                    </w:rPr>
                  </w:pPr>
                  <w:r>
                    <w:rPr>
                      <w:color w:val="auto"/>
                    </w:rPr>
                    <w:t>12</w:t>
                  </w:r>
                </w:p>
              </w:tc>
              <w:tc>
                <w:tcPr>
                  <w:tcW w:w="1571" w:type="dxa"/>
                  <w:tcBorders>
                    <w:left w:val="single" w:sz="4" w:space="0" w:color="auto"/>
                  </w:tcBorders>
                  <w:tcMar>
                    <w:left w:w="0" w:type="dxa"/>
                    <w:right w:w="0" w:type="dxa"/>
                  </w:tcMar>
                  <w:vAlign w:val="center"/>
                </w:tcPr>
                <w:p>
                  <w:pPr>
                    <w:pStyle w:val="39"/>
                    <w:rPr>
                      <w:color w:val="auto"/>
                    </w:rPr>
                  </w:pPr>
                  <w:r>
                    <w:rPr>
                      <w:color w:val="auto"/>
                    </w:rPr>
                    <w:t>公众教育与信息</w:t>
                  </w:r>
                </w:p>
              </w:tc>
              <w:tc>
                <w:tcPr>
                  <w:tcW w:w="5899" w:type="dxa"/>
                  <w:tcBorders>
                    <w:left w:val="single" w:sz="4" w:space="0" w:color="auto"/>
                  </w:tcBorders>
                  <w:tcMar>
                    <w:left w:w="0" w:type="dxa"/>
                    <w:right w:w="0" w:type="dxa"/>
                  </w:tcMar>
                  <w:vAlign w:val="center"/>
                </w:tcPr>
                <w:p>
                  <w:pPr>
                    <w:pStyle w:val="39"/>
                    <w:rPr>
                      <w:color w:val="auto"/>
                    </w:rPr>
                  </w:pPr>
                  <w:r>
                    <w:rPr>
                      <w:color w:val="auto"/>
                    </w:rPr>
                    <w:t>对厂区临近地区开展公众教育、培训和发布有关信息</w:t>
                  </w:r>
                </w:p>
              </w:tc>
            </w:tr>
            <w:tr>
              <w:tc>
                <w:tcPr>
                  <w:tcW w:w="535" w:type="dxa"/>
                  <w:tcMar>
                    <w:left w:w="0" w:type="dxa"/>
                    <w:right w:w="0" w:type="dxa"/>
                  </w:tcMar>
                  <w:vAlign w:val="center"/>
                </w:tcPr>
                <w:p>
                  <w:pPr>
                    <w:pStyle w:val="39"/>
                    <w:rPr>
                      <w:color w:val="auto"/>
                    </w:rPr>
                  </w:pPr>
                  <w:r>
                    <w:rPr>
                      <w:color w:val="auto"/>
                    </w:rPr>
                    <w:t>13</w:t>
                  </w:r>
                </w:p>
              </w:tc>
              <w:tc>
                <w:tcPr>
                  <w:tcW w:w="1571" w:type="dxa"/>
                  <w:tcBorders>
                    <w:left w:val="single" w:sz="4" w:space="0" w:color="auto"/>
                  </w:tcBorders>
                  <w:tcMar>
                    <w:left w:w="0" w:type="dxa"/>
                    <w:right w:w="0" w:type="dxa"/>
                  </w:tcMar>
                  <w:vAlign w:val="center"/>
                </w:tcPr>
                <w:p>
                  <w:pPr>
                    <w:pStyle w:val="39"/>
                    <w:rPr>
                      <w:color w:val="auto"/>
                    </w:rPr>
                  </w:pPr>
                  <w:r>
                    <w:rPr>
                      <w:color w:val="auto"/>
                    </w:rPr>
                    <w:t>记录和报告</w:t>
                  </w:r>
                </w:p>
              </w:tc>
              <w:tc>
                <w:tcPr>
                  <w:tcW w:w="5899" w:type="dxa"/>
                  <w:tcBorders>
                    <w:left w:val="single" w:sz="4" w:space="0" w:color="auto"/>
                  </w:tcBorders>
                  <w:tcMar>
                    <w:left w:w="0" w:type="dxa"/>
                    <w:right w:w="0" w:type="dxa"/>
                  </w:tcMar>
                  <w:vAlign w:val="center"/>
                </w:tcPr>
                <w:p>
                  <w:pPr>
                    <w:pStyle w:val="39"/>
                    <w:rPr>
                      <w:color w:val="auto"/>
                    </w:rPr>
                  </w:pPr>
                  <w:r>
                    <w:rPr>
                      <w:color w:val="auto"/>
                    </w:rPr>
                    <w:t>设应急事故专门记录，</w:t>
                  </w:r>
                  <w:r>
                    <w:rPr>
                      <w:rFonts w:hint="eastAsia"/>
                      <w:color w:val="auto"/>
                    </w:rPr>
                    <w:t>建立</w:t>
                  </w:r>
                  <w:r>
                    <w:rPr>
                      <w:color w:val="auto"/>
                    </w:rPr>
                    <w:t>档案和专门报告制度，设专门部门负责管理</w:t>
                  </w:r>
                </w:p>
              </w:tc>
            </w:tr>
          </w:tbl>
          <w:p>
            <w:pPr>
              <w:tabs>
                <w:tab w:val="left" w:pos="5040"/>
              </w:tabs>
              <w:rPr>
                <w:color w:val="auto"/>
              </w:rPr>
            </w:pPr>
            <w:bookmarkStart w:id="13" w:name="_Toc478655729"/>
            <w:bookmarkStart w:id="14" w:name="_Toc467597067"/>
            <w:bookmarkStart w:id="15" w:name="_Toc471804923"/>
            <w:bookmarkStart w:id="16" w:name="_Toc462727243"/>
            <w:r>
              <w:rPr>
                <w:color w:val="auto"/>
              </w:rPr>
              <w:t>（</w:t>
            </w:r>
            <w:r>
              <w:rPr>
                <w:rFonts w:hint="eastAsia"/>
                <w:color w:val="auto"/>
              </w:rPr>
              <w:t>7</w:t>
            </w:r>
            <w:r>
              <w:rPr>
                <w:color w:val="auto"/>
              </w:rPr>
              <w:t>）环境风险</w:t>
            </w:r>
            <w:bookmarkEnd w:id="13"/>
            <w:bookmarkEnd w:id="14"/>
            <w:bookmarkEnd w:id="15"/>
            <w:bookmarkEnd w:id="16"/>
            <w:r>
              <w:rPr>
                <w:rFonts w:hint="eastAsia"/>
                <w:color w:val="auto"/>
              </w:rPr>
              <w:t>评价结论</w:t>
            </w:r>
          </w:p>
          <w:p>
            <w:pPr>
              <w:rPr>
                <w:bCs/>
                <w:color w:val="auto"/>
              </w:rPr>
            </w:pPr>
            <w:r>
              <w:rPr>
                <w:rFonts w:hint="eastAsia"/>
                <w:bCs/>
                <w:color w:val="auto"/>
              </w:rPr>
              <w:t>本</w:t>
            </w:r>
            <w:r>
              <w:rPr>
                <w:rFonts w:hint="eastAsia"/>
                <w:color w:val="auto"/>
                <w:szCs w:val="32"/>
              </w:rPr>
              <w:t>项目</w:t>
            </w:r>
            <w:r>
              <w:rPr>
                <w:rFonts w:hint="eastAsia"/>
                <w:bCs/>
                <w:color w:val="auto"/>
              </w:rPr>
              <w:t>涉及的风险物质主要为危废间暂存的危险废物存在泄漏、散落或引起火灾发生环境风险事故的可能，受影响的主要为</w:t>
            </w:r>
            <w:r>
              <w:rPr>
                <w:bCs/>
                <w:color w:val="auto"/>
              </w:rPr>
              <w:t>企业</w:t>
            </w:r>
            <w:r>
              <w:rPr>
                <w:rFonts w:hint="eastAsia"/>
                <w:bCs/>
                <w:color w:val="auto"/>
              </w:rPr>
              <w:t>及周边</w:t>
            </w:r>
            <w:r>
              <w:rPr>
                <w:bCs/>
                <w:color w:val="auto"/>
              </w:rPr>
              <w:t>职工</w:t>
            </w:r>
            <w:r>
              <w:rPr>
                <w:rFonts w:hint="eastAsia"/>
                <w:bCs/>
                <w:color w:val="auto"/>
              </w:rPr>
              <w:t>、周边居民等，厂区制定相关管理制度，采取防渗漏、防火、防静电等措施，员工严格遵守国家相关管理规定，在发生事故后能及时采取相应的安全措施和及时启动事故应急预案，泄漏和火灾事故风险都是可以预防和控制的。</w:t>
            </w:r>
          </w:p>
          <w:p>
            <w:pPr>
              <w:rPr>
                <w:bCs/>
                <w:color w:val="auto"/>
              </w:rPr>
            </w:pPr>
            <w:r>
              <w:rPr>
                <w:bCs/>
                <w:color w:val="auto"/>
              </w:rPr>
              <w:t>综上，项目严格执行上述控制措施的情况下，本项目的环境风险水平处于可接受范围内。</w:t>
            </w:r>
          </w:p>
          <w:p>
            <w:pPr>
              <w:rPr>
                <w:b/>
                <w:bCs/>
                <w:color w:val="auto"/>
              </w:rPr>
            </w:pPr>
            <w:r>
              <w:rPr>
                <w:rFonts w:hint="eastAsia"/>
                <w:b/>
                <w:bCs/>
                <w:color w:val="auto"/>
              </w:rPr>
              <w:t>七</w:t>
            </w:r>
            <w:r>
              <w:rPr>
                <w:b/>
                <w:bCs/>
                <w:color w:val="auto"/>
              </w:rPr>
              <w:t>、环境管理计划</w:t>
            </w:r>
          </w:p>
          <w:p>
            <w:pPr>
              <w:rPr>
                <w:color w:val="auto"/>
              </w:rPr>
            </w:pPr>
            <w:r>
              <w:rPr>
                <w:color w:val="auto"/>
              </w:rPr>
              <w:t>为了贯彻执行有关环境保护法规，及时了解项目及其周围环境质量变化情况，掌握环境保护措施实施的效果，保证该区域良好的环境质量，建设单位进行相应的环境管理。</w:t>
            </w:r>
          </w:p>
          <w:p>
            <w:pPr>
              <w:rPr>
                <w:color w:val="auto"/>
              </w:rPr>
            </w:pPr>
            <w:r>
              <w:rPr>
                <w:color w:val="auto"/>
              </w:rPr>
              <w:t>（1）环境管理要求</w:t>
            </w:r>
          </w:p>
          <w:p>
            <w:pPr>
              <w:rPr>
                <w:color w:val="auto"/>
              </w:rPr>
            </w:pPr>
            <w:r>
              <w:rPr>
                <w:rFonts w:ascii="宋体" w:cs="宋体" w:hAnsi="宋体" w:hint="eastAsia"/>
                <w:color w:val="auto"/>
              </w:rPr>
              <w:t>①</w:t>
            </w:r>
            <w:r>
              <w:rPr>
                <w:color w:val="auto"/>
              </w:rPr>
              <w:t>贯彻落实国家相关法律法规及政策，以国家相关法律法规为依据，落实</w:t>
            </w:r>
            <w:r>
              <w:rPr>
                <w:rFonts w:hint="eastAsia"/>
                <w:color w:val="auto"/>
              </w:rPr>
              <w:t>防止</w:t>
            </w:r>
            <w:r>
              <w:rPr>
                <w:color w:val="auto"/>
              </w:rPr>
              <w:t>环境污染和生态破坏的措施以及环境保护设施投资概算，及</w:t>
            </w:r>
            <w:r>
              <w:rPr>
                <w:rFonts w:hint="eastAsia"/>
                <w:color w:val="auto"/>
              </w:rPr>
              <w:t>时向</w:t>
            </w:r>
            <w:r>
              <w:rPr>
                <w:color w:val="auto"/>
              </w:rPr>
              <w:t>当地环境保护部门汇报各阶段的情况。</w:t>
            </w:r>
          </w:p>
          <w:p>
            <w:pPr>
              <w:rPr>
                <w:color w:val="auto"/>
              </w:rPr>
            </w:pPr>
            <w:r>
              <w:rPr>
                <w:rFonts w:ascii="宋体" w:cs="宋体" w:hAnsi="宋体" w:hint="eastAsia"/>
                <w:color w:val="auto"/>
              </w:rPr>
              <w:t>②</w:t>
            </w:r>
            <w:r>
              <w:rPr>
                <w:color w:val="auto"/>
              </w:rPr>
              <w:t>项目的建设遵循</w:t>
            </w:r>
            <w:r>
              <w:rPr>
                <w:rFonts w:ascii="宋体" w:cs="宋体" w:hAnsi="宋体" w:hint="eastAsia"/>
                <w:color w:val="auto"/>
              </w:rPr>
              <w:t>“三同时”制度</w:t>
            </w:r>
            <w:r>
              <w:rPr>
                <w:color w:val="auto"/>
              </w:rPr>
              <w:t>，即项目环保措施与主体工程同时设计、同时施工、同时投产使用。</w:t>
            </w:r>
          </w:p>
          <w:p>
            <w:pPr>
              <w:rPr>
                <w:color w:val="auto"/>
              </w:rPr>
            </w:pPr>
            <w:r>
              <w:rPr>
                <w:rFonts w:ascii="宋体" w:cs="宋体" w:hAnsi="宋体" w:hint="eastAsia"/>
                <w:color w:val="auto"/>
              </w:rPr>
              <w:t>③</w:t>
            </w:r>
            <w:r>
              <w:rPr>
                <w:color w:val="auto"/>
              </w:rPr>
              <w:t>排污许可制度衔接</w:t>
            </w:r>
            <w:r>
              <w:rPr>
                <w:rFonts w:hint="eastAsia"/>
                <w:color w:val="auto"/>
              </w:rPr>
              <w:t>，</w:t>
            </w:r>
            <w:r>
              <w:rPr>
                <w:color w:val="auto"/>
              </w:rPr>
              <w:t>根据《固定污染源排污许可分类管理名录（2019年版）》建设单位应按照《排污许可管理条例）</w:t>
            </w:r>
            <w:r>
              <w:rPr>
                <w:rFonts w:hint="eastAsia"/>
                <w:color w:val="auto"/>
              </w:rPr>
              <w:t>》</w:t>
            </w:r>
            <w:r>
              <w:rPr>
                <w:color w:val="auto"/>
              </w:rPr>
              <w:t>等国家环境保护相关法律法规以及排污许可证申请与核发技术规范要求，</w:t>
            </w:r>
            <w:r>
              <w:rPr>
                <w:rFonts w:hint="eastAsia"/>
                <w:color w:val="auto"/>
              </w:rPr>
              <w:t>在项目竣工后投入生产前需</w:t>
            </w:r>
            <w:r>
              <w:rPr>
                <w:color w:val="auto"/>
              </w:rPr>
              <w:t>在全国排污许可证管理信息平台填报，填报基本信息、污染物排放去向、执行的污染物排放标准以及采取的污染防治措施等信息</w:t>
            </w:r>
            <w:r>
              <w:rPr>
                <w:rFonts w:hint="eastAsia"/>
                <w:color w:val="auto"/>
              </w:rPr>
              <w:t>，并取得排污许可手续</w:t>
            </w:r>
            <w:r>
              <w:rPr>
                <w:color w:val="auto"/>
              </w:rPr>
              <w:t>。</w:t>
            </w:r>
          </w:p>
          <w:p>
            <w:pPr>
              <w:rPr>
                <w:color w:val="auto"/>
              </w:rPr>
            </w:pPr>
            <w:r>
              <w:rPr>
                <w:rFonts w:ascii="宋体" w:cs="宋体" w:hAnsi="宋体" w:hint="eastAsia"/>
                <w:color w:val="auto"/>
              </w:rPr>
              <w:t>④</w:t>
            </w:r>
            <w:r>
              <w:rPr>
                <w:color w:val="auto"/>
              </w:rPr>
              <w:t>建设项目竣工后，建设单位或者其委托的技术机构应当依照国家有关法律法规。建设</w:t>
            </w:r>
            <w:r>
              <w:rPr>
                <w:rFonts w:hint="eastAsia"/>
                <w:color w:val="auto"/>
              </w:rPr>
              <w:t>项目</w:t>
            </w:r>
            <w:r>
              <w:rPr>
                <w:color w:val="auto"/>
              </w:rPr>
              <w:t>竣工环境保护验收技术规范。建设项目环境影响报告表和审批决定等要求，如实查验、监测、记载建设</w:t>
            </w:r>
            <w:r>
              <w:rPr>
                <w:rFonts w:ascii="宋体" w:cs="宋体" w:hAnsi="宋体" w:hint="eastAsia"/>
                <w:color w:val="auto"/>
              </w:rPr>
              <w:t>项目环境保护设施的建设和调试情况，同时还应如实记载其他环境保护对策措施“三同时”落</w:t>
            </w:r>
            <w:r>
              <w:rPr>
                <w:color w:val="auto"/>
              </w:rPr>
              <w:t>实情况，编制竣工环境保护验收报告。</w:t>
            </w:r>
          </w:p>
          <w:p>
            <w:pPr>
              <w:rPr>
                <w:color w:val="auto"/>
              </w:rPr>
            </w:pPr>
            <w:r>
              <w:rPr>
                <w:rFonts w:ascii="宋体" w:cs="宋体" w:hAnsi="宋体" w:hint="eastAsia"/>
                <w:color w:val="auto"/>
              </w:rPr>
              <w:t>⑤</w:t>
            </w:r>
            <w:r>
              <w:rPr>
                <w:color w:val="auto"/>
              </w:rPr>
              <w:t>验收报告编制完成后，建设单位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生产或者使用，并纳入环境保护管理部门的管理，对项目各阶段工作进行监督、检查。</w:t>
            </w:r>
          </w:p>
          <w:p>
            <w:pPr>
              <w:rPr>
                <w:color w:val="auto"/>
              </w:rPr>
            </w:pPr>
            <w:r>
              <w:rPr>
                <w:color w:val="auto"/>
              </w:rPr>
              <w:t>建设单位按照《环境保护信息公开办法》进行相关信息的公开。</w:t>
            </w:r>
          </w:p>
          <w:p>
            <w:pPr>
              <w:rPr>
                <w:color w:val="auto"/>
              </w:rPr>
            </w:pPr>
            <w:r>
              <w:rPr>
                <w:color w:val="auto"/>
              </w:rPr>
              <w:t>（2）排污口规范化管理</w:t>
            </w:r>
          </w:p>
          <w:p>
            <w:pPr>
              <w:rPr>
                <w:color w:val="auto"/>
              </w:rPr>
            </w:pPr>
            <w:r>
              <w:rPr>
                <w:color w:val="auto"/>
              </w:rPr>
              <w:t>对排放口规范化整治的统一要求做到：首</w:t>
            </w:r>
            <w:r>
              <w:rPr>
                <w:rFonts w:hint="eastAsia"/>
                <w:color w:val="auto"/>
              </w:rPr>
              <w:t>先排污口要设立标识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本项目不需设废水排放口。此外按照《固定污染源监测质量保证与质量控制技术规范（试行）》（</w:t>
            </w:r>
            <w:r>
              <w:rPr>
                <w:color w:val="auto"/>
              </w:rPr>
              <w:t>HJ/T373</w:t>
            </w:r>
            <w:r>
              <w:rPr>
                <w:rFonts w:hint="eastAsia"/>
                <w:color w:val="auto"/>
              </w:rPr>
              <w:t>－</w:t>
            </w:r>
            <w:r>
              <w:rPr>
                <w:color w:val="auto"/>
              </w:rPr>
              <w:t>2007</w:t>
            </w:r>
            <w:r>
              <w:rPr>
                <w:rFonts w:hint="eastAsia"/>
                <w:color w:val="auto"/>
              </w:rPr>
              <w:t>）和《固定污染源排气中颗粒物测定与气态污染物采样方法》（</w:t>
            </w:r>
            <w:r>
              <w:rPr>
                <w:color w:val="auto"/>
              </w:rPr>
              <w:t>GB T 16157-1996</w:t>
            </w:r>
            <w:r>
              <w:rPr>
                <w:rFonts w:hint="eastAsia"/>
                <w:color w:val="auto"/>
              </w:rPr>
              <w:t>），对现场监测条件按规范要求搭设采样监测平台，废气治理措施治理前、后预留监测孔，便于环境管理及监测部门的日常监督、检查及监测。</w:t>
            </w:r>
          </w:p>
          <w:p>
            <w:pPr>
              <w:rPr>
                <w:color w:val="auto"/>
              </w:rPr>
            </w:pPr>
            <w:r>
              <w:rPr>
                <w:color w:val="auto"/>
              </w:rPr>
              <w:t>a</w:t>
            </w:r>
            <w:r>
              <w:rPr>
                <w:rFonts w:hint="eastAsia"/>
                <w:color w:val="auto"/>
              </w:rPr>
              <w:t>.建设规范化排污口</w:t>
            </w:r>
          </w:p>
          <w:p>
            <w:pPr>
              <w:rPr>
                <w:color w:val="auto"/>
              </w:rPr>
            </w:pPr>
            <w:r>
              <w:rPr>
                <w:rFonts w:hint="eastAsia"/>
                <w:color w:val="auto"/>
              </w:rPr>
              <w:t>建设完善规范化排污口，同时建设的规范化排污口要充分考虑便于采集样品、便于监测计量、便于日常环境监督管理的要求。</w:t>
            </w:r>
          </w:p>
          <w:p>
            <w:pPr>
              <w:rPr>
                <w:color w:val="auto"/>
              </w:rPr>
            </w:pPr>
            <w:r>
              <w:rPr>
                <w:color w:val="auto"/>
              </w:rPr>
              <w:t>b</w:t>
            </w:r>
            <w:r>
              <w:rPr>
                <w:rFonts w:hint="eastAsia"/>
                <w:color w:val="auto"/>
              </w:rPr>
              <w:t>.设立标志牌</w:t>
            </w:r>
          </w:p>
          <w:p>
            <w:pPr>
              <w:keepNext/>
              <w:keepLines/>
              <w:widowControl/>
              <w:rPr>
                <w:b/>
                <w:color w:val="auto"/>
              </w:rPr>
            </w:pPr>
            <w:r>
              <w:rPr>
                <w:rFonts w:hint="eastAsia"/>
                <w:color w:val="auto"/>
                <w:lang w:val="en-US" w:eastAsia="zh-CN"/>
              </w:rPr>
              <w:drawing>
                <wp:anchor distT="0" distB="0" distL="114300" distR="114300" simplePos="0" relativeHeight="366" behindDoc="0" locked="0" layoutInCell="1" hidden="0" allowOverlap="1">
                  <wp:simplePos x="0" y="0"/>
                  <wp:positionH relativeFrom="column">
                    <wp:posOffset>3822700</wp:posOffset>
                  </wp:positionH>
                  <wp:positionV relativeFrom="paragraph">
                    <wp:posOffset>916305</wp:posOffset>
                  </wp:positionV>
                  <wp:extent cx="1169670" cy="1181100"/>
                  <wp:effectExtent l="0" t="0" r="11430" b="0"/>
                  <wp:wrapNone/>
                  <wp:docPr id="1080" name="图片 1080"/>
                  <wp:cNvGraphicFramePr>
                    <a:graphicFrameLocks noChangeAspect="1"/>
                  </wp:cNvGraphicFramePr>
                  <a:graphic>
                    <a:graphicData uri="http://schemas.openxmlformats.org/drawingml/2006/picture">
                      <pic:pic>
                        <pic:nvPicPr>
                          <pic:cNvPr id="537" name="图片 537"/>
                          <pic:cNvPicPr/>
                        </pic:nvPicPr>
                        <pic:blipFill>
                          <a:blip r:embed="rId55"/>
                          <a:stretch>
                            <a:fillRect/>
                          </a:stretch>
                        </pic:blipFill>
                        <pic:spPr>
                          <a:xfrm rot="0">
                            <a:off x="0" y="0"/>
                            <a:ext cx="1169670" cy="1181100"/>
                          </a:xfrm>
                          <a:prstGeom prst="rect"/>
                          <a:noFill/>
                          <a:ln cmpd="sng" cap="flat">
                            <a:noFill/>
                            <a:prstDash val="solid"/>
                            <a:round/>
                          </a:ln>
                        </pic:spPr>
                      </pic:pic>
                    </a:graphicData>
                  </a:graphic>
                </wp:anchor>
              </w:drawing>
            </w:r>
            <w:r>
              <w:rPr>
                <w:rFonts w:hint="eastAsia"/>
                <w:color w:val="auto"/>
                <w:lang w:val="en-US" w:eastAsia="zh-CN"/>
              </w:rPr>
              <w:drawing>
                <wp:anchor distT="0" distB="0" distL="114300" distR="114300" simplePos="0" relativeHeight="364" behindDoc="0" locked="0" layoutInCell="1" hidden="0" allowOverlap="1">
                  <wp:simplePos x="0" y="0"/>
                  <wp:positionH relativeFrom="column">
                    <wp:posOffset>1960880</wp:posOffset>
                  </wp:positionH>
                  <wp:positionV relativeFrom="paragraph">
                    <wp:posOffset>935355</wp:posOffset>
                  </wp:positionV>
                  <wp:extent cx="1765300" cy="1108075"/>
                  <wp:effectExtent l="0" t="0" r="6350" b="15875"/>
                  <wp:wrapNone/>
                  <wp:docPr id="1081" name="图片 6"/>
                  <wp:cNvGraphicFramePr>
                    <a:graphicFrameLocks noChangeAspect="1"/>
                  </wp:cNvGraphicFramePr>
                  <a:graphic>
                    <a:graphicData uri="http://schemas.openxmlformats.org/drawingml/2006/picture">
                      <pic:pic>
                        <pic:nvPicPr>
                          <pic:cNvPr id="539" name="图片 6 539"/>
                          <pic:cNvPicPr/>
                        </pic:nvPicPr>
                        <pic:blipFill>
                          <a:blip r:embed="rId56"/>
                          <a:stretch>
                            <a:fillRect/>
                          </a:stretch>
                        </pic:blipFill>
                        <pic:spPr>
                          <a:xfrm rot="0">
                            <a:off x="0" y="0"/>
                            <a:ext cx="1765300" cy="1108075"/>
                          </a:xfrm>
                          <a:prstGeom prst="rect"/>
                          <a:noFill/>
                          <a:ln cmpd="sng" cap="flat">
                            <a:noFill/>
                            <a:prstDash val="solid"/>
                            <a:round/>
                          </a:ln>
                        </pic:spPr>
                      </pic:pic>
                    </a:graphicData>
                  </a:graphic>
                </wp:anchor>
              </w:drawing>
            </w:r>
            <w:r>
              <w:rPr>
                <w:b/>
                <w:color w:val="auto"/>
              </w:rPr>
              <mc:AlternateContent>
                <mc:Choice Requires="wps">
                  <w:drawing>
                    <wp:inline distT="0" distB="0" distL="114300" distR="114300">
                      <wp:extent cx="4853940" cy="2011680"/>
                      <wp:effectExtent l="0" t="9525" r="22860" b="17145"/>
                      <wp:docPr id="1086" name="组合 1086"/>
                      <wp:cNvGraphicFramePr>
                        <a:graphicFrameLocks noChangeAspect="0"/>
                      </wp:cNvGraphicFramePr>
                      <a:graphic>
                        <a:graphicData uri="http://schemas.microsoft.com/office/word/2010/wordprocessingGroup">
                          <wpg:wgp>
                            <wpg:cNvPr id="540" name="组合 540"/>
                            <wpg:cNvGrpSpPr/>
                            <wpg:grpSpPr>
                              <a:xfrm rot="0">
                                <a:off x="0" y="0"/>
                                <a:ext cx="4853940" cy="2011680"/>
                                <a:chOff x="0" y="0"/>
                                <a:chExt cx="4853940" cy="2011680"/>
                              </a:xfrm>
                              <a:prstGeom prst="rect"/>
                              <a:solidFill>
                                <a:srgbClr val="FFFFFF"/>
                              </a:solidFill>
                              <a:ln w="9525" cmpd="sng" cap="flat">
                                <a:solidFill>
                                  <a:srgbClr val="000000"/>
                                </a:solidFill>
                                <a:prstDash val="solid"/>
                                <a:miter/>
                              </a:ln>
                            </wpg:grpSpPr>
                            <pic:pic>
                              <pic:nvPicPr>
                                <pic:cNvPr id="542" name="图片 1062 542"/>
                                <pic:cNvPicPr/>
                              </pic:nvPicPr>
                              <pic:blipFill>
                                <a:blip r:embed="rId57"/>
                                <a:stretch>
                                  <a:fillRect/>
                                </a:stretch>
                              </pic:blipFill>
                              <pic:spPr>
                                <a:xfrm rot="0">
                                  <a:off x="1576704" y="8214"/>
                                  <a:ext cx="1620519" cy="869940"/>
                                </a:xfrm>
                                <a:prstGeom prst="rect"/>
                                <a:noFill/>
                                <a:ln w="9525" cmpd="sng" cap="flat">
                                  <a:solidFill>
                                    <a:srgbClr val="000000"/>
                                  </a:solidFill>
                                  <a:prstDash val="solid"/>
                                  <a:miter/>
                                </a:ln>
                              </pic:spPr>
                            </pic:pic>
                            <pic:pic>
                              <pic:nvPicPr>
                                <pic:cNvPr id="544" name="图片 1063 544"/>
                                <pic:cNvPicPr/>
                              </pic:nvPicPr>
                              <pic:blipFill>
                                <a:blip r:embed="rId58"/>
                                <a:stretch>
                                  <a:fillRect/>
                                </a:stretch>
                              </pic:blipFill>
                              <pic:spPr>
                                <a:xfrm rot="0">
                                  <a:off x="79374" y="3230"/>
                                  <a:ext cx="1462405" cy="864218"/>
                                </a:xfrm>
                                <a:prstGeom prst="rect"/>
                                <a:noFill/>
                                <a:ln w="9525" cmpd="sng" cap="flat">
                                  <a:solidFill>
                                    <a:srgbClr val="000000"/>
                                  </a:solidFill>
                                  <a:prstDash val="solid"/>
                                  <a:miter/>
                                </a:ln>
                              </pic:spPr>
                            </pic:pic>
                            <pic:pic>
                              <pic:nvPicPr>
                                <pic:cNvPr id="546" name="图片 1067 546"/>
                                <pic:cNvPicPr/>
                              </pic:nvPicPr>
                              <pic:blipFill>
                                <a:blip r:embed="rId59"/>
                                <a:stretch>
                                  <a:fillRect/>
                                </a:stretch>
                              </pic:blipFill>
                              <pic:spPr>
                                <a:xfrm rot="0">
                                  <a:off x="3265805" y="0"/>
                                  <a:ext cx="1588135" cy="866156"/>
                                </a:xfrm>
                                <a:prstGeom prst="rect"/>
                                <a:noFill/>
                                <a:ln w="9525" cmpd="sng" cap="flat">
                                  <a:solidFill>
                                    <a:srgbClr val="000000"/>
                                  </a:solidFill>
                                  <a:prstDash val="solid"/>
                                  <a:miter/>
                                </a:ln>
                              </pic:spPr>
                            </pic:pic>
                            <pic:pic>
                              <pic:nvPicPr>
                                <pic:cNvPr id="548" name="图片 75 548"/>
                                <pic:cNvPicPr/>
                              </pic:nvPicPr>
                              <pic:blipFill>
                                <a:blip r:embed="rId60"/>
                                <a:srcRect t="10073" b="6144" l="8000" r="5279"/>
                                <a:stretch>
                                  <a:fillRect/>
                                </a:stretch>
                              </pic:blipFill>
                              <pic:spPr>
                                <a:xfrm rot="0">
                                  <a:off x="0" y="934083"/>
                                  <a:ext cx="1588134" cy="1077596"/>
                                </a:xfrm>
                                <a:prstGeom prst="rect"/>
                                <a:noFill/>
                                <a:ln w="9525" cmpd="sng" cap="flat">
                                  <a:noFill/>
                                  <a:prstDash val="solid"/>
                                  <a:miter/>
                                </a:ln>
                              </pic:spPr>
                            </pic:pic>
                            <wps:bodyPr vert="horz" wrap="square" lIns="91440" tIns="45720" rIns="91440" bIns="45720" anchor="t" anchorCtr="0" upright="1">
                              <a:noAutofit/>
                            </wps:bodyPr>
                          </wpg:wgp>
                        </a:graphicData>
                      </a:graphic>
                    </wp:inline>
                  </w:drawing>
                </mc:Choice>
                <mc:Fallback>
                  <w:pict>
                    <v:group type="#_x0000_t1" id="组合 1086" o:spid="_x0000_s549" coordorigin="2474,9386" coordsize="7644,3168" style="width:382.2pt;height:158.4pt;">
                      <v:shape type="#_x0000_t75" id="图片 1062 542" o:spid="_x0000_s550" alt="b8791a6bd6323c1da1ef52bfabe4d3b" style="position:absolute;left:4957;top:9399;width:2551;height:1369;" filled="f" stroked="t">
                        <v:imagedata r:id="rId61" o:title="image47"/>
                        <o:lock aspectratio="t"/>
                        <v:stroke color="#000000"/>
                      </v:shape>
                      <v:shape type="#_x0000_t75" id="图片 1063 544" o:spid="_x0000_s551" alt="687f15e72b2caa7fb261f25803ab729" style="position:absolute;left:2599;top:9391;width:2303;height:1360;" filled="f" stroked="t">
                        <v:imagedata r:id="rId62" o:title="image48"/>
                        <o:lock aspectratio="t"/>
                        <v:stroke color="#000000"/>
                      </v:shape>
                      <v:shape type="#_x0000_t75" id="图片 1067 546" o:spid="_x0000_s552" alt="540faf47c2c3eaffb918b2647aa6424" style="position:absolute;left:7617;top:9386;width:2501;height:1364;" filled="f" stroked="t">
                        <v:imagedata r:id="rId63" o:title="image49"/>
                        <o:lock aspectratio="t"/>
                        <v:stroke color="#000000"/>
                      </v:shape>
                      <v:shape type="#_x0000_t75" id="图片 75 548" o:spid="_x0000_s553" alt="废水排放口标识牌48X30cm" style="position:absolute;left:2474;top:10857;width:2500;height:1697;" filled="f" stroked="f">
                        <v:imagedata r:id="rId64" o:title="image50" croptop="6600f" cropbottom="4025f" cropleft="5242f" cropright="3459f"/>
                        <o:lock aspectratio="t"/>
                        <v:stroke/>
                      </v:shape>
                    </v:group>
                  </w:pict>
                </mc:Fallback>
              </mc:AlternateContent>
            </w:r>
          </w:p>
          <w:p>
            <w:pPr>
              <w:keepNext/>
              <w:keepLines/>
              <w:widowControl/>
              <w:ind w:firstLineChars="199" w:firstLine="478"/>
              <w:jc w:val="center"/>
              <w:rPr>
                <w:b/>
                <w:color w:val="auto"/>
              </w:rPr>
            </w:pPr>
            <w:r>
              <w:rPr>
                <w:b/>
                <w:color w:val="auto"/>
              </w:rPr>
              <w:t>图</w:t>
            </w:r>
            <w:r>
              <w:rPr>
                <w:rFonts w:hint="eastAsia"/>
                <w:b/>
                <w:color w:val="auto"/>
              </w:rPr>
              <w:t>4-4</w:t>
            </w:r>
            <w:r>
              <w:rPr>
                <w:b/>
                <w:color w:val="auto"/>
              </w:rPr>
              <w:t xml:space="preserve">  环境保护图形标志牌</w:t>
            </w:r>
          </w:p>
          <w:p>
            <w:pPr>
              <w:rPr>
                <w:color w:val="auto"/>
              </w:rPr>
            </w:pPr>
            <w:r>
              <w:rPr>
                <w:color w:val="auto"/>
              </w:rPr>
              <w:t>c</w:t>
            </w:r>
            <w:r>
              <w:rPr>
                <w:rFonts w:hint="eastAsia"/>
                <w:color w:val="auto"/>
              </w:rPr>
              <w:t>.建立规范化排污口档案</w:t>
            </w:r>
          </w:p>
          <w:p>
            <w:pPr>
              <w:rPr>
                <w:color w:val="auto"/>
              </w:rPr>
            </w:pPr>
            <w:r>
              <w:rPr>
                <w:rFonts w:hint="eastAsia"/>
                <w:color w:val="auto"/>
              </w:rPr>
              <w:t>建立各排污口相应的监督管理档案，内容包括排污单位名称，排污口性质及编号，排污口的地理位置（</w:t>
            </w:r>
            <w:r>
              <w:rPr>
                <w:color w:val="auto"/>
              </w:rPr>
              <w:t>GPS</w:t>
            </w:r>
            <w:r>
              <w:rPr>
                <w:rFonts w:hint="eastAsia"/>
                <w:color w:val="auto"/>
              </w:rPr>
              <w:t>定位经纬度），排污口所排放的主要污染物种类、数量、浓度及排放去向、达标情况，设施运行及日常现场监督检查记录等有关资料和记录。</w:t>
            </w:r>
          </w:p>
          <w:p>
            <w:pPr>
              <w:rPr>
                <w:b/>
                <w:color w:val="auto"/>
              </w:rPr>
            </w:pPr>
            <w:r>
              <w:rPr>
                <w:rFonts w:hint="eastAsia"/>
                <w:b/>
                <w:color w:val="auto"/>
              </w:rPr>
              <w:t>八</w:t>
            </w:r>
            <w:r>
              <w:rPr>
                <w:b/>
                <w:color w:val="auto"/>
              </w:rPr>
              <w:t>、电磁辐射</w:t>
            </w:r>
          </w:p>
          <w:p>
            <w:pPr>
              <w:rPr>
                <w:b/>
                <w:color w:val="auto"/>
              </w:rPr>
            </w:pPr>
            <w:r>
              <w:rPr>
                <w:color w:val="auto"/>
              </w:rPr>
              <w:t>本</w:t>
            </w:r>
            <w:r>
              <w:rPr>
                <w:rFonts w:hint="eastAsia"/>
                <w:color w:val="auto"/>
                <w:szCs w:val="32"/>
              </w:rPr>
              <w:t>项目</w:t>
            </w:r>
            <w:r>
              <w:rPr>
                <w:color w:val="auto"/>
              </w:rPr>
              <w:t>不涉及电磁辐射环境影响</w:t>
            </w:r>
            <w:r>
              <w:rPr>
                <w:rFonts w:hint="eastAsia"/>
                <w:color w:val="auto"/>
              </w:rPr>
              <w:t>。</w:t>
            </w:r>
          </w:p>
          <w:p>
            <w:pPr>
              <w:rPr>
                <w:b/>
                <w:color w:val="auto"/>
              </w:rPr>
            </w:pPr>
            <w:r>
              <w:rPr>
                <w:rFonts w:hint="eastAsia"/>
                <w:b/>
                <w:color w:val="auto"/>
              </w:rPr>
              <w:t>九、生态</w:t>
            </w:r>
          </w:p>
          <w:p>
            <w:pPr>
              <w:rPr>
                <w:rFonts w:hint="eastAsia"/>
                <w:color w:val="auto"/>
              </w:rPr>
            </w:pPr>
            <w:r>
              <w:rPr>
                <w:rFonts w:hint="eastAsia"/>
                <w:color w:val="auto"/>
              </w:rPr>
              <w:t>本项目</w:t>
            </w:r>
            <w:r>
              <w:rPr>
                <w:rFonts w:hint="eastAsia"/>
                <w:color w:val="auto"/>
                <w:lang w:val="en-US" w:eastAsia="zh-CN"/>
              </w:rPr>
              <w:t>利用</w:t>
            </w:r>
            <w:r>
              <w:rPr>
                <w:rFonts w:hint="eastAsia"/>
                <w:color w:val="auto"/>
              </w:rPr>
              <w:t>现有</w:t>
            </w:r>
            <w:r>
              <w:rPr>
                <w:rFonts w:hint="eastAsia"/>
                <w:color w:val="auto"/>
                <w:lang w:val="en-US" w:eastAsia="zh-CN"/>
              </w:rPr>
              <w:t>生产车间</w:t>
            </w:r>
            <w:r>
              <w:rPr>
                <w:rFonts w:hint="eastAsia"/>
                <w:color w:val="auto"/>
              </w:rPr>
              <w:t>进行建设</w:t>
            </w:r>
            <w:r>
              <w:rPr>
                <w:rFonts w:hint="eastAsia"/>
                <w:color w:val="auto"/>
                <w:lang w:val="en-US" w:eastAsia="zh-CN"/>
              </w:rPr>
              <w:t>生产</w:t>
            </w:r>
            <w:r>
              <w:rPr>
                <w:rFonts w:hint="eastAsia"/>
                <w:color w:val="auto"/>
              </w:rPr>
              <w:t>，不新增占地面积，占地类型为工业用地，且项目选址范围内无重要的生态环境保护目标，因此无需开展生态环境产生影响分析。</w:t>
            </w:r>
          </w:p>
        </w:tc>
      </w:tr>
    </w:tbl>
    <w:p>
      <w:pPr>
        <w:rPr>
          <w:b/>
          <w:color w:val="auto"/>
          <w:kern w:val="0"/>
          <w:szCs w:val="28"/>
        </w:rPr>
        <w:sectPr>
          <w:pgSz w:w="11907" w:h="16840"/>
          <w:pgMar w:top="1417" w:right="1417" w:bottom="1417" w:left="1417" w:header="851" w:footer="851" w:gutter="0"/>
          <w:cols w:num="1" w:space="720"/>
          <w:docGrid w:linePitch="312" w:charSpace="0"/>
        </w:sectPr>
      </w:pPr>
    </w:p>
    <w:p>
      <w:pPr>
        <w:ind w:firstLineChars="0" w:firstLine="0"/>
        <w:jc w:val="center"/>
        <w:outlineLvl w:val="0"/>
        <w:rPr>
          <w:rFonts w:ascii="宋体" w:cs="宋体" w:hAnsi="宋体" w:hint="eastAsia"/>
          <w:b/>
          <w:bCs/>
          <w:snapToGrid w:val="0"/>
          <w:color w:val="auto"/>
          <w:sz w:val="30"/>
          <w:szCs w:val="30"/>
        </w:rPr>
      </w:pPr>
      <w:r>
        <w:rPr>
          <w:rFonts w:ascii="宋体" w:cs="宋体" w:hAnsi="宋体" w:hint="eastAsia"/>
          <w:b/>
          <w:bCs/>
          <w:snapToGrid w:val="0"/>
          <w:color w:val="auto"/>
          <w:sz w:val="30"/>
          <w:szCs w:val="30"/>
        </w:rPr>
        <w:t>五、</w:t>
      </w:r>
      <w:bookmarkStart w:id="17" w:name="_Hlk54167917"/>
      <w:r>
        <w:rPr>
          <w:rFonts w:ascii="宋体" w:cs="宋体" w:hAnsi="宋体" w:hint="eastAsia"/>
          <w:b/>
          <w:bCs/>
          <w:snapToGrid w:val="0"/>
          <w:color w:val="auto"/>
          <w:sz w:val="30"/>
          <w:szCs w:val="30"/>
        </w:rPr>
        <w:t>环境保护措施监督检查清单</w:t>
      </w:r>
      <w:bookmarkEnd w:id="17"/>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86"/>
        <w:gridCol w:w="1369"/>
        <w:gridCol w:w="1554"/>
        <w:gridCol w:w="1915"/>
        <w:gridCol w:w="3437"/>
      </w:tblGrid>
      <w:tr>
        <w:trPr>
          <w:trHeight w:val="23"/>
        </w:trPr>
        <w:tc>
          <w:tcPr>
            <w:tcW w:w="806" w:type="dxa"/>
            <w:tcBorders>
              <w:bottom w:val="single" w:sz="4" w:space="0" w:color="auto"/>
              <w:tl2br w:val="single" w:sz="4" w:space="0" w:color="auto"/>
            </w:tcBorders>
            <w:vAlign w:val="center"/>
          </w:tcPr>
          <w:p>
            <w:pPr>
              <w:spacing w:line="240" w:lineRule="auto"/>
              <w:ind w:firstLineChars="0" w:firstLine="0"/>
              <w:jc w:val="center"/>
              <w:rPr>
                <w:color w:val="auto"/>
              </w:rPr>
            </w:pPr>
            <w:r>
              <w:rPr>
                <w:color w:val="auto"/>
              </w:rPr>
              <w:t>内容</w:t>
            </w:r>
          </w:p>
          <w:p>
            <w:pPr>
              <w:spacing w:line="240" w:lineRule="auto"/>
              <w:ind w:firstLineChars="0" w:firstLine="0"/>
              <w:jc w:val="center"/>
              <w:rPr>
                <w:color w:val="auto"/>
              </w:rPr>
            </w:pPr>
          </w:p>
          <w:p>
            <w:pPr>
              <w:spacing w:line="240" w:lineRule="auto"/>
              <w:ind w:firstLineChars="0" w:firstLine="0"/>
              <w:jc w:val="center"/>
              <w:rPr>
                <w:color w:val="auto"/>
              </w:rPr>
            </w:pPr>
          </w:p>
          <w:p>
            <w:pPr>
              <w:spacing w:line="240" w:lineRule="auto"/>
              <w:ind w:firstLineChars="0" w:firstLine="0"/>
              <w:rPr>
                <w:color w:val="auto"/>
              </w:rPr>
            </w:pPr>
            <w:r>
              <w:rPr>
                <w:color w:val="auto"/>
              </w:rPr>
              <w:t>要素</w:t>
            </w:r>
          </w:p>
        </w:tc>
        <w:tc>
          <w:tcPr>
            <w:tcW w:w="1403" w:type="dxa"/>
            <w:tcBorders>
              <w:bottom w:val="single" w:sz="4" w:space="0" w:color="auto"/>
            </w:tcBorders>
            <w:vAlign w:val="center"/>
          </w:tcPr>
          <w:p>
            <w:pPr>
              <w:adjustRightInd w:val="0"/>
              <w:snapToGrid w:val="0"/>
              <w:spacing w:line="240" w:lineRule="auto"/>
              <w:ind w:firstLineChars="0" w:firstLine="0"/>
              <w:jc w:val="center"/>
              <w:rPr>
                <w:color w:val="auto"/>
              </w:rPr>
            </w:pPr>
            <w:r>
              <w:rPr>
                <w:color w:val="auto"/>
              </w:rPr>
              <w:t>排放口</w:t>
            </w:r>
            <w:r>
              <w:rPr>
                <w:rFonts w:hint="eastAsia"/>
                <w:color w:val="auto"/>
              </w:rPr>
              <w:t>（</w:t>
            </w:r>
            <w:r>
              <w:rPr>
                <w:color w:val="auto"/>
              </w:rPr>
              <w:t>编号、名称</w:t>
            </w:r>
            <w:r>
              <w:rPr>
                <w:rFonts w:hint="eastAsia"/>
                <w:color w:val="auto"/>
              </w:rPr>
              <w:t>）</w:t>
            </w:r>
            <w:r>
              <w:rPr>
                <w:color w:val="auto"/>
              </w:rPr>
              <w:t>/污染源</w:t>
            </w:r>
          </w:p>
        </w:tc>
        <w:tc>
          <w:tcPr>
            <w:tcW w:w="1593" w:type="dxa"/>
            <w:tcBorders>
              <w:bottom w:val="single" w:sz="4" w:space="0" w:color="auto"/>
            </w:tcBorders>
            <w:vAlign w:val="center"/>
          </w:tcPr>
          <w:p>
            <w:pPr>
              <w:adjustRightInd w:val="0"/>
              <w:snapToGrid w:val="0"/>
              <w:spacing w:line="240" w:lineRule="auto"/>
              <w:ind w:firstLineChars="0" w:firstLine="0"/>
              <w:jc w:val="center"/>
              <w:rPr>
                <w:color w:val="auto"/>
              </w:rPr>
            </w:pPr>
            <w:r>
              <w:rPr>
                <w:color w:val="auto"/>
              </w:rPr>
              <w:t>污染物项目</w:t>
            </w:r>
          </w:p>
        </w:tc>
        <w:tc>
          <w:tcPr>
            <w:tcW w:w="1963" w:type="dxa"/>
            <w:tcBorders>
              <w:bottom w:val="single" w:sz="4" w:space="0" w:color="auto"/>
            </w:tcBorders>
            <w:vAlign w:val="center"/>
          </w:tcPr>
          <w:p>
            <w:pPr>
              <w:adjustRightInd w:val="0"/>
              <w:snapToGrid w:val="0"/>
              <w:spacing w:line="240" w:lineRule="auto"/>
              <w:ind w:firstLineChars="0" w:firstLine="0"/>
              <w:jc w:val="center"/>
              <w:rPr>
                <w:color w:val="auto"/>
              </w:rPr>
            </w:pPr>
            <w:r>
              <w:rPr>
                <w:color w:val="auto"/>
              </w:rPr>
              <w:t>环境保护措施</w:t>
            </w:r>
          </w:p>
        </w:tc>
        <w:tc>
          <w:tcPr>
            <w:tcW w:w="3523" w:type="dxa"/>
            <w:tcBorders>
              <w:bottom w:val="single" w:sz="4" w:space="0" w:color="auto"/>
            </w:tcBorders>
            <w:vAlign w:val="center"/>
          </w:tcPr>
          <w:p>
            <w:pPr>
              <w:adjustRightInd w:val="0"/>
              <w:snapToGrid w:val="0"/>
              <w:spacing w:line="240" w:lineRule="auto"/>
              <w:ind w:firstLineChars="0" w:firstLine="0"/>
              <w:jc w:val="center"/>
              <w:rPr>
                <w:color w:val="auto"/>
              </w:rPr>
            </w:pPr>
            <w:r>
              <w:rPr>
                <w:color w:val="auto"/>
              </w:rPr>
              <w:t>执行标准</w:t>
            </w:r>
          </w:p>
        </w:tc>
      </w:tr>
      <w:tr>
        <w:trPr>
          <w:trHeight w:val="23"/>
        </w:trPr>
        <w:tc>
          <w:tcPr>
            <w:tcW w:w="806" w:type="dxa"/>
            <w:vMerge w:val="restart"/>
            <w:vAlign w:val="center"/>
          </w:tcPr>
          <w:p>
            <w:pPr>
              <w:adjustRightInd w:val="0"/>
              <w:snapToGrid w:val="0"/>
              <w:spacing w:line="240" w:lineRule="auto"/>
              <w:ind w:firstLineChars="0" w:firstLine="0"/>
              <w:jc w:val="center"/>
              <w:rPr>
                <w:color w:val="auto"/>
              </w:rPr>
            </w:pPr>
            <w:r>
              <w:rPr>
                <w:rFonts w:hint="eastAsia"/>
                <w:color w:val="auto"/>
              </w:rPr>
              <w:t>大气</w:t>
            </w:r>
          </w:p>
          <w:p>
            <w:pPr>
              <w:adjustRightInd w:val="0"/>
              <w:snapToGrid w:val="0"/>
              <w:spacing w:line="240" w:lineRule="auto"/>
              <w:ind w:firstLineChars="0" w:firstLine="0"/>
              <w:jc w:val="center"/>
              <w:rPr>
                <w:color w:val="auto"/>
              </w:rPr>
            </w:pPr>
            <w:r>
              <w:rPr>
                <w:rFonts w:hint="eastAsia"/>
                <w:color w:val="auto"/>
              </w:rPr>
              <w:t>环境</w:t>
            </w:r>
          </w:p>
        </w:tc>
        <w:tc>
          <w:tcPr>
            <w:tcW w:w="1403" w:type="dxa"/>
            <w:tcBorders>
              <w:left w:val="single" w:sz="4" w:space="0" w:color="auto"/>
            </w:tcBorders>
            <w:vAlign w:val="center"/>
          </w:tcPr>
          <w:p>
            <w:pPr>
              <w:pStyle w:val="39"/>
              <w:jc w:val="center"/>
              <w:rPr>
                <w:color w:val="auto"/>
                <w:sz w:val="24"/>
              </w:rPr>
            </w:pPr>
            <w:r>
              <w:rPr>
                <w:rFonts w:hint="eastAsia"/>
                <w:color w:val="auto"/>
                <w:sz w:val="24"/>
                <w:lang w:val="en-US" w:eastAsia="zh-CN"/>
              </w:rPr>
              <w:t>中微量元素车间</w:t>
            </w:r>
            <w:r>
              <w:rPr>
                <w:color w:val="auto"/>
                <w:sz w:val="24"/>
              </w:rPr>
              <w:t>排气筒</w:t>
            </w:r>
            <w:r>
              <w:rPr>
                <w:rFonts w:hint="eastAsia"/>
                <w:color w:val="auto"/>
                <w:sz w:val="24"/>
                <w:lang w:eastAsia="zh-CN"/>
              </w:rPr>
              <w:t>（</w:t>
            </w:r>
            <w:r>
              <w:rPr>
                <w:rFonts w:hint="eastAsia"/>
                <w:color w:val="auto"/>
                <w:sz w:val="24"/>
                <w:lang w:val="en-US" w:eastAsia="zh-CN"/>
              </w:rPr>
              <w:t>P1）</w:t>
            </w:r>
          </w:p>
        </w:tc>
        <w:tc>
          <w:tcPr>
            <w:tcW w:w="1593" w:type="dxa"/>
            <w:tcBorders>
              <w:left w:val="single" w:sz="4" w:space="0" w:color="auto"/>
            </w:tcBorders>
            <w:vAlign w:val="center"/>
          </w:tcPr>
          <w:p>
            <w:pPr>
              <w:pStyle w:val="39"/>
              <w:rPr>
                <w:rFonts w:hint="eastAsia"/>
                <w:color w:val="auto"/>
                <w:sz w:val="24"/>
              </w:rPr>
            </w:pPr>
            <w:r>
              <w:rPr>
                <w:rFonts w:hint="eastAsia"/>
                <w:color w:val="auto"/>
                <w:sz w:val="24"/>
              </w:rPr>
              <w:t>颗粒物</w:t>
            </w:r>
          </w:p>
        </w:tc>
        <w:tc>
          <w:tcPr>
            <w:tcW w:w="1963" w:type="dxa"/>
            <w:tcBorders>
              <w:left w:val="single" w:sz="4" w:space="0" w:color="auto"/>
            </w:tcBorders>
            <w:vAlign w:val="center"/>
          </w:tcPr>
          <w:p>
            <w:pPr>
              <w:pStyle w:val="39"/>
              <w:rPr>
                <w:rFonts w:eastAsia="宋体" w:hint="eastAsia"/>
                <w:color w:val="auto"/>
                <w:sz w:val="24"/>
                <w:lang w:val="en-US" w:eastAsia="zh-CN"/>
              </w:rPr>
            </w:pPr>
            <w:r>
              <w:rPr>
                <w:rFonts w:eastAsia="宋体" w:hint="eastAsia"/>
                <w:color w:val="auto"/>
                <w:sz w:val="24"/>
                <w:lang w:val="en-US" w:eastAsia="zh-CN"/>
              </w:rPr>
              <w:t>集气罩+软帘+管道+袋式除尘器TA001</w:t>
            </w:r>
          </w:p>
        </w:tc>
        <w:tc>
          <w:tcPr>
            <w:tcW w:w="3523" w:type="dxa"/>
            <w:tcBorders>
              <w:left w:val="single" w:sz="4" w:space="0" w:color="auto"/>
            </w:tcBorders>
            <w:vAlign w:val="center"/>
          </w:tcPr>
          <w:p>
            <w:pPr>
              <w:pStyle w:val="39"/>
              <w:rPr>
                <w:rFonts w:hint="eastAsia"/>
                <w:color w:val="auto"/>
                <w:sz w:val="24"/>
              </w:rPr>
            </w:pPr>
            <w:r>
              <w:rPr>
                <w:rFonts w:hint="eastAsia"/>
                <w:color w:val="auto"/>
                <w:sz w:val="24"/>
              </w:rPr>
              <w:t>《大气污染物综合排放标准》（GB16297-1996）表2二级</w:t>
            </w:r>
            <w:r>
              <w:rPr>
                <w:rFonts w:hint="eastAsia"/>
                <w:color w:val="auto"/>
                <w:sz w:val="24"/>
                <w:lang w:val="en-US" w:eastAsia="zh-CN"/>
              </w:rPr>
              <w:t>标准</w:t>
            </w:r>
          </w:p>
        </w:tc>
      </w:tr>
      <w:tr>
        <w:trPr>
          <w:trHeight w:val="23"/>
        </w:trPr>
        <w:tc>
          <w:tcPr>
            <w:tcW w:w="806" w:type="dxa"/>
            <w:vMerge/>
            <w:vAlign w:val="center"/>
          </w:tcPr>
          <w:p/>
        </w:tc>
        <w:tc>
          <w:tcPr>
            <w:tcW w:w="1403" w:type="dxa"/>
            <w:vMerge w:val="restart"/>
            <w:tcBorders>
              <w:left w:val="single" w:sz="4" w:space="0" w:color="auto"/>
            </w:tcBorders>
            <w:vAlign w:val="center"/>
          </w:tcPr>
          <w:p>
            <w:pPr>
              <w:pStyle w:val="39"/>
              <w:jc w:val="center"/>
              <w:rPr>
                <w:color w:val="auto"/>
                <w:sz w:val="24"/>
              </w:rPr>
            </w:pPr>
            <w:r>
              <w:rPr>
                <w:rFonts w:hint="eastAsia"/>
                <w:color w:val="auto"/>
                <w:sz w:val="24"/>
                <w:lang w:val="en-US" w:eastAsia="zh-CN"/>
              </w:rPr>
              <w:t>挤压造粒生产线车间</w:t>
            </w:r>
            <w:r>
              <w:rPr>
                <w:color w:val="auto"/>
                <w:sz w:val="24"/>
              </w:rPr>
              <w:t>排气筒</w:t>
            </w:r>
            <w:r>
              <w:rPr>
                <w:rFonts w:hint="eastAsia"/>
                <w:color w:val="auto"/>
                <w:sz w:val="24"/>
                <w:lang w:eastAsia="zh-CN"/>
              </w:rPr>
              <w:t>（</w:t>
            </w:r>
            <w:r>
              <w:rPr>
                <w:rFonts w:hint="eastAsia"/>
                <w:color w:val="auto"/>
                <w:sz w:val="24"/>
                <w:lang w:val="en-US" w:eastAsia="zh-CN"/>
              </w:rPr>
              <w:t>P2</w:t>
            </w:r>
            <w:r>
              <w:rPr>
                <w:rFonts w:hint="eastAsia"/>
                <w:color w:val="auto"/>
                <w:sz w:val="24"/>
                <w:lang w:eastAsia="zh-CN"/>
              </w:rPr>
              <w:t>）</w:t>
            </w:r>
          </w:p>
        </w:tc>
        <w:tc>
          <w:tcPr>
            <w:tcW w:w="1593" w:type="dxa"/>
            <w:tcBorders>
              <w:left w:val="single" w:sz="4" w:space="0" w:color="auto"/>
            </w:tcBorders>
            <w:vAlign w:val="center"/>
          </w:tcPr>
          <w:p>
            <w:pPr>
              <w:pStyle w:val="39"/>
              <w:rPr>
                <w:color w:val="auto"/>
                <w:sz w:val="24"/>
              </w:rPr>
            </w:pPr>
            <w:r>
              <w:rPr>
                <w:rFonts w:hint="eastAsia"/>
                <w:color w:val="auto"/>
                <w:sz w:val="24"/>
              </w:rPr>
              <w:t>颗粒物</w:t>
            </w:r>
          </w:p>
        </w:tc>
        <w:tc>
          <w:tcPr>
            <w:tcW w:w="1963" w:type="dxa"/>
            <w:vMerge w:val="restart"/>
            <w:tcBorders>
              <w:left w:val="single" w:sz="4" w:space="0" w:color="auto"/>
            </w:tcBorders>
            <w:vAlign w:val="center"/>
          </w:tcPr>
          <w:p>
            <w:pPr>
              <w:pStyle w:val="39"/>
              <w:rPr>
                <w:rFonts w:eastAsia="宋体" w:hint="eastAsia"/>
                <w:color w:val="auto"/>
                <w:sz w:val="24"/>
                <w:lang w:val="en-US" w:eastAsia="zh-CN"/>
              </w:rPr>
            </w:pPr>
            <w:r>
              <w:rPr>
                <w:rFonts w:eastAsia="宋体" w:hint="eastAsia"/>
                <w:color w:val="auto"/>
                <w:sz w:val="24"/>
                <w:lang w:val="en-US" w:eastAsia="zh-CN"/>
              </w:rPr>
              <w:t>投料</w:t>
            </w:r>
            <w:r>
              <w:rPr>
                <w:rFonts w:hint="eastAsia"/>
                <w:color w:val="auto"/>
                <w:sz w:val="24"/>
                <w:lang w:val="en-US" w:eastAsia="zh-CN"/>
              </w:rPr>
              <w:t>、袋装工序</w:t>
            </w:r>
            <w:r>
              <w:rPr>
                <w:rFonts w:eastAsia="宋体" w:hint="eastAsia"/>
                <w:color w:val="auto"/>
                <w:sz w:val="24"/>
                <w:lang w:val="en-US" w:eastAsia="zh-CN"/>
              </w:rPr>
              <w:t>废气</w:t>
            </w:r>
            <w:r>
              <w:rPr>
                <w:rFonts w:hint="eastAsia"/>
                <w:color w:val="auto"/>
                <w:sz w:val="24"/>
                <w:lang w:val="en-US" w:eastAsia="zh-CN"/>
              </w:rPr>
              <w:t>由</w:t>
            </w:r>
            <w:r>
              <w:rPr>
                <w:rFonts w:eastAsia="宋体" w:hint="eastAsia"/>
                <w:color w:val="auto"/>
                <w:sz w:val="24"/>
                <w:lang w:val="en-US" w:eastAsia="zh-CN"/>
              </w:rPr>
              <w:t>集气罩+软帘收集</w:t>
            </w:r>
            <w:r>
              <w:rPr>
                <w:rFonts w:hint="eastAsia"/>
                <w:color w:val="auto"/>
                <w:sz w:val="24"/>
                <w:lang w:val="en-US" w:eastAsia="zh-CN"/>
              </w:rPr>
              <w:t>，</w:t>
            </w:r>
            <w:r>
              <w:rPr>
                <w:rFonts w:eastAsia="宋体" w:hint="eastAsia"/>
                <w:color w:val="auto"/>
                <w:sz w:val="24"/>
                <w:lang w:val="en-US" w:eastAsia="zh-CN"/>
              </w:rPr>
              <w:t>第一次破碎废气、造粒废气、第二次破碎废气、第一次筛分废气、整形废气、喷脲废气、第二次筛分废气、裹油废气、铺粉废气、冷却废气、抛光废气由密闭管路负压收集，以上废气经旋风除尘器TA001+袋式除尘器TA002+二级活性炭吸附装置TA002+15m排气筒P2</w:t>
            </w:r>
          </w:p>
        </w:tc>
        <w:tc>
          <w:tcPr>
            <w:tcW w:w="3523" w:type="dxa"/>
            <w:vMerge w:val="restart"/>
            <w:tcBorders>
              <w:left w:val="single" w:sz="4" w:space="0" w:color="auto"/>
            </w:tcBorders>
            <w:vAlign w:val="center"/>
          </w:tcPr>
          <w:p>
            <w:pPr>
              <w:pStyle w:val="39"/>
              <w:rPr>
                <w:color w:val="auto"/>
                <w:sz w:val="24"/>
              </w:rPr>
            </w:pPr>
            <w:r>
              <w:rPr>
                <w:rFonts w:hint="eastAsia"/>
                <w:color w:val="auto"/>
                <w:sz w:val="24"/>
              </w:rPr>
              <w:t>《大气污染物综合排放标准》（GB16297-1996）表2二级其他限值</w:t>
            </w: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pStyle w:val="39"/>
              <w:rPr>
                <w:rFonts w:eastAsia="宋体" w:hint="eastAsia"/>
                <w:color w:val="auto"/>
                <w:sz w:val="24"/>
                <w:lang w:val="en-US" w:eastAsia="zh-CN"/>
              </w:rPr>
            </w:pPr>
            <w:r>
              <w:rPr>
                <w:rFonts w:hint="eastAsia"/>
                <w:color w:val="auto"/>
                <w:sz w:val="24"/>
                <w:lang w:val="en-US" w:eastAsia="zh-CN"/>
              </w:rPr>
              <w:t>甲醛</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pStyle w:val="39"/>
              <w:rPr>
                <w:rFonts w:eastAsia="宋体" w:hint="eastAsia"/>
                <w:color w:val="auto"/>
                <w:sz w:val="24"/>
                <w:lang w:val="en-US" w:eastAsia="zh-CN"/>
              </w:rPr>
            </w:pPr>
            <w:r>
              <w:rPr>
                <w:rFonts w:hint="eastAsia"/>
                <w:color w:val="auto"/>
                <w:sz w:val="24"/>
                <w:lang w:val="en-US" w:eastAsia="zh-CN"/>
              </w:rPr>
              <w:t>非甲烷总烃</w:t>
            </w:r>
          </w:p>
        </w:tc>
        <w:tc>
          <w:tcPr>
            <w:tcW w:w="1963" w:type="dxa"/>
            <w:vMerge/>
            <w:tcBorders>
              <w:left w:val="single" w:sz="4" w:space="0" w:color="auto"/>
            </w:tcBorders>
            <w:vAlign w:val="center"/>
          </w:tcPr>
          <w:p/>
        </w:tc>
        <w:tc>
          <w:tcPr>
            <w:tcW w:w="3523" w:type="dxa"/>
            <w:tcBorders>
              <w:left w:val="single" w:sz="4" w:space="0" w:color="auto"/>
            </w:tcBorders>
            <w:vAlign w:val="center"/>
          </w:tcPr>
          <w:p>
            <w:pPr>
              <w:pStyle w:val="39"/>
              <w:rPr>
                <w:rFonts w:hint="eastAsia"/>
                <w:color w:val="auto"/>
                <w:sz w:val="24"/>
              </w:rPr>
            </w:pPr>
            <w:r>
              <w:rPr>
                <w:rFonts w:hint="eastAsia"/>
                <w:color w:val="auto"/>
                <w:sz w:val="24"/>
                <w:lang w:val="en-US" w:eastAsia="zh-CN"/>
              </w:rPr>
              <w:t>《工业企业挥发性有机物排放控制标准》（DB13/2322-2025）表1其他工业行业排放限值</w:t>
            </w:r>
          </w:p>
        </w:tc>
      </w:tr>
      <w:tr>
        <w:trPr>
          <w:trHeight w:val="1951"/>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pStyle w:val="39"/>
              <w:rPr>
                <w:rFonts w:eastAsia="宋体" w:hint="eastAsia"/>
                <w:color w:val="auto"/>
                <w:sz w:val="24"/>
                <w:lang w:val="en-US" w:eastAsia="zh-CN"/>
              </w:rPr>
            </w:pPr>
            <w:r>
              <w:rPr>
                <w:rFonts w:hint="eastAsia"/>
                <w:color w:val="auto"/>
                <w:sz w:val="24"/>
                <w:lang w:val="en-US" w:eastAsia="zh-CN"/>
              </w:rPr>
              <w:t>氨</w:t>
            </w:r>
          </w:p>
        </w:tc>
        <w:tc>
          <w:tcPr>
            <w:tcW w:w="1963" w:type="dxa"/>
            <w:vMerge/>
            <w:tcBorders>
              <w:left w:val="single" w:sz="4" w:space="0" w:color="auto"/>
            </w:tcBorders>
            <w:vAlign w:val="center"/>
          </w:tcPr>
          <w:p/>
        </w:tc>
        <w:tc>
          <w:tcPr>
            <w:tcW w:w="3523" w:type="dxa"/>
            <w:vMerge w:val="restart"/>
            <w:tcBorders>
              <w:left w:val="single" w:sz="4" w:space="0" w:color="auto"/>
            </w:tcBorders>
            <w:vAlign w:val="center"/>
          </w:tcPr>
          <w:p>
            <w:pPr>
              <w:pStyle w:val="39"/>
              <w:rPr>
                <w:rFonts w:hint="eastAsia"/>
                <w:color w:val="auto"/>
                <w:sz w:val="24"/>
              </w:rPr>
            </w:pPr>
            <w:r>
              <w:rPr>
                <w:rFonts w:hint="eastAsia"/>
                <w:color w:val="auto"/>
                <w:sz w:val="24"/>
                <w:lang w:val="en-US" w:eastAsia="zh-CN"/>
              </w:rPr>
              <w:t>《恶臭污染物排放标准》(GB14554-93)表2排放标准值</w:t>
            </w: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pStyle w:val="39"/>
              <w:rPr>
                <w:rFonts w:eastAsia="宋体" w:hint="eastAsia"/>
                <w:color w:val="auto"/>
                <w:sz w:val="24"/>
                <w:lang w:val="en-US" w:eastAsia="zh-CN"/>
              </w:rPr>
            </w:pPr>
            <w:r>
              <w:rPr>
                <w:rFonts w:hint="eastAsia"/>
                <w:color w:val="auto"/>
                <w:sz w:val="24"/>
                <w:lang w:val="en-US" w:eastAsia="zh-CN"/>
              </w:rPr>
              <w:t>臭气浓度</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val="restart"/>
            <w:tcBorders>
              <w:left w:val="single" w:sz="4" w:space="0" w:color="auto"/>
            </w:tcBorders>
            <w:vAlign w:val="center"/>
          </w:tcPr>
          <w:p>
            <w:pPr>
              <w:pStyle w:val="39"/>
              <w:jc w:val="center"/>
              <w:rPr>
                <w:color w:val="auto"/>
                <w:sz w:val="24"/>
                <w:lang w:val="en-US"/>
              </w:rPr>
            </w:pPr>
            <w:r>
              <w:rPr>
                <w:rFonts w:hint="eastAsia"/>
                <w:color w:val="auto"/>
                <w:sz w:val="24"/>
                <w:lang w:val="en-US" w:eastAsia="zh-CN"/>
              </w:rPr>
              <w:t>挤压造粒生产线车间烘干工序排气筒P3</w:t>
            </w:r>
          </w:p>
        </w:tc>
        <w:tc>
          <w:tcPr>
            <w:tcW w:w="1593" w:type="dxa"/>
            <w:tcBorders>
              <w:left w:val="single" w:sz="4" w:space="0" w:color="auto"/>
            </w:tcBorders>
            <w:shd w:val="clear" w:color="auto" w:fill="auto"/>
            <w:vAlign w:val="center"/>
          </w:tcPr>
          <w:p>
            <w:pPr>
              <w:pStyle w:val="39"/>
              <w:rPr>
                <w:rFonts w:hint="eastAsia"/>
                <w:color w:val="auto"/>
                <w:sz w:val="24"/>
                <w:lang w:val="en-US" w:eastAsia="zh-CN"/>
              </w:rPr>
            </w:pPr>
            <w:r>
              <w:rPr>
                <w:rFonts w:hint="eastAsia"/>
                <w:color w:val="auto"/>
                <w:sz w:val="24"/>
                <w:lang w:val="en-US" w:eastAsia="zh-CN"/>
              </w:rPr>
              <w:t>颗粒物</w:t>
            </w:r>
          </w:p>
        </w:tc>
        <w:tc>
          <w:tcPr>
            <w:tcW w:w="1963" w:type="dxa"/>
            <w:vMerge w:val="restart"/>
            <w:tcBorders>
              <w:left w:val="single" w:sz="4" w:space="0" w:color="auto"/>
            </w:tcBorders>
            <w:vAlign w:val="center"/>
          </w:tcPr>
          <w:p>
            <w:pPr>
              <w:pStyle w:val="39"/>
              <w:rPr>
                <w:rFonts w:hint="eastAsia"/>
                <w:color w:val="auto"/>
                <w:sz w:val="24"/>
              </w:rPr>
            </w:pPr>
            <w:r>
              <w:rPr>
                <w:rFonts w:eastAsia="宋体" w:hint="eastAsia"/>
                <w:color w:val="auto"/>
                <w:sz w:val="24"/>
                <w:lang w:val="en-US" w:eastAsia="zh-CN"/>
              </w:rPr>
              <w:t>管道+旋风除尘器（TA002）+袋式除尘器（TA003）+旋转吸附机+水喷淋塔</w:t>
            </w:r>
          </w:p>
        </w:tc>
        <w:tc>
          <w:tcPr>
            <w:tcW w:w="3523" w:type="dxa"/>
            <w:vMerge w:val="restart"/>
            <w:tcBorders>
              <w:left w:val="single" w:sz="4" w:space="0" w:color="auto"/>
            </w:tcBorders>
            <w:vAlign w:val="center"/>
          </w:tcPr>
          <w:p>
            <w:pPr>
              <w:pStyle w:val="39"/>
              <w:rPr>
                <w:rFonts w:hint="eastAsia"/>
                <w:color w:val="auto"/>
                <w:sz w:val="24"/>
              </w:rPr>
            </w:pPr>
            <w:r>
              <w:rPr>
                <w:rFonts w:hint="eastAsia"/>
                <w:color w:val="auto"/>
                <w:sz w:val="24"/>
              </w:rPr>
              <w:t>《大气污染物综合排放标准》（GB16297-1996）表2二级其他限值</w:t>
            </w: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rPr>
                <w:color w:val="auto"/>
                <w:sz w:val="24"/>
                <w:lang w:val="en-US" w:eastAsia="zh-CN"/>
              </w:rPr>
            </w:pPr>
            <w:r>
              <w:rPr>
                <w:rFonts w:hint="eastAsia"/>
                <w:color w:val="auto"/>
                <w:sz w:val="24"/>
                <w:lang w:val="en-US" w:eastAsia="zh-CN"/>
              </w:rPr>
              <w:t>甲醛</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rPr>
                <w:rFonts w:hint="eastAsia"/>
                <w:color w:val="auto"/>
                <w:sz w:val="24"/>
                <w:lang w:val="en-US" w:eastAsia="zh-CN"/>
              </w:rPr>
            </w:pPr>
            <w:r>
              <w:rPr>
                <w:rFonts w:hint="eastAsia"/>
                <w:color w:val="auto"/>
                <w:sz w:val="24"/>
                <w:lang w:val="en-US" w:eastAsia="zh-CN"/>
              </w:rPr>
              <w:t>氨</w:t>
            </w:r>
          </w:p>
        </w:tc>
        <w:tc>
          <w:tcPr>
            <w:tcW w:w="1963" w:type="dxa"/>
            <w:vMerge/>
            <w:tcBorders>
              <w:left w:val="single" w:sz="4" w:space="0" w:color="auto"/>
            </w:tcBorders>
            <w:vAlign w:val="center"/>
          </w:tcPr>
          <w:p/>
        </w:tc>
        <w:tc>
          <w:tcPr>
            <w:tcW w:w="3523" w:type="dxa"/>
            <w:vMerge w:val="restart"/>
            <w:tcBorders>
              <w:left w:val="single" w:sz="4" w:space="0" w:color="auto"/>
            </w:tcBorders>
            <w:vAlign w:val="center"/>
          </w:tcPr>
          <w:p>
            <w:pPr>
              <w:pStyle w:val="39"/>
              <w:rPr>
                <w:rFonts w:hint="eastAsia"/>
                <w:color w:val="auto"/>
                <w:sz w:val="24"/>
              </w:rPr>
            </w:pPr>
            <w:r>
              <w:rPr>
                <w:rFonts w:hint="eastAsia"/>
                <w:color w:val="auto"/>
                <w:sz w:val="24"/>
                <w:lang w:val="en-US" w:eastAsia="zh-CN"/>
              </w:rPr>
              <w:t>《恶臭污染物排放标准》(GB14554-93)表2排放标准值</w:t>
            </w: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rPr>
                <w:rFonts w:hint="eastAsia"/>
                <w:color w:val="auto"/>
                <w:sz w:val="24"/>
                <w:lang w:val="en-US" w:eastAsia="zh-CN"/>
              </w:rPr>
            </w:pPr>
            <w:r>
              <w:rPr>
                <w:rFonts w:hint="eastAsia"/>
                <w:color w:val="auto"/>
                <w:sz w:val="24"/>
                <w:lang w:val="en-US" w:eastAsia="zh-CN"/>
              </w:rPr>
              <w:t>臭气浓度</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val="restart"/>
            <w:tcBorders>
              <w:left w:val="single" w:sz="4" w:space="0" w:color="auto"/>
            </w:tcBorders>
            <w:vAlign w:val="center"/>
          </w:tcPr>
          <w:p>
            <w:pPr>
              <w:pStyle w:val="39"/>
              <w:jc w:val="center"/>
              <w:rPr>
                <w:rFonts w:eastAsia="宋体"/>
                <w:color w:val="auto"/>
                <w:sz w:val="24"/>
                <w:lang w:val="en-US" w:eastAsia="zh-CN"/>
              </w:rPr>
            </w:pPr>
            <w:r>
              <w:rPr>
                <w:rFonts w:hint="eastAsia"/>
                <w:color w:val="auto"/>
                <w:sz w:val="24"/>
                <w:lang w:val="en-US" w:eastAsia="zh-CN"/>
              </w:rPr>
              <w:t>天然气燃烧机后进入密闭烘干机前管道</w:t>
            </w:r>
          </w:p>
        </w:tc>
        <w:tc>
          <w:tcPr>
            <w:tcW w:w="1593" w:type="dxa"/>
            <w:tcBorders>
              <w:left w:val="single" w:sz="4" w:space="0" w:color="auto"/>
            </w:tcBorders>
            <w:shd w:val="clear" w:color="auto" w:fill="auto"/>
            <w:vAlign w:val="center"/>
          </w:tcPr>
          <w:p>
            <w:pPr>
              <w:pStyle w:val="39"/>
              <w:rPr>
                <w:rFonts w:hint="eastAsia"/>
                <w:color w:val="auto"/>
                <w:sz w:val="24"/>
                <w:lang w:val="en-US" w:eastAsia="zh-CN"/>
              </w:rPr>
            </w:pPr>
            <w:r>
              <w:rPr>
                <w:rFonts w:hint="eastAsia"/>
                <w:color w:val="auto"/>
                <w:sz w:val="24"/>
                <w:lang w:val="en-US" w:eastAsia="zh-CN"/>
              </w:rPr>
              <w:t>颗粒物</w:t>
            </w:r>
          </w:p>
        </w:tc>
        <w:tc>
          <w:tcPr>
            <w:tcW w:w="1963" w:type="dxa"/>
            <w:vMerge/>
            <w:tcBorders>
              <w:left w:val="single" w:sz="4" w:space="0" w:color="auto"/>
            </w:tcBorders>
            <w:vAlign w:val="center"/>
          </w:tcPr>
          <w:p/>
        </w:tc>
        <w:tc>
          <w:tcPr>
            <w:tcW w:w="3523" w:type="dxa"/>
            <w:vMerge w:val="restart"/>
            <w:tcBorders>
              <w:left w:val="single" w:sz="4" w:space="0" w:color="auto"/>
            </w:tcBorders>
            <w:vAlign w:val="center"/>
          </w:tcPr>
          <w:p>
            <w:pPr>
              <w:pStyle w:val="39"/>
              <w:rPr>
                <w:rFonts w:hint="eastAsia"/>
                <w:color w:val="auto"/>
                <w:sz w:val="24"/>
              </w:rPr>
            </w:pPr>
            <w:r>
              <w:rPr>
                <w:rFonts w:hint="eastAsia"/>
                <w:color w:val="auto"/>
                <w:sz w:val="24"/>
                <w:lang w:val="en-US" w:eastAsia="zh-CN"/>
              </w:rPr>
              <w:t>《工业炉窑大气污染物排放标准》(DB13/1640-2012)表1标准限值及《工业炉窑大气污染综合治理方案》环大气【2019】56号文件要求</w:t>
            </w: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rPr>
                <w:rFonts w:hint="eastAsia"/>
                <w:color w:val="auto"/>
                <w:sz w:val="24"/>
                <w:lang w:val="en-US" w:eastAsia="zh-CN"/>
              </w:rPr>
            </w:pPr>
            <w:r>
              <w:rPr>
                <w:rFonts w:hint="eastAsia"/>
                <w:color w:val="auto"/>
                <w:sz w:val="24"/>
                <w:lang w:val="en-US" w:eastAsia="zh-CN"/>
              </w:rPr>
              <w:t>二氧化硫</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rPr>
                <w:rFonts w:hint="eastAsia"/>
                <w:color w:val="auto"/>
                <w:sz w:val="24"/>
                <w:lang w:val="en-US" w:eastAsia="zh-CN"/>
              </w:rPr>
            </w:pPr>
            <w:r>
              <w:rPr>
                <w:rFonts w:hint="eastAsia"/>
                <w:color w:val="auto"/>
                <w:sz w:val="24"/>
                <w:lang w:val="en-US" w:eastAsia="zh-CN"/>
              </w:rPr>
              <w:t>氮氧化物</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val="restart"/>
            <w:tcBorders>
              <w:left w:val="single" w:sz="4" w:space="0" w:color="auto"/>
            </w:tcBorders>
            <w:vAlign w:val="center"/>
          </w:tcPr>
          <w:p>
            <w:pPr>
              <w:pStyle w:val="39"/>
              <w:jc w:val="center"/>
              <w:rPr>
                <w:color w:val="auto"/>
                <w:sz w:val="24"/>
                <w:lang w:val="en-US" w:eastAsia="zh-CN"/>
              </w:rPr>
            </w:pPr>
            <w:r>
              <w:rPr>
                <w:rFonts w:hint="eastAsia"/>
                <w:color w:val="auto"/>
                <w:sz w:val="24"/>
                <w:lang w:val="en-US" w:eastAsia="zh-CN"/>
              </w:rPr>
              <w:t>化验室废气排气筒P4</w:t>
            </w:r>
          </w:p>
        </w:tc>
        <w:tc>
          <w:tcPr>
            <w:tcW w:w="1593" w:type="dxa"/>
            <w:tcBorders>
              <w:left w:val="single" w:sz="4" w:space="0" w:color="auto"/>
            </w:tcBorders>
            <w:shd w:val="clear" w:color="auto" w:fill="auto"/>
            <w:vAlign w:val="center"/>
          </w:tcPr>
          <w:p>
            <w:pPr>
              <w:adjustRightInd w:val="0"/>
              <w:snapToGrid w:val="0"/>
              <w:spacing w:line="240" w:lineRule="auto"/>
              <w:ind w:firstLineChars="0" w:firstLine="0"/>
              <w:jc w:val="center"/>
              <w:rPr>
                <w:rFonts w:hint="eastAsia"/>
                <w:color w:val="auto"/>
                <w:lang w:val="en-US" w:eastAsia="zh-CN"/>
              </w:rPr>
            </w:pPr>
            <w:r>
              <w:rPr>
                <w:rFonts w:hint="eastAsia"/>
                <w:color w:val="auto"/>
                <w:lang w:val="en-US" w:eastAsia="zh-CN"/>
              </w:rPr>
              <w:t>氯化氢</w:t>
            </w:r>
          </w:p>
        </w:tc>
        <w:tc>
          <w:tcPr>
            <w:tcW w:w="1963" w:type="dxa"/>
            <w:vMerge w:val="restart"/>
            <w:tcBorders>
              <w:left w:val="single" w:sz="4" w:space="0" w:color="auto"/>
            </w:tcBorders>
            <w:vAlign w:val="center"/>
          </w:tcPr>
          <w:p>
            <w:pPr>
              <w:pStyle w:val="39"/>
              <w:rPr>
                <w:rFonts w:hint="eastAsia"/>
                <w:color w:val="auto"/>
                <w:sz w:val="24"/>
              </w:rPr>
            </w:pPr>
            <w:r>
              <w:rPr>
                <w:rFonts w:hint="eastAsia"/>
                <w:color w:val="auto"/>
                <w:sz w:val="24"/>
                <w:lang w:val="en-US" w:eastAsia="zh-CN"/>
              </w:rPr>
              <w:t>集气罩+二级活性炭吸附装置TA001+干式酸雾净化器</w:t>
            </w:r>
          </w:p>
        </w:tc>
        <w:tc>
          <w:tcPr>
            <w:tcW w:w="3523" w:type="dxa"/>
            <w:vMerge w:val="restart"/>
            <w:tcBorders>
              <w:left w:val="single" w:sz="4" w:space="0" w:color="auto"/>
            </w:tcBorders>
            <w:vAlign w:val="center"/>
          </w:tcPr>
          <w:p>
            <w:pPr>
              <w:pStyle w:val="39"/>
              <w:rPr>
                <w:rFonts w:hint="eastAsia"/>
                <w:color w:val="auto"/>
                <w:sz w:val="24"/>
              </w:rPr>
            </w:pPr>
            <w:r>
              <w:rPr>
                <w:rFonts w:hint="eastAsia"/>
                <w:color w:val="auto"/>
                <w:sz w:val="24"/>
                <w:lang w:val="en-US" w:eastAsia="zh-CN"/>
              </w:rPr>
              <w:t>《大气污染物综合排放标准》（GB16297-1996）表2二级标准</w:t>
            </w: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adjustRightInd w:val="0"/>
              <w:snapToGrid w:val="0"/>
              <w:spacing w:line="240" w:lineRule="auto"/>
              <w:ind w:firstLineChars="0" w:firstLine="0"/>
              <w:jc w:val="center"/>
              <w:rPr>
                <w:rFonts w:hint="eastAsia"/>
                <w:color w:val="auto"/>
                <w:lang w:val="en-US" w:eastAsia="zh-CN"/>
              </w:rPr>
            </w:pPr>
            <w:r>
              <w:rPr>
                <w:rFonts w:hint="eastAsia"/>
                <w:color w:val="auto"/>
                <w:lang w:val="en-US" w:eastAsia="zh-CN"/>
              </w:rPr>
              <w:t>硫酸雾</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adjustRightInd w:val="0"/>
              <w:snapToGrid w:val="0"/>
              <w:spacing w:line="240" w:lineRule="auto"/>
              <w:ind w:firstLineChars="0" w:firstLine="0"/>
              <w:jc w:val="center"/>
              <w:rPr>
                <w:rFonts w:hint="eastAsia"/>
                <w:color w:val="auto"/>
                <w:lang w:val="en-US" w:eastAsia="zh-CN"/>
              </w:rPr>
            </w:pPr>
            <w:r>
              <w:rPr>
                <w:rFonts w:hint="eastAsia"/>
                <w:color w:val="auto"/>
                <w:lang w:val="en-US" w:eastAsia="zh-CN"/>
              </w:rPr>
              <w:t>氮氧化物</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ind w:firstLine="0"/>
              <w:rPr>
                <w:color w:val="auto"/>
                <w:lang w:val="en-US" w:eastAsia="zh-CN"/>
              </w:rPr>
            </w:pPr>
            <w:r>
              <w:rPr>
                <w:rFonts w:ascii="Times New Roman" w:eastAsia="宋体" w:cs="Times New Roman" w:hAnsi="Times New Roman" w:hint="eastAsia"/>
                <w:color w:val="auto"/>
                <w:kern w:val="2"/>
                <w:sz w:val="24"/>
                <w:szCs w:val="24"/>
                <w:lang w:val="en-US" w:eastAsia="zh-CN" w:bidi="ar-SA"/>
              </w:rPr>
              <w:t>非甲烷总烃</w:t>
            </w:r>
          </w:p>
        </w:tc>
        <w:tc>
          <w:tcPr>
            <w:tcW w:w="1963" w:type="dxa"/>
            <w:vMerge/>
            <w:tcBorders>
              <w:left w:val="single" w:sz="4" w:space="0" w:color="auto"/>
            </w:tcBorders>
            <w:vAlign w:val="center"/>
          </w:tcPr>
          <w:p/>
        </w:tc>
        <w:tc>
          <w:tcPr>
            <w:tcW w:w="3523" w:type="dxa"/>
            <w:tcBorders>
              <w:left w:val="single" w:sz="4" w:space="0" w:color="auto"/>
            </w:tcBorders>
            <w:vAlign w:val="center"/>
          </w:tcPr>
          <w:p>
            <w:pPr>
              <w:pStyle w:val="39"/>
              <w:rPr>
                <w:rFonts w:hint="eastAsia"/>
                <w:color w:val="auto"/>
                <w:sz w:val="24"/>
              </w:rPr>
            </w:pPr>
            <w:r>
              <w:rPr>
                <w:rFonts w:hint="eastAsia"/>
                <w:color w:val="auto"/>
                <w:sz w:val="24"/>
                <w:lang w:val="en-US" w:eastAsia="zh-CN"/>
              </w:rPr>
              <w:t>《工业企业挥发性有机物排放控制标准》（DB13/2322-2025）表1其他工业行业排放限值</w:t>
            </w:r>
          </w:p>
        </w:tc>
      </w:tr>
      <w:tr>
        <w:trPr>
          <w:trHeight w:val="128"/>
        </w:trPr>
        <w:tc>
          <w:tcPr>
            <w:tcW w:w="806" w:type="dxa"/>
            <w:vMerge/>
            <w:vAlign w:val="center"/>
          </w:tcPr>
          <w:p/>
        </w:tc>
        <w:tc>
          <w:tcPr>
            <w:tcW w:w="1403" w:type="dxa"/>
            <w:vMerge w:val="restart"/>
            <w:tcBorders>
              <w:left w:val="single" w:sz="4" w:space="0" w:color="auto"/>
            </w:tcBorders>
            <w:vAlign w:val="center"/>
          </w:tcPr>
          <w:p>
            <w:pPr>
              <w:adjustRightInd w:val="0"/>
              <w:snapToGrid w:val="0"/>
              <w:spacing w:line="240" w:lineRule="auto"/>
              <w:ind w:firstLineChars="0" w:firstLine="0"/>
              <w:jc w:val="center"/>
              <w:rPr>
                <w:rFonts w:eastAsia="宋体"/>
                <w:color w:val="auto"/>
                <w:lang w:val="en-US" w:eastAsia="zh-CN"/>
              </w:rPr>
            </w:pPr>
            <w:r>
              <w:rPr>
                <w:rFonts w:hint="eastAsia"/>
                <w:color w:val="auto"/>
                <w:lang w:val="en-US" w:eastAsia="zh-CN"/>
              </w:rPr>
              <w:t>无组织</w:t>
            </w:r>
          </w:p>
        </w:tc>
        <w:tc>
          <w:tcPr>
            <w:tcW w:w="1593" w:type="dxa"/>
            <w:tcBorders>
              <w:left w:val="single" w:sz="4" w:space="0" w:color="auto"/>
            </w:tcBorders>
            <w:vAlign w:val="center"/>
          </w:tcPr>
          <w:p>
            <w:pPr>
              <w:adjustRightInd w:val="0"/>
              <w:snapToGrid w:val="0"/>
              <w:spacing w:line="240" w:lineRule="auto"/>
              <w:ind w:firstLineChars="0" w:firstLine="0"/>
              <w:jc w:val="center"/>
              <w:rPr>
                <w:color w:val="auto"/>
              </w:rPr>
            </w:pPr>
            <w:r>
              <w:rPr>
                <w:rFonts w:hint="eastAsia"/>
                <w:color w:val="auto"/>
              </w:rPr>
              <w:t>颗粒物</w:t>
            </w:r>
          </w:p>
        </w:tc>
        <w:tc>
          <w:tcPr>
            <w:tcW w:w="1963" w:type="dxa"/>
            <w:vMerge w:val="restart"/>
            <w:tcBorders>
              <w:left w:val="single" w:sz="4" w:space="0" w:color="auto"/>
            </w:tcBorders>
            <w:vAlign w:val="center"/>
          </w:tcPr>
          <w:p>
            <w:pPr>
              <w:spacing w:line="240" w:lineRule="auto"/>
              <w:ind w:firstLineChars="0" w:firstLine="0"/>
              <w:jc w:val="center"/>
              <w:rPr>
                <w:rFonts w:eastAsia="宋体"/>
                <w:color w:val="auto"/>
                <w:lang w:val="en-US" w:eastAsia="zh-CN"/>
              </w:rPr>
            </w:pPr>
            <w:r>
              <w:rPr>
                <w:rFonts w:hint="eastAsia"/>
                <w:color w:val="auto"/>
              </w:rPr>
              <w:t>车间密闭</w:t>
            </w:r>
          </w:p>
        </w:tc>
        <w:tc>
          <w:tcPr>
            <w:tcW w:w="3523" w:type="dxa"/>
            <w:tcBorders>
              <w:left w:val="single" w:sz="4" w:space="0" w:color="auto"/>
            </w:tcBorders>
            <w:vAlign w:val="center"/>
          </w:tcPr>
          <w:p>
            <w:pPr>
              <w:pStyle w:val="39"/>
              <w:rPr>
                <w:rFonts w:hint="eastAsia"/>
                <w:color w:val="auto"/>
                <w:sz w:val="24"/>
              </w:rPr>
            </w:pPr>
            <w:r>
              <w:rPr>
                <w:rFonts w:hint="eastAsia"/>
                <w:color w:val="auto"/>
                <w:sz w:val="24"/>
              </w:rPr>
              <w:t>《大气污染物综合排放标准》(GB16297-1996)表2无组织浓度限值要求</w:t>
            </w:r>
          </w:p>
        </w:tc>
      </w:tr>
      <w:tr>
        <w:trPr>
          <w:trHeight w:val="90"/>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adjustRightInd w:val="0"/>
              <w:snapToGrid w:val="0"/>
              <w:spacing w:line="240" w:lineRule="auto"/>
              <w:ind w:firstLineChars="0" w:firstLine="0"/>
              <w:jc w:val="center"/>
              <w:rPr>
                <w:rFonts w:eastAsia="宋体" w:hint="eastAsia"/>
                <w:color w:val="auto"/>
                <w:lang w:val="en-US" w:eastAsia="zh-CN"/>
              </w:rPr>
            </w:pPr>
            <w:r>
              <w:rPr>
                <w:rFonts w:hint="eastAsia"/>
                <w:color w:val="auto"/>
                <w:lang w:val="en-US" w:eastAsia="zh-CN"/>
              </w:rPr>
              <w:t>氨</w:t>
            </w:r>
          </w:p>
        </w:tc>
        <w:tc>
          <w:tcPr>
            <w:tcW w:w="1963" w:type="dxa"/>
            <w:vMerge/>
            <w:tcBorders>
              <w:left w:val="single" w:sz="4" w:space="0" w:color="auto"/>
            </w:tcBorders>
            <w:vAlign w:val="center"/>
          </w:tcPr>
          <w:p/>
        </w:tc>
        <w:tc>
          <w:tcPr>
            <w:tcW w:w="3523" w:type="dxa"/>
            <w:vMerge w:val="restart"/>
            <w:tcBorders>
              <w:left w:val="single" w:sz="4" w:space="0" w:color="auto"/>
            </w:tcBorders>
            <w:vAlign w:val="center"/>
          </w:tcPr>
          <w:p>
            <w:pPr>
              <w:pStyle w:val="39"/>
              <w:rPr>
                <w:rFonts w:hint="eastAsia"/>
                <w:color w:val="auto"/>
                <w:sz w:val="24"/>
              </w:rPr>
            </w:pPr>
            <w:r>
              <w:rPr>
                <w:rFonts w:hint="eastAsia"/>
                <w:color w:val="auto"/>
                <w:sz w:val="24"/>
                <w:lang w:val="en-US" w:eastAsia="zh-CN"/>
              </w:rPr>
              <w:t>《恶臭污染物排放标准》（GB14554-93）表1二级新扩改建标准</w:t>
            </w:r>
          </w:p>
        </w:tc>
      </w:tr>
      <w:tr>
        <w:trPr>
          <w:trHeight w:val="90"/>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adjustRightInd w:val="0"/>
              <w:snapToGrid w:val="0"/>
              <w:spacing w:line="240" w:lineRule="auto"/>
              <w:ind w:firstLineChars="0" w:firstLine="0"/>
              <w:jc w:val="center"/>
              <w:rPr>
                <w:rFonts w:eastAsia="宋体" w:hint="eastAsia"/>
                <w:color w:val="auto"/>
                <w:lang w:val="en-US" w:eastAsia="zh-CN"/>
              </w:rPr>
            </w:pPr>
            <w:r>
              <w:rPr>
                <w:rFonts w:hint="eastAsia"/>
                <w:color w:val="auto"/>
                <w:lang w:val="en-US" w:eastAsia="zh-CN"/>
              </w:rPr>
              <w:t>臭气浓度</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90"/>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adjustRightInd w:val="0"/>
              <w:snapToGrid w:val="0"/>
              <w:spacing w:line="240" w:lineRule="auto"/>
              <w:ind w:firstLineChars="0" w:firstLine="0"/>
              <w:jc w:val="center"/>
              <w:rPr>
                <w:rFonts w:eastAsia="宋体" w:hint="eastAsia"/>
                <w:color w:val="auto"/>
                <w:lang w:val="en-US" w:eastAsia="zh-CN"/>
              </w:rPr>
            </w:pPr>
            <w:r>
              <w:rPr>
                <w:rFonts w:hint="eastAsia"/>
                <w:color w:val="auto"/>
                <w:lang w:val="en-US" w:eastAsia="zh-CN"/>
              </w:rPr>
              <w:t>氯化氢</w:t>
            </w:r>
          </w:p>
        </w:tc>
        <w:tc>
          <w:tcPr>
            <w:tcW w:w="1963" w:type="dxa"/>
            <w:vMerge/>
            <w:tcBorders>
              <w:left w:val="single" w:sz="4" w:space="0" w:color="auto"/>
            </w:tcBorders>
            <w:vAlign w:val="center"/>
          </w:tcPr>
          <w:p/>
        </w:tc>
        <w:tc>
          <w:tcPr>
            <w:tcW w:w="3523" w:type="dxa"/>
            <w:vMerge w:val="restart"/>
            <w:tcBorders>
              <w:left w:val="single" w:sz="4" w:space="0" w:color="auto"/>
            </w:tcBorders>
            <w:vAlign w:val="center"/>
          </w:tcPr>
          <w:p>
            <w:pPr>
              <w:pStyle w:val="39"/>
              <w:rPr>
                <w:rFonts w:hint="eastAsia"/>
                <w:color w:val="auto"/>
                <w:sz w:val="24"/>
              </w:rPr>
            </w:pPr>
            <w:r>
              <w:rPr>
                <w:rFonts w:hint="eastAsia"/>
                <w:color w:val="auto"/>
                <w:sz w:val="24"/>
              </w:rPr>
              <w:t>《大气污染物综合排放标准》(GB16297-1996)表2无组织浓度限值要求</w:t>
            </w:r>
          </w:p>
        </w:tc>
      </w:tr>
      <w:tr>
        <w:trPr>
          <w:trHeight w:val="90"/>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adjustRightInd w:val="0"/>
              <w:snapToGrid w:val="0"/>
              <w:spacing w:line="240" w:lineRule="auto"/>
              <w:ind w:firstLineChars="0" w:firstLine="0"/>
              <w:jc w:val="center"/>
              <w:rPr>
                <w:rFonts w:eastAsia="宋体" w:hint="eastAsia"/>
                <w:color w:val="auto"/>
                <w:lang w:val="en-US" w:eastAsia="zh-CN"/>
              </w:rPr>
            </w:pPr>
            <w:r>
              <w:rPr>
                <w:rFonts w:hint="eastAsia"/>
                <w:color w:val="auto"/>
                <w:lang w:val="en-US" w:eastAsia="zh-CN"/>
              </w:rPr>
              <w:t>硫酸雾</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90"/>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adjustRightInd w:val="0"/>
              <w:snapToGrid w:val="0"/>
              <w:spacing w:line="240" w:lineRule="auto"/>
              <w:ind w:firstLineChars="0" w:firstLine="0"/>
              <w:jc w:val="center"/>
              <w:rPr>
                <w:rFonts w:eastAsia="宋体" w:hint="eastAsia"/>
                <w:color w:val="auto"/>
                <w:lang w:val="en-US" w:eastAsia="zh-CN"/>
              </w:rPr>
            </w:pPr>
            <w:r>
              <w:rPr>
                <w:rFonts w:hint="eastAsia"/>
                <w:color w:val="auto"/>
                <w:lang w:val="en-US" w:eastAsia="zh-CN"/>
              </w:rPr>
              <w:t>氮氧化物</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90"/>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adjustRightInd w:val="0"/>
              <w:snapToGrid w:val="0"/>
              <w:spacing w:line="240" w:lineRule="auto"/>
              <w:ind w:firstLineChars="0" w:firstLine="0"/>
              <w:jc w:val="center"/>
              <w:rPr>
                <w:color w:val="auto"/>
                <w:lang w:val="en-US" w:eastAsia="zh-CN"/>
              </w:rPr>
            </w:pPr>
            <w:r>
              <w:rPr>
                <w:rFonts w:hint="eastAsia"/>
                <w:color w:val="auto"/>
                <w:lang w:val="en-US" w:eastAsia="zh-CN"/>
              </w:rPr>
              <w:t>非甲烷总烃</w:t>
            </w:r>
          </w:p>
        </w:tc>
        <w:tc>
          <w:tcPr>
            <w:tcW w:w="1963" w:type="dxa"/>
            <w:vMerge/>
            <w:tcBorders>
              <w:left w:val="single" w:sz="4" w:space="0" w:color="auto"/>
            </w:tcBorders>
            <w:vAlign w:val="center"/>
          </w:tcPr>
          <w:p/>
        </w:tc>
        <w:tc>
          <w:tcPr>
            <w:tcW w:w="3523" w:type="dxa"/>
            <w:tcBorders>
              <w:left w:val="single" w:sz="4" w:space="0" w:color="auto"/>
            </w:tcBorders>
            <w:vAlign w:val="center"/>
          </w:tcPr>
          <w:p>
            <w:pPr>
              <w:pStyle w:val="39"/>
              <w:rPr>
                <w:rFonts w:hint="eastAsia"/>
                <w:color w:val="auto"/>
                <w:sz w:val="24"/>
              </w:rPr>
            </w:pPr>
            <w:r>
              <w:rPr>
                <w:rFonts w:hint="eastAsia"/>
                <w:color w:val="auto"/>
                <w:sz w:val="24"/>
              </w:rPr>
              <w:t>《大气污染物综合排放标准》(GB16297-1996)表2无组织浓度限值要求</w:t>
            </w:r>
            <w:r>
              <w:rPr>
                <w:rFonts w:hint="eastAsia"/>
                <w:color w:val="auto"/>
                <w:sz w:val="24"/>
                <w:lang w:val="en-US" w:eastAsia="zh-CN"/>
              </w:rPr>
              <w:t>及《工业企业挥发性有机物排放控制标准》（DB13/2322-2025）表2厂区内排放限值要求</w:t>
            </w:r>
          </w:p>
        </w:tc>
      </w:tr>
      <w:tr>
        <w:trPr>
          <w:trHeight w:val="23"/>
        </w:trPr>
        <w:tc>
          <w:tcPr>
            <w:tcW w:w="806" w:type="dxa"/>
            <w:vAlign w:val="center"/>
          </w:tcPr>
          <w:p>
            <w:pPr>
              <w:adjustRightInd w:val="0"/>
              <w:snapToGrid w:val="0"/>
              <w:spacing w:line="240" w:lineRule="auto"/>
              <w:ind w:firstLineChars="0" w:firstLine="0"/>
              <w:jc w:val="center"/>
              <w:rPr>
                <w:color w:val="auto"/>
              </w:rPr>
            </w:pPr>
            <w:r>
              <w:rPr>
                <w:color w:val="auto"/>
              </w:rPr>
              <w:t>声环境</w:t>
            </w:r>
          </w:p>
        </w:tc>
        <w:tc>
          <w:tcPr>
            <w:tcW w:w="1403" w:type="dxa"/>
            <w:tcBorders>
              <w:left w:val="single" w:sz="4" w:space="0" w:color="auto"/>
            </w:tcBorders>
            <w:vAlign w:val="center"/>
          </w:tcPr>
          <w:p>
            <w:pPr>
              <w:spacing w:line="240" w:lineRule="auto"/>
              <w:ind w:firstLineChars="0" w:firstLine="0"/>
              <w:jc w:val="center"/>
              <w:rPr>
                <w:color w:val="auto"/>
              </w:rPr>
            </w:pPr>
            <w:r>
              <w:rPr>
                <w:color w:val="auto"/>
              </w:rPr>
              <w:t>生产设备</w:t>
            </w:r>
          </w:p>
        </w:tc>
        <w:tc>
          <w:tcPr>
            <w:tcW w:w="1593" w:type="dxa"/>
            <w:tcBorders>
              <w:left w:val="single" w:sz="4" w:space="0" w:color="auto"/>
            </w:tcBorders>
            <w:vAlign w:val="center"/>
          </w:tcPr>
          <w:p>
            <w:pPr>
              <w:spacing w:line="240" w:lineRule="auto"/>
              <w:ind w:firstLineChars="0" w:firstLine="0"/>
              <w:jc w:val="center"/>
              <w:rPr>
                <w:color w:val="auto"/>
              </w:rPr>
            </w:pPr>
            <w:r>
              <w:rPr>
                <w:rFonts w:hint="eastAsia"/>
                <w:color w:val="auto"/>
              </w:rPr>
              <w:t>噪声</w:t>
            </w:r>
          </w:p>
        </w:tc>
        <w:tc>
          <w:tcPr>
            <w:tcW w:w="1963" w:type="dxa"/>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选用低噪声设备，设备采取基础减振措施，所有设备均设置于车间内，</w:t>
            </w:r>
            <w:r>
              <w:rPr>
                <w:rFonts w:hint="eastAsia"/>
                <w:color w:val="auto"/>
              </w:rPr>
              <w:t>厂房隔声</w:t>
            </w:r>
          </w:p>
        </w:tc>
        <w:tc>
          <w:tcPr>
            <w:tcW w:w="3523" w:type="dxa"/>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厂界满足《工业企业厂界环境噪声排放标准》（GB12348-2008）表1中</w:t>
            </w:r>
            <w:r>
              <w:rPr>
                <w:rFonts w:hint="eastAsia"/>
                <w:color w:val="auto"/>
                <w:lang w:val="en-US" w:eastAsia="zh-CN"/>
              </w:rPr>
              <w:t>3</w:t>
            </w:r>
            <w:r>
              <w:rPr>
                <w:color w:val="auto"/>
              </w:rPr>
              <w:t>类标准要求</w:t>
            </w:r>
          </w:p>
        </w:tc>
      </w:tr>
      <w:tr>
        <w:trPr>
          <w:trHeight w:val="23"/>
        </w:trPr>
        <w:tc>
          <w:tcPr>
            <w:tcW w:w="806" w:type="dxa"/>
            <w:vMerge w:val="restart"/>
            <w:vAlign w:val="center"/>
          </w:tcPr>
          <w:p>
            <w:pPr>
              <w:spacing w:line="240" w:lineRule="auto"/>
              <w:ind w:firstLineChars="0" w:firstLine="0"/>
              <w:jc w:val="center"/>
              <w:rPr>
                <w:rFonts w:eastAsia="宋体" w:hint="eastAsia"/>
                <w:color w:val="auto"/>
                <w:lang w:val="en-US" w:eastAsia="zh-CN"/>
              </w:rPr>
            </w:pPr>
            <w:r>
              <w:rPr>
                <w:rFonts w:hint="eastAsia"/>
                <w:color w:val="auto"/>
                <w:lang w:val="en-US" w:eastAsia="zh-CN"/>
              </w:rPr>
              <w:t>固体废物</w:t>
            </w:r>
          </w:p>
        </w:tc>
        <w:tc>
          <w:tcPr>
            <w:tcW w:w="1403" w:type="dxa"/>
            <w:vMerge w:val="restart"/>
            <w:tcBorders>
              <w:left w:val="single" w:sz="4" w:space="0" w:color="auto"/>
            </w:tcBorders>
            <w:vAlign w:val="center"/>
          </w:tcPr>
          <w:p>
            <w:pPr>
              <w:pStyle w:val="39"/>
              <w:rPr>
                <w:rFonts w:eastAsia="宋体"/>
                <w:color w:val="auto"/>
                <w:kern w:val="2"/>
                <w:sz w:val="24"/>
                <w:lang w:val="en-US" w:eastAsia="zh-CN"/>
              </w:rPr>
            </w:pPr>
            <w:r>
              <w:rPr>
                <w:rFonts w:hint="eastAsia"/>
                <w:color w:val="auto"/>
                <w:kern w:val="2"/>
                <w:sz w:val="24"/>
                <w:lang w:val="en-US" w:eastAsia="zh-CN"/>
              </w:rPr>
              <w:t>化验室</w:t>
            </w:r>
          </w:p>
        </w:tc>
        <w:tc>
          <w:tcPr>
            <w:tcW w:w="1593" w:type="dxa"/>
            <w:tcBorders>
              <w:left w:val="single" w:sz="4" w:space="0" w:color="auto"/>
            </w:tcBorders>
            <w:vAlign w:val="center"/>
          </w:tcPr>
          <w:p>
            <w:pPr>
              <w:pStyle w:val="39"/>
              <w:rPr>
                <w:rFonts w:eastAsia="宋体"/>
                <w:snapToGrid w:val="0"/>
                <w:color w:val="auto"/>
                <w:sz w:val="24"/>
                <w:lang w:val="en-US" w:eastAsia="zh-CN"/>
              </w:rPr>
            </w:pPr>
            <w:r>
              <w:rPr>
                <w:rFonts w:hint="eastAsia"/>
                <w:color w:val="auto"/>
                <w:sz w:val="24"/>
                <w:lang w:val="en-US" w:eastAsia="zh-CN"/>
              </w:rPr>
              <w:t>化验室废液</w:t>
            </w:r>
          </w:p>
        </w:tc>
        <w:tc>
          <w:tcPr>
            <w:tcW w:w="1963" w:type="dxa"/>
            <w:vMerge w:val="restart"/>
            <w:tcBorders>
              <w:left w:val="single" w:sz="4" w:space="0" w:color="auto"/>
            </w:tcBorders>
            <w:vAlign w:val="center"/>
          </w:tcPr>
          <w:p>
            <w:pPr>
              <w:spacing w:line="240" w:lineRule="auto"/>
              <w:ind w:firstLineChars="0" w:firstLine="0"/>
              <w:jc w:val="center"/>
              <w:rPr>
                <w:color w:val="auto"/>
              </w:rPr>
            </w:pPr>
            <w:r>
              <w:rPr>
                <w:color w:val="auto"/>
              </w:rPr>
              <w:t>暂存于危废间，交由有资质单位处理</w:t>
            </w:r>
          </w:p>
        </w:tc>
        <w:tc>
          <w:tcPr>
            <w:tcW w:w="3523" w:type="dxa"/>
            <w:vMerge w:val="restart"/>
            <w:tcBorders>
              <w:left w:val="single" w:sz="4" w:space="0" w:color="auto"/>
            </w:tcBorders>
            <w:vAlign w:val="center"/>
          </w:tcPr>
          <w:p>
            <w:pPr>
              <w:spacing w:line="240" w:lineRule="auto"/>
              <w:ind w:firstLineChars="0" w:firstLine="0"/>
              <w:jc w:val="center"/>
              <w:rPr>
                <w:color w:val="auto"/>
              </w:rPr>
            </w:pPr>
            <w:r>
              <w:rPr>
                <w:color w:val="auto"/>
              </w:rPr>
              <w:t>《危险废物贮存污染控制标准》（GB18597-2023）中相关要求规定</w:t>
            </w:r>
          </w:p>
        </w:tc>
      </w:tr>
      <w:tr>
        <w:trPr>
          <w:trHeight w:val="602"/>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vAlign w:val="center"/>
          </w:tcPr>
          <w:p>
            <w:pPr>
              <w:pStyle w:val="39"/>
              <w:rPr>
                <w:color w:val="auto"/>
                <w:sz w:val="24"/>
                <w:lang w:val="en-US" w:eastAsia="zh-CN"/>
              </w:rPr>
            </w:pPr>
            <w:r>
              <w:rPr>
                <w:rFonts w:hint="eastAsia"/>
                <w:color w:val="auto"/>
                <w:sz w:val="24"/>
                <w:lang w:val="en-US" w:eastAsia="zh-CN"/>
              </w:rPr>
              <w:t>化验室废包装</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Merge/>
            <w:vAlign w:val="center"/>
          </w:tcPr>
          <w:p/>
        </w:tc>
        <w:tc>
          <w:tcPr>
            <w:tcW w:w="1403" w:type="dxa"/>
            <w:tcBorders>
              <w:left w:val="single" w:sz="4" w:space="0" w:color="auto"/>
            </w:tcBorders>
            <w:vAlign w:val="center"/>
          </w:tcPr>
          <w:p>
            <w:pPr>
              <w:pStyle w:val="39"/>
              <w:rPr>
                <w:rFonts w:eastAsia="宋体" w:hint="eastAsia"/>
                <w:color w:val="auto"/>
                <w:kern w:val="2"/>
                <w:sz w:val="24"/>
                <w:lang w:eastAsia="zh-CN"/>
              </w:rPr>
            </w:pPr>
            <w:r>
              <w:rPr>
                <w:rFonts w:hint="eastAsia"/>
                <w:color w:val="auto"/>
                <w:sz w:val="24"/>
                <w:lang w:val="en-US" w:eastAsia="zh-CN"/>
              </w:rPr>
              <w:t>生产过程</w:t>
            </w:r>
          </w:p>
        </w:tc>
        <w:tc>
          <w:tcPr>
            <w:tcW w:w="1593" w:type="dxa"/>
            <w:tcBorders>
              <w:left w:val="single" w:sz="4" w:space="0" w:color="auto"/>
            </w:tcBorders>
            <w:vAlign w:val="center"/>
          </w:tcPr>
          <w:p>
            <w:pPr>
              <w:pStyle w:val="39"/>
              <w:rPr>
                <w:snapToGrid w:val="0"/>
                <w:color w:val="auto"/>
                <w:sz w:val="24"/>
                <w:lang w:val="en-US"/>
              </w:rPr>
            </w:pPr>
            <w:r>
              <w:rPr>
                <w:rFonts w:hint="eastAsia"/>
                <w:color w:val="auto"/>
                <w:sz w:val="24"/>
                <w:lang w:val="en-US" w:eastAsia="zh-CN"/>
              </w:rPr>
              <w:t>原料包装袋</w:t>
            </w:r>
          </w:p>
        </w:tc>
        <w:tc>
          <w:tcPr>
            <w:tcW w:w="1963" w:type="dxa"/>
            <w:tcBorders>
              <w:left w:val="single" w:sz="4" w:space="0" w:color="auto"/>
            </w:tcBorders>
            <w:shd w:val="clear" w:color="auto" w:fill="auto"/>
            <w:vAlign w:val="center"/>
          </w:tcPr>
          <w:p>
            <w:pPr>
              <w:spacing w:line="240" w:lineRule="auto"/>
              <w:ind w:firstLineChars="0" w:firstLine="0"/>
              <w:jc w:val="center"/>
              <w:rPr>
                <w:rFonts w:ascii="Times New Roman" w:eastAsia="宋体" w:cs="Times New Roman" w:hAnsi="Times New Roman" w:hint="eastAsia"/>
                <w:color w:val="auto"/>
                <w:kern w:val="2"/>
                <w:sz w:val="24"/>
                <w:szCs w:val="24"/>
                <w:lang w:val="en-US" w:eastAsia="zh-CN" w:bidi="ar-SA"/>
              </w:rPr>
            </w:pPr>
            <w:r>
              <w:rPr>
                <w:rFonts w:hint="eastAsia"/>
                <w:color w:val="auto"/>
                <w:lang w:val="en-US" w:eastAsia="zh-CN"/>
              </w:rPr>
              <w:t>统一收集后</w:t>
            </w:r>
            <w:r>
              <w:rPr>
                <w:rFonts w:hint="eastAsia"/>
                <w:color w:val="auto"/>
              </w:rPr>
              <w:t>外售</w:t>
            </w:r>
          </w:p>
        </w:tc>
        <w:tc>
          <w:tcPr>
            <w:tcW w:w="3523" w:type="dxa"/>
            <w:vMerge w:val="restart"/>
            <w:tcBorders>
              <w:left w:val="single" w:sz="4" w:space="0" w:color="auto"/>
            </w:tcBorders>
            <w:shd w:val="clear" w:color="auto" w:fill="auto"/>
            <w:vAlign w:val="center"/>
          </w:tcPr>
          <w:p>
            <w:pPr>
              <w:spacing w:line="240" w:lineRule="auto"/>
              <w:ind w:firstLineChars="0" w:firstLine="0"/>
              <w:jc w:val="center"/>
              <w:rPr>
                <w:rFonts w:ascii="Times New Roman" w:eastAsia="宋体" w:cs="Times New Roman" w:hAnsi="Times New Roman"/>
                <w:color w:val="auto"/>
                <w:kern w:val="2"/>
                <w:sz w:val="24"/>
                <w:szCs w:val="24"/>
                <w:lang w:val="en-US" w:eastAsia="zh-CN" w:bidi="ar-SA"/>
              </w:rPr>
            </w:pPr>
            <w:r>
              <w:rPr>
                <w:color w:val="auto"/>
              </w:rPr>
              <w:t>《一般工业固体废物贮存和填埋污染控制标准》（GB18599-2020）</w:t>
            </w:r>
            <w:r>
              <w:rPr>
                <w:rFonts w:hint="eastAsia"/>
                <w:color w:val="auto"/>
              </w:rPr>
              <w:t>要求</w:t>
            </w:r>
          </w:p>
        </w:tc>
      </w:tr>
      <w:tr>
        <w:trPr>
          <w:trHeight w:val="23"/>
        </w:trPr>
        <w:tc>
          <w:tcPr>
            <w:tcW w:w="806" w:type="dxa"/>
            <w:vMerge/>
            <w:vAlign w:val="center"/>
          </w:tcPr>
          <w:p/>
        </w:tc>
        <w:tc>
          <w:tcPr>
            <w:tcW w:w="1403" w:type="dxa"/>
            <w:vMerge w:val="restart"/>
            <w:tcBorders>
              <w:left w:val="single" w:sz="4" w:space="0" w:color="auto"/>
            </w:tcBorders>
            <w:vAlign w:val="center"/>
          </w:tcPr>
          <w:p>
            <w:pPr>
              <w:pStyle w:val="39"/>
              <w:rPr>
                <w:color w:val="auto"/>
                <w:sz w:val="24"/>
                <w:lang w:val="en-US" w:eastAsia="zh-CN"/>
              </w:rPr>
            </w:pPr>
            <w:r>
              <w:rPr>
                <w:rFonts w:hint="eastAsia"/>
                <w:color w:val="auto"/>
                <w:sz w:val="24"/>
                <w:lang w:val="en-US" w:eastAsia="zh-CN"/>
              </w:rPr>
              <w:t>治理设施</w:t>
            </w:r>
          </w:p>
        </w:tc>
        <w:tc>
          <w:tcPr>
            <w:tcW w:w="1593" w:type="dxa"/>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4"/>
                <w:szCs w:val="24"/>
                <w:lang w:val="en-US" w:eastAsia="zh-CN" w:bidi="ar-SA"/>
              </w:rPr>
            </w:pPr>
            <w:r>
              <w:rPr>
                <w:rFonts w:hint="eastAsia"/>
                <w:color w:val="auto"/>
                <w:sz w:val="24"/>
                <w:lang w:val="en-US" w:eastAsia="zh-CN"/>
              </w:rPr>
              <w:t>除尘灰</w:t>
            </w:r>
          </w:p>
        </w:tc>
        <w:tc>
          <w:tcPr>
            <w:tcW w:w="1963" w:type="dxa"/>
            <w:tcBorders>
              <w:left w:val="single" w:sz="4" w:space="0" w:color="auto"/>
            </w:tcBorders>
            <w:shd w:val="clear" w:color="auto" w:fill="auto"/>
            <w:vAlign w:val="center"/>
          </w:tcPr>
          <w:p>
            <w:pPr>
              <w:spacing w:line="240" w:lineRule="auto"/>
              <w:ind w:firstLineChars="0" w:firstLine="0"/>
              <w:jc w:val="center"/>
              <w:rPr>
                <w:rFonts w:ascii="Times New Roman" w:eastAsia="宋体" w:cs="Times New Roman" w:hAnsi="Times New Roman" w:hint="eastAsia"/>
                <w:color w:val="auto"/>
                <w:kern w:val="2"/>
                <w:sz w:val="24"/>
                <w:szCs w:val="24"/>
                <w:lang w:val="en-US" w:eastAsia="zh-CN" w:bidi="ar-SA"/>
              </w:rPr>
            </w:pPr>
            <w:r>
              <w:rPr>
                <w:rFonts w:hint="eastAsia"/>
                <w:color w:val="auto"/>
                <w:lang w:val="en-US" w:eastAsia="zh-CN"/>
              </w:rPr>
              <w:t>回用于生产</w:t>
            </w:r>
          </w:p>
        </w:tc>
        <w:tc>
          <w:tcPr>
            <w:tcW w:w="3523" w:type="dxa"/>
            <w:vMerge/>
            <w:tcBorders>
              <w:left w:val="single" w:sz="4" w:space="0" w:color="auto"/>
            </w:tcBorders>
            <w:shd w:val="clear" w:color="auto" w:fill="auto"/>
            <w:vAlign w:val="center"/>
          </w:tcP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ind w:firstLine="0"/>
              <w:rPr>
                <w:color w:val="auto"/>
                <w:sz w:val="24"/>
                <w:lang w:val="en-US" w:eastAsia="zh-CN"/>
              </w:rPr>
            </w:pPr>
            <w:r>
              <w:rPr>
                <w:rFonts w:hint="eastAsia"/>
                <w:color w:val="auto"/>
                <w:sz w:val="24"/>
                <w:lang w:val="en-US" w:eastAsia="zh-CN"/>
              </w:rPr>
              <w:t>废活性炭</w:t>
            </w:r>
          </w:p>
        </w:tc>
        <w:tc>
          <w:tcPr>
            <w:tcW w:w="1963" w:type="dxa"/>
            <w:vMerge w:val="restart"/>
            <w:tcBorders>
              <w:left w:val="single" w:sz="4" w:space="0" w:color="auto"/>
            </w:tcBorders>
            <w:shd w:val="clear" w:color="auto" w:fill="auto"/>
            <w:vAlign w:val="center"/>
          </w:tcPr>
          <w:p>
            <w:pPr>
              <w:spacing w:line="240" w:lineRule="auto"/>
              <w:ind w:firstLineChars="0" w:firstLine="0"/>
              <w:jc w:val="center"/>
              <w:rPr>
                <w:rFonts w:ascii="Times New Roman" w:eastAsia="宋体" w:cs="Times New Roman" w:hAnsi="Times New Roman"/>
                <w:color w:val="auto"/>
                <w:kern w:val="2"/>
                <w:sz w:val="24"/>
                <w:szCs w:val="24"/>
                <w:lang w:val="en-US" w:eastAsia="zh-CN" w:bidi="ar-SA"/>
              </w:rPr>
            </w:pPr>
            <w:r>
              <w:rPr>
                <w:rFonts w:hint="eastAsia"/>
                <w:color w:val="auto"/>
                <w:lang w:val="en-US" w:eastAsia="zh-CN"/>
              </w:rPr>
              <w:t>密闭容器分类收集，</w:t>
            </w:r>
            <w:r>
              <w:rPr>
                <w:color w:val="auto"/>
              </w:rPr>
              <w:t>暂存于危废间，</w:t>
            </w:r>
            <w:r>
              <w:rPr>
                <w:rFonts w:hint="eastAsia"/>
                <w:color w:val="auto"/>
                <w:lang w:val="en-US" w:eastAsia="zh-CN"/>
              </w:rPr>
              <w:t>定期</w:t>
            </w:r>
            <w:r>
              <w:rPr>
                <w:color w:val="auto"/>
              </w:rPr>
              <w:t>由有资质单位处理</w:t>
            </w:r>
          </w:p>
        </w:tc>
        <w:tc>
          <w:tcPr>
            <w:tcW w:w="3523" w:type="dxa"/>
            <w:vMerge w:val="restart"/>
            <w:tcBorders>
              <w:left w:val="single" w:sz="4" w:space="0" w:color="auto"/>
            </w:tcBorders>
            <w:shd w:val="clear" w:color="auto" w:fill="auto"/>
            <w:vAlign w:val="center"/>
          </w:tcPr>
          <w:p>
            <w:pPr>
              <w:spacing w:line="240" w:lineRule="auto"/>
              <w:ind w:firstLineChars="0" w:firstLine="0"/>
              <w:jc w:val="center"/>
              <w:rPr>
                <w:rFonts w:ascii="Times New Roman" w:eastAsia="宋体" w:cs="Times New Roman" w:hAnsi="Times New Roman"/>
                <w:color w:val="auto"/>
                <w:kern w:val="2"/>
                <w:sz w:val="24"/>
                <w:szCs w:val="24"/>
                <w:lang w:val="en-US" w:eastAsia="zh-CN" w:bidi="ar-SA"/>
              </w:rPr>
            </w:pPr>
            <w:r>
              <w:rPr>
                <w:color w:val="auto"/>
              </w:rPr>
              <w:t>《危险废物贮存污染控制标准》（GB18597-2023）中相关要求规定</w:t>
            </w:r>
          </w:p>
        </w:tc>
      </w:tr>
      <w:tr>
        <w:trPr>
          <w:trHeight w:val="23"/>
        </w:trPr>
        <w:tc>
          <w:tcPr>
            <w:tcW w:w="806" w:type="dxa"/>
            <w:vMerge/>
            <w:vAlign w:val="center"/>
          </w:tcPr>
          <w:p/>
        </w:tc>
        <w:tc>
          <w:tcPr>
            <w:tcW w:w="1403" w:type="dxa"/>
            <w:vMerge/>
            <w:tcBorders>
              <w:left w:val="single" w:sz="4" w:space="0" w:color="auto"/>
            </w:tcBorders>
            <w:vAlign w:val="center"/>
          </w:tcPr>
          <w:p/>
        </w:tc>
        <w:tc>
          <w:tcPr>
            <w:tcW w:w="1593" w:type="dxa"/>
            <w:tcBorders>
              <w:left w:val="single" w:sz="4" w:space="0" w:color="auto"/>
            </w:tcBorders>
            <w:shd w:val="clear" w:color="auto" w:fill="auto"/>
            <w:vAlign w:val="center"/>
          </w:tcPr>
          <w:p>
            <w:pPr>
              <w:pStyle w:val="39"/>
              <w:ind w:firstLine="0"/>
              <w:rPr>
                <w:rFonts w:hint="eastAsia"/>
                <w:color w:val="auto"/>
                <w:sz w:val="24"/>
                <w:lang w:val="en-US" w:eastAsia="zh-CN"/>
              </w:rPr>
            </w:pPr>
            <w:r>
              <w:rPr>
                <w:rFonts w:hint="eastAsia"/>
                <w:color w:val="auto"/>
                <w:sz w:val="24"/>
                <w:lang w:val="en-US" w:eastAsia="zh-CN"/>
              </w:rPr>
              <w:t>废干式酸雾净化器吸附剂</w:t>
            </w:r>
          </w:p>
        </w:tc>
        <w:tc>
          <w:tcPr>
            <w:tcW w:w="1963" w:type="dxa"/>
            <w:vMerge/>
            <w:tcBorders>
              <w:left w:val="single" w:sz="4" w:space="0" w:color="auto"/>
            </w:tcBorders>
            <w:shd w:val="clear" w:color="auto" w:fill="auto"/>
            <w:vAlign w:val="center"/>
          </w:tcPr>
          <w:p/>
        </w:tc>
        <w:tc>
          <w:tcPr>
            <w:tcW w:w="3523" w:type="dxa"/>
            <w:vMerge/>
            <w:tcBorders>
              <w:left w:val="single" w:sz="4" w:space="0" w:color="auto"/>
            </w:tcBorders>
            <w:shd w:val="clear" w:color="auto" w:fill="auto"/>
            <w:vAlign w:val="center"/>
          </w:tcPr>
          <w:p/>
        </w:tc>
      </w:tr>
      <w:tr>
        <w:trPr>
          <w:trHeight w:val="23"/>
        </w:trPr>
        <w:tc>
          <w:tcPr>
            <w:tcW w:w="806" w:type="dxa"/>
            <w:vMerge/>
            <w:vAlign w:val="center"/>
          </w:tcPr>
          <w:p/>
        </w:tc>
        <w:tc>
          <w:tcPr>
            <w:tcW w:w="1403" w:type="dxa"/>
            <w:vMerge w:val="restar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2"/>
                <w:sz w:val="24"/>
                <w:szCs w:val="24"/>
                <w:lang w:val="en-US" w:eastAsia="zh-CN" w:bidi="ar-SA"/>
              </w:rPr>
            </w:pPr>
            <w:r>
              <w:rPr>
                <w:rFonts w:cs="Times New Roman" w:hint="eastAsia"/>
                <w:color w:val="auto"/>
                <w:kern w:val="2"/>
                <w:sz w:val="24"/>
                <w:szCs w:val="24"/>
                <w:lang w:val="en-US" w:eastAsia="zh-CN" w:bidi="ar-SA"/>
              </w:rPr>
              <w:t>设备维护</w:t>
            </w:r>
          </w:p>
        </w:tc>
        <w:tc>
          <w:tcPr>
            <w:tcW w:w="1593" w:type="dxa"/>
            <w:tcBorders>
              <w:left w:val="single" w:sz="4" w:space="0" w:color="auto"/>
            </w:tcBorders>
            <w:shd w:val="clear" w:color="auto" w:fill="auto"/>
            <w:vAlign w:val="center"/>
          </w:tcPr>
          <w:p>
            <w:pPr>
              <w:pStyle w:val="39"/>
              <w:rPr>
                <w:color w:val="auto"/>
                <w:sz w:val="24"/>
                <w:lang w:val="en-US" w:eastAsia="zh-CN"/>
              </w:rPr>
            </w:pPr>
            <w:r>
              <w:rPr>
                <w:rFonts w:hint="eastAsia"/>
                <w:color w:val="auto"/>
                <w:sz w:val="24"/>
                <w:lang w:val="en-US" w:eastAsia="zh-CN"/>
              </w:rPr>
              <w:t>废机油、废润滑油</w:t>
            </w:r>
          </w:p>
        </w:tc>
        <w:tc>
          <w:tcPr>
            <w:tcW w:w="1963" w:type="dxa"/>
            <w:vMerge/>
            <w:tcBorders>
              <w:left w:val="single" w:sz="4" w:space="0" w:color="auto"/>
            </w:tcBorders>
            <w:shd w:val="clear" w:color="auto" w:fill="auto"/>
            <w:vAlign w:val="center"/>
          </w:tcPr>
          <w:p/>
        </w:tc>
        <w:tc>
          <w:tcPr>
            <w:tcW w:w="3523" w:type="dxa"/>
            <w:vMerge/>
            <w:tcBorders>
              <w:left w:val="single" w:sz="4" w:space="0" w:color="auto"/>
            </w:tcBorders>
            <w:shd w:val="clear" w:color="auto" w:fill="auto"/>
            <w:vAlign w:val="center"/>
          </w:tcPr>
          <w:p/>
        </w:tc>
      </w:tr>
      <w:tr>
        <w:trPr>
          <w:trHeight w:val="23"/>
        </w:trPr>
        <w:tc>
          <w:tcPr>
            <w:tcW w:w="806" w:type="dxa"/>
            <w:vMerge/>
            <w:vAlign w:val="center"/>
          </w:tcPr>
          <w:p/>
        </w:tc>
        <w:tc>
          <w:tcPr>
            <w:tcW w:w="1403" w:type="dxa"/>
            <w:vMerge/>
            <w:tcBorders>
              <w:left w:val="single" w:sz="4" w:space="0" w:color="auto"/>
            </w:tcBorders>
            <w:shd w:val="clear" w:color="auto" w:fill="auto"/>
            <w:vAlign w:val="center"/>
          </w:tcPr>
          <w:p/>
        </w:tc>
        <w:tc>
          <w:tcPr>
            <w:tcW w:w="1593" w:type="dxa"/>
            <w:tcBorders>
              <w:left w:val="single" w:sz="4" w:space="0" w:color="auto"/>
            </w:tcBorders>
            <w:shd w:val="clear" w:color="auto" w:fill="auto"/>
            <w:vAlign w:val="center"/>
          </w:tcPr>
          <w:p>
            <w:pPr>
              <w:pStyle w:val="39"/>
              <w:rPr>
                <w:rFonts w:hint="eastAsia"/>
                <w:color w:val="auto"/>
                <w:sz w:val="24"/>
                <w:lang w:val="en-US" w:eastAsia="zh-CN"/>
              </w:rPr>
            </w:pPr>
            <w:r>
              <w:rPr>
                <w:rFonts w:hint="eastAsia"/>
                <w:color w:val="auto"/>
                <w:sz w:val="24"/>
                <w:lang w:val="en-US" w:eastAsia="zh-CN"/>
              </w:rPr>
              <w:t>废油桶</w:t>
            </w:r>
          </w:p>
        </w:tc>
        <w:tc>
          <w:tcPr>
            <w:tcW w:w="1963" w:type="dxa"/>
            <w:vMerge/>
            <w:tcBorders>
              <w:left w:val="single" w:sz="4" w:space="0" w:color="auto"/>
            </w:tcBorders>
            <w:vAlign w:val="center"/>
          </w:tcPr>
          <w:p/>
        </w:tc>
        <w:tc>
          <w:tcPr>
            <w:tcW w:w="3523" w:type="dxa"/>
            <w:vMerge/>
            <w:tcBorders>
              <w:left w:val="single" w:sz="4" w:space="0" w:color="auto"/>
            </w:tcBorders>
            <w:vAlign w:val="center"/>
          </w:tcPr>
          <w:p/>
        </w:tc>
      </w:tr>
      <w:tr>
        <w:trPr>
          <w:trHeight w:val="23"/>
        </w:trPr>
        <w:tc>
          <w:tcPr>
            <w:tcW w:w="806" w:type="dxa"/>
            <w:vAlign w:val="center"/>
          </w:tcPr>
          <w:p>
            <w:pPr>
              <w:adjustRightInd w:val="0"/>
              <w:snapToGrid w:val="0"/>
              <w:spacing w:line="240" w:lineRule="auto"/>
              <w:ind w:firstLineChars="0" w:firstLine="0"/>
              <w:jc w:val="center"/>
              <w:rPr>
                <w:color w:val="auto"/>
              </w:rPr>
            </w:pPr>
            <w:r>
              <w:rPr>
                <w:color w:val="auto"/>
              </w:rPr>
              <w:t>电磁</w:t>
            </w:r>
          </w:p>
          <w:p>
            <w:pPr>
              <w:adjustRightInd w:val="0"/>
              <w:snapToGrid w:val="0"/>
              <w:spacing w:line="240" w:lineRule="auto"/>
              <w:ind w:firstLineChars="0" w:firstLine="0"/>
              <w:jc w:val="center"/>
              <w:rPr>
                <w:color w:val="auto"/>
              </w:rPr>
            </w:pPr>
            <w:r>
              <w:rPr>
                <w:color w:val="auto"/>
              </w:rPr>
              <w:t>辐射</w:t>
            </w:r>
          </w:p>
        </w:tc>
        <w:tc>
          <w:tcPr>
            <w:tcW w:w="8482" w:type="dxa"/>
            <w:gridSpan w:val="4"/>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w:t>
            </w:r>
          </w:p>
        </w:tc>
      </w:tr>
      <w:tr>
        <w:trPr>
          <w:trHeight w:val="23"/>
        </w:trPr>
        <w:tc>
          <w:tcPr>
            <w:tcW w:w="806" w:type="dxa"/>
            <w:vAlign w:val="center"/>
          </w:tcPr>
          <w:p>
            <w:pPr>
              <w:adjustRightInd w:val="0"/>
              <w:snapToGrid w:val="0"/>
              <w:spacing w:line="240" w:lineRule="auto"/>
              <w:ind w:firstLineChars="0" w:firstLine="0"/>
              <w:jc w:val="center"/>
              <w:rPr>
                <w:color w:val="auto"/>
              </w:rPr>
            </w:pPr>
            <w:r>
              <w:rPr>
                <w:color w:val="auto"/>
              </w:rPr>
              <w:t>土壤及地下水污染防治措施</w:t>
            </w:r>
          </w:p>
        </w:tc>
        <w:tc>
          <w:tcPr>
            <w:tcW w:w="8482" w:type="dxa"/>
            <w:gridSpan w:val="4"/>
            <w:tcBorders>
              <w:left w:val="single" w:sz="4" w:space="0" w:color="auto"/>
            </w:tcBorders>
            <w:vAlign w:val="center"/>
          </w:tcPr>
          <w:p>
            <w:pPr>
              <w:spacing w:line="240" w:lineRule="auto"/>
              <w:rPr>
                <w:rFonts w:ascii="Times New Roman" w:eastAsia="宋体" w:cs="Times New Roman" w:hAnsi="Times New Roman" w:hint="eastAsia"/>
                <w:color w:val="auto"/>
              </w:rPr>
            </w:pPr>
            <w:r>
              <w:rPr>
                <w:rFonts w:ascii="Times New Roman" w:eastAsia="宋体" w:cs="Times New Roman" w:hAnsi="Times New Roman" w:hint="eastAsia"/>
                <w:color w:val="auto"/>
              </w:rPr>
              <w:t>重点防渗区：</w:t>
            </w:r>
            <w:r>
              <w:rPr>
                <w:rFonts w:ascii="Times New Roman" w:eastAsia="宋体" w:cs="Times New Roman" w:hAnsi="Times New Roman" w:hint="eastAsia"/>
                <w:color w:val="auto"/>
                <w:lang w:val="en-US" w:eastAsia="zh-CN"/>
              </w:rPr>
              <w:t>各生产车间</w:t>
            </w:r>
            <w:r>
              <w:rPr>
                <w:rFonts w:cs="Times New Roman" w:hint="eastAsia"/>
                <w:color w:val="auto"/>
                <w:lang w:val="en-US" w:eastAsia="zh-CN"/>
              </w:rPr>
              <w:t>、</w:t>
            </w:r>
            <w:r>
              <w:rPr>
                <w:rFonts w:ascii="Times New Roman" w:eastAsia="宋体" w:cs="Times New Roman" w:hAnsi="Times New Roman" w:hint="eastAsia"/>
                <w:color w:val="auto"/>
                <w:lang w:val="en-US" w:eastAsia="zh-CN"/>
              </w:rPr>
              <w:t>事故水池、危废间、喷淋塔装置区域、原料库</w:t>
            </w:r>
            <w:r>
              <w:rPr>
                <w:rFonts w:cs="Times New Roman" w:hint="eastAsia"/>
                <w:color w:val="auto"/>
                <w:lang w:val="en-US" w:eastAsia="zh-CN"/>
              </w:rPr>
              <w:t>、化验室</w:t>
            </w:r>
            <w:r>
              <w:rPr>
                <w:rFonts w:ascii="Times New Roman" w:eastAsia="宋体" w:cs="Times New Roman" w:hAnsi="Times New Roman"/>
                <w:color w:val="auto"/>
                <w:lang w:val="en-US" w:eastAsia="zh-CN"/>
              </w:rPr>
              <w:t>地面采取</w:t>
            </w:r>
            <w:r>
              <w:rPr>
                <w:rFonts w:ascii="Times New Roman" w:eastAsia="宋体" w:cs="Times New Roman" w:hAnsi="Times New Roman"/>
                <w:color w:val="auto"/>
              </w:rPr>
              <w:t>三合土铺底</w:t>
            </w:r>
            <w:r>
              <w:rPr>
                <w:rFonts w:ascii="Times New Roman" w:eastAsia="宋体" w:cs="Times New Roman" w:hAnsi="Times New Roman" w:hint="eastAsia"/>
                <w:color w:val="auto"/>
                <w:lang w:eastAsia="zh-CN"/>
              </w:rPr>
              <w:t>，</w:t>
            </w:r>
            <w:r>
              <w:rPr>
                <w:rFonts w:ascii="Times New Roman" w:eastAsia="宋体" w:cs="Times New Roman" w:hAnsi="Times New Roman"/>
                <w:color w:val="auto"/>
              </w:rPr>
              <w:t>15cm的水泥混凝土进行硬化，涂环氧树脂防渗层渗透系数小于10</w:t>
            </w:r>
            <w:r>
              <w:rPr>
                <w:rFonts w:ascii="Times New Roman" w:eastAsia="宋体" w:cs="Times New Roman" w:hAnsi="Times New Roman"/>
                <w:color w:val="auto"/>
                <w:vertAlign w:val="superscript"/>
              </w:rPr>
              <w:t>-10</w:t>
            </w:r>
            <w:r>
              <w:rPr>
                <w:rFonts w:ascii="Times New Roman" w:eastAsia="宋体" w:cs="Times New Roman" w:hAnsi="Times New Roman"/>
                <w:color w:val="auto"/>
              </w:rPr>
              <w:t>cm/s</w:t>
            </w:r>
            <w:r>
              <w:rPr>
                <w:rFonts w:ascii="Times New Roman" w:eastAsia="宋体" w:cs="Times New Roman" w:hAnsi="Times New Roman"/>
                <w:color w:val="auto"/>
                <w:lang w:val="en-US" w:eastAsia="zh-CN"/>
              </w:rPr>
              <w:t>，同时贮存装置设防雨、防风、防晒设施、避免污染物泄露，污染环境</w:t>
            </w:r>
            <w:r>
              <w:rPr>
                <w:rFonts w:ascii="Times New Roman" w:eastAsia="宋体" w:cs="Times New Roman" w:hAnsi="Times New Roman" w:hint="eastAsia"/>
                <w:color w:val="auto"/>
                <w:lang w:val="en-US" w:eastAsia="zh-CN"/>
              </w:rPr>
              <w:t>。</w:t>
            </w:r>
          </w:p>
          <w:p>
            <w:pPr>
              <w:spacing w:line="240" w:lineRule="auto"/>
              <w:rPr>
                <w:color w:val="auto"/>
              </w:rPr>
            </w:pPr>
            <w:r>
              <w:rPr>
                <w:color w:val="auto"/>
              </w:rPr>
              <w:t>一般防渗区：</w:t>
            </w:r>
            <w:r>
              <w:rPr>
                <w:rFonts w:hint="eastAsia"/>
                <w:color w:val="auto"/>
                <w:lang w:val="en-US" w:eastAsia="zh-CN"/>
              </w:rPr>
              <w:t>成品库地面硬化铺设1.5m厚渗透系数为1.0×10</w:t>
            </w:r>
            <w:r>
              <w:rPr>
                <w:rFonts w:hint="eastAsia"/>
                <w:color w:val="auto"/>
                <w:vertAlign w:val="superscript"/>
                <w:lang w:val="en-US" w:eastAsia="zh-CN"/>
              </w:rPr>
              <w:t>-7</w:t>
            </w:r>
            <w:r>
              <w:rPr>
                <w:rFonts w:hint="eastAsia"/>
                <w:color w:val="auto"/>
                <w:lang w:val="en-US" w:eastAsia="zh-CN"/>
              </w:rPr>
              <w:t>cm/s的粘土层。</w:t>
            </w:r>
          </w:p>
        </w:tc>
      </w:tr>
      <w:tr>
        <w:trPr>
          <w:trHeight w:val="23"/>
        </w:trPr>
        <w:tc>
          <w:tcPr>
            <w:tcW w:w="806" w:type="dxa"/>
            <w:vAlign w:val="center"/>
          </w:tcPr>
          <w:p>
            <w:pPr>
              <w:adjustRightInd w:val="0"/>
              <w:snapToGrid w:val="0"/>
              <w:spacing w:line="240" w:lineRule="auto"/>
              <w:ind w:firstLineChars="0" w:firstLine="0"/>
              <w:jc w:val="center"/>
              <w:rPr>
                <w:color w:val="auto"/>
              </w:rPr>
            </w:pPr>
            <w:r>
              <w:rPr>
                <w:color w:val="auto"/>
              </w:rPr>
              <w:t>生态保护措施</w:t>
            </w:r>
          </w:p>
        </w:tc>
        <w:tc>
          <w:tcPr>
            <w:tcW w:w="8482" w:type="dxa"/>
            <w:gridSpan w:val="4"/>
            <w:tcBorders>
              <w:left w:val="single" w:sz="4" w:space="0" w:color="auto"/>
            </w:tcBorders>
            <w:vAlign w:val="center"/>
          </w:tcPr>
          <w:p>
            <w:pPr>
              <w:adjustRightInd w:val="0"/>
              <w:snapToGrid w:val="0"/>
              <w:spacing w:line="240" w:lineRule="auto"/>
              <w:ind w:firstLineChars="0" w:firstLine="0"/>
              <w:jc w:val="center"/>
              <w:rPr>
                <w:color w:val="auto"/>
              </w:rPr>
            </w:pPr>
            <w:r>
              <w:rPr>
                <w:color w:val="auto"/>
              </w:rPr>
              <w:t>无</w:t>
            </w:r>
          </w:p>
        </w:tc>
      </w:tr>
      <w:tr>
        <w:trPr>
          <w:trHeight w:val="23"/>
        </w:trPr>
        <w:tc>
          <w:tcPr>
            <w:tcW w:w="806" w:type="dxa"/>
            <w:vAlign w:val="center"/>
          </w:tcPr>
          <w:p>
            <w:pPr>
              <w:adjustRightInd w:val="0"/>
              <w:snapToGrid w:val="0"/>
              <w:spacing w:line="240" w:lineRule="auto"/>
              <w:ind w:firstLineChars="0" w:firstLine="0"/>
              <w:jc w:val="center"/>
              <w:rPr>
                <w:color w:val="auto"/>
              </w:rPr>
            </w:pPr>
            <w:r>
              <w:rPr>
                <w:color w:val="auto"/>
                <w:spacing w:val="-8"/>
              </w:rPr>
              <w:t>环境风险防范措施</w:t>
            </w:r>
          </w:p>
        </w:tc>
        <w:tc>
          <w:tcPr>
            <w:tcW w:w="8482" w:type="dxa"/>
            <w:gridSpan w:val="4"/>
            <w:tcBorders>
              <w:left w:val="single" w:sz="4" w:space="0" w:color="auto"/>
            </w:tcBorders>
            <w:vAlign w:val="center"/>
          </w:tcPr>
          <w:p>
            <w:pPr>
              <w:spacing w:line="240" w:lineRule="auto"/>
              <w:rPr>
                <w:color w:val="auto"/>
              </w:rPr>
            </w:pPr>
            <w:r>
              <w:rPr>
                <w:color w:val="auto"/>
              </w:rPr>
              <w:t>项目应严格落实本评价提出的各项环境风险防范措施，严格</w:t>
            </w:r>
            <w:r>
              <w:rPr>
                <w:rFonts w:hint="eastAsia"/>
                <w:color w:val="auto"/>
              </w:rPr>
              <w:t>按照</w:t>
            </w:r>
            <w:r>
              <w:rPr>
                <w:color w:val="auto"/>
              </w:rPr>
              <w:t>国家有关环保、安全生产的要求，规范工程设计，落实有关安全、环保设施</w:t>
            </w:r>
            <w:r>
              <w:rPr>
                <w:rFonts w:hint="eastAsia"/>
                <w:color w:val="auto"/>
              </w:rPr>
              <w:t>“三同时”</w:t>
            </w:r>
            <w:r>
              <w:rPr>
                <w:color w:val="auto"/>
              </w:rPr>
              <w:t>，公司通过加强管理、采取控制、监督和维护等措施，可大大降低事故风险，项目建成后制度完善的安全管理、降低风险的规章制度。从风险分析的结果来看，本项目环境风险可接受。</w:t>
            </w:r>
          </w:p>
        </w:tc>
      </w:tr>
      <w:tr>
        <w:trPr>
          <w:trHeight w:val="23"/>
        </w:trPr>
        <w:tc>
          <w:tcPr>
            <w:tcW w:w="806" w:type="dxa"/>
            <w:vAlign w:val="center"/>
          </w:tcPr>
          <w:p>
            <w:pPr>
              <w:spacing w:line="240" w:lineRule="auto"/>
              <w:ind w:firstLineChars="0" w:firstLine="0"/>
              <w:jc w:val="center"/>
              <w:rPr>
                <w:color w:val="auto"/>
                <w:spacing w:val="-8"/>
              </w:rPr>
            </w:pPr>
            <w:r>
              <w:rPr>
                <w:color w:val="auto"/>
                <w:spacing w:val="-8"/>
              </w:rPr>
              <w:t>其他环境管理要求</w:t>
            </w:r>
          </w:p>
        </w:tc>
        <w:tc>
          <w:tcPr>
            <w:tcW w:w="8482" w:type="dxa"/>
            <w:gridSpan w:val="4"/>
            <w:tcBorders>
              <w:left w:val="single" w:sz="4" w:space="0" w:color="auto"/>
            </w:tcBorders>
            <w:vAlign w:val="center"/>
          </w:tcPr>
          <w:p>
            <w:pPr>
              <w:spacing w:line="240" w:lineRule="auto"/>
              <w:rPr>
                <w:color w:val="auto"/>
              </w:rPr>
            </w:pPr>
            <w:r>
              <w:rPr>
                <w:color w:val="auto"/>
              </w:rPr>
              <w:t>为了贯彻执行有关环境保护法规，及时了解项目及其周围环境质量变化情况，掌握环境保护措施实施的效果，保证该区域良好的环境质量，建设单位进行相应的环境管理。</w:t>
            </w:r>
          </w:p>
          <w:p>
            <w:pPr>
              <w:spacing w:line="240" w:lineRule="auto"/>
              <w:rPr>
                <w:color w:val="auto"/>
              </w:rPr>
            </w:pPr>
            <w:r>
              <w:rPr>
                <w:rFonts w:hint="eastAsia"/>
                <w:color w:val="auto"/>
              </w:rPr>
              <w:t>①</w:t>
            </w:r>
            <w:r>
              <w:rPr>
                <w:color w:val="auto"/>
              </w:rPr>
              <w:t>贯彻落实国家相关法律法规及政策，以国家相关法律法规为依据，落实</w:t>
            </w:r>
            <w:r>
              <w:rPr>
                <w:rFonts w:hint="eastAsia"/>
                <w:color w:val="auto"/>
              </w:rPr>
              <w:t>防止</w:t>
            </w:r>
            <w:r>
              <w:rPr>
                <w:color w:val="auto"/>
              </w:rPr>
              <w:t>环境污染和生态破坏的措施以及环境保护设施投资概算，及</w:t>
            </w:r>
            <w:r>
              <w:rPr>
                <w:rFonts w:hint="eastAsia"/>
                <w:color w:val="auto"/>
              </w:rPr>
              <w:t>时向</w:t>
            </w:r>
            <w:r>
              <w:rPr>
                <w:color w:val="auto"/>
              </w:rPr>
              <w:t>当地环境保护部门汇报各阶段的情况。</w:t>
            </w:r>
          </w:p>
          <w:p>
            <w:pPr>
              <w:spacing w:line="240" w:lineRule="auto"/>
              <w:rPr>
                <w:color w:val="auto"/>
              </w:rPr>
            </w:pPr>
            <w:r>
              <w:rPr>
                <w:rFonts w:hint="eastAsia"/>
                <w:color w:val="auto"/>
              </w:rPr>
              <w:t>②</w:t>
            </w:r>
            <w:r>
              <w:rPr>
                <w:color w:val="auto"/>
              </w:rPr>
              <w:t>项目的建设遵</w:t>
            </w:r>
            <w:r>
              <w:rPr>
                <w:rFonts w:hint="eastAsia"/>
                <w:color w:val="auto"/>
              </w:rPr>
              <w:t>循“三同时”制</w:t>
            </w:r>
            <w:r>
              <w:rPr>
                <w:color w:val="auto"/>
              </w:rPr>
              <w:t>度，即项目环保措施与主体工程同时设计、同时施工、同时投产使用。</w:t>
            </w:r>
          </w:p>
          <w:p>
            <w:pPr>
              <w:spacing w:line="240" w:lineRule="auto"/>
              <w:rPr>
                <w:color w:val="auto"/>
              </w:rPr>
            </w:pPr>
            <w:r>
              <w:rPr>
                <w:rFonts w:hint="eastAsia"/>
                <w:color w:val="auto"/>
              </w:rPr>
              <w:t>③</w:t>
            </w:r>
            <w:r>
              <w:rPr>
                <w:color w:val="auto"/>
              </w:rPr>
              <w:t>排污许可制度衔接</w:t>
            </w:r>
            <w:r>
              <w:rPr>
                <w:rFonts w:hint="eastAsia"/>
                <w:color w:val="auto"/>
              </w:rPr>
              <w:t>：</w:t>
            </w:r>
            <w:r>
              <w:rPr>
                <w:color w:val="auto"/>
              </w:rPr>
              <w:t>根据《固定污染源排污许可分类管理名录（2019年版）》，按照国家环境保护相关法律法规以及排污许可证申请与核发技术规范要求，</w:t>
            </w:r>
            <w:r>
              <w:rPr>
                <w:rFonts w:hint="eastAsia"/>
                <w:color w:val="auto"/>
              </w:rPr>
              <w:t>在项目竣工后投入生产前需</w:t>
            </w:r>
            <w:r>
              <w:rPr>
                <w:color w:val="auto"/>
              </w:rPr>
              <w:t>在全国排污许可证管理信息平台填报，填报基本信息、污染物排放去向、执行的污染物排放标准以及采取的污染防治措施等信息。</w:t>
            </w:r>
          </w:p>
          <w:p>
            <w:pPr>
              <w:spacing w:line="240" w:lineRule="auto"/>
              <w:rPr>
                <w:color w:val="auto"/>
              </w:rPr>
            </w:pPr>
            <w:r>
              <w:rPr>
                <w:rFonts w:hint="eastAsia"/>
                <w:color w:val="auto"/>
              </w:rPr>
              <w:t>④</w:t>
            </w:r>
            <w:r>
              <w:rPr>
                <w:color w:val="auto"/>
              </w:rPr>
              <w:t>建设项目竣工后，建设单位或者其委托的技术机构应当依照国家有关法律法规。建设</w:t>
            </w:r>
            <w:r>
              <w:rPr>
                <w:rFonts w:hint="eastAsia"/>
                <w:color w:val="auto"/>
              </w:rPr>
              <w:t>项目</w:t>
            </w:r>
            <w:r>
              <w:rPr>
                <w:color w:val="auto"/>
              </w:rPr>
              <w:t>竣工环境保护验收技术规范。建设项目环境影响报告表和审批决定等要求，如实查验、监测、记载建设项目环境保护设施的建设和调试情况，同时还应如实记载其他环境保护对策措施落实情况，编制竣工环境保护验收报告。</w:t>
            </w:r>
          </w:p>
          <w:p>
            <w:pPr>
              <w:spacing w:line="240" w:lineRule="auto"/>
              <w:rPr>
                <w:color w:val="auto"/>
              </w:rPr>
            </w:pPr>
            <w:r>
              <w:rPr>
                <w:rFonts w:hint="eastAsia"/>
                <w:color w:val="auto"/>
              </w:rPr>
              <w:t>⑤</w:t>
            </w:r>
            <w:r>
              <w:rPr>
                <w:color w:val="auto"/>
              </w:rPr>
              <w:t>验收报告编制完成后，建设单位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运营或者使用，并纳入环境保护管理部门的管理，对项目各阶段工作进行监督、检查。建设单位按照《环境保护信息公开办法》进行相关信息的公开。</w:t>
            </w:r>
          </w:p>
          <w:p>
            <w:pPr>
              <w:spacing w:line="240" w:lineRule="auto"/>
              <w:rPr>
                <w:color w:val="auto"/>
              </w:rPr>
            </w:pPr>
            <w:r>
              <w:rPr>
                <w:rFonts w:hint="eastAsia"/>
                <w:color w:val="auto"/>
              </w:rPr>
              <w:t>⑥</w:t>
            </w:r>
            <w:r>
              <w:rPr>
                <w:color w:val="auto"/>
              </w:rPr>
              <w:t>项目建成后要求厂区道路及车间地面硬化，车间地面、墙壁、设备顶部无明显积尘；车间、厂区无明显异味，厂容厂貌整洁有序。</w:t>
            </w:r>
          </w:p>
          <w:p>
            <w:pPr>
              <w:spacing w:line="240" w:lineRule="auto"/>
              <w:rPr>
                <w:color w:val="auto"/>
              </w:rPr>
            </w:pPr>
            <w:r>
              <w:rPr>
                <w:rFonts w:hint="eastAsia"/>
                <w:color w:val="auto"/>
              </w:rPr>
              <w:t>⑦</w:t>
            </w:r>
            <w:r>
              <w:rPr>
                <w:color w:val="auto"/>
              </w:rPr>
              <w:t>项目正式生产后：公司建立：</w:t>
            </w:r>
            <w:r>
              <w:rPr>
                <w:rFonts w:hint="eastAsia"/>
                <w:color w:val="auto"/>
              </w:rPr>
              <w:t>（1）</w:t>
            </w:r>
            <w:r>
              <w:rPr>
                <w:color w:val="auto"/>
              </w:rPr>
              <w:t>环保档案：环评批复文件、竣工验收文件、排污许可证及季度、年度执行报告、环境管理制度（主要包括岗位责任制度、定期巡查维护制度、环保奖惩制度等）、废气治理设施运行管理规程、一年内废气</w:t>
            </w:r>
            <w:r>
              <w:rPr>
                <w:rFonts w:hint="eastAsia"/>
                <w:color w:val="auto"/>
              </w:rPr>
              <w:t>、废水、噪声</w:t>
            </w:r>
            <w:r>
              <w:rPr>
                <w:color w:val="auto"/>
              </w:rPr>
              <w:t>监测报告（符合排污许可证监测项目及频次要求）；</w:t>
            </w:r>
            <w:r>
              <w:rPr>
                <w:rFonts w:hint="eastAsia"/>
                <w:color w:val="auto"/>
              </w:rPr>
              <w:t>（2）</w:t>
            </w:r>
            <w:r>
              <w:rPr>
                <w:color w:val="auto"/>
              </w:rPr>
              <w:t>台账记录：生产设施运行管理信息（生产时间、运行负荷、产品产量等）、吸附剂种类、更换/再生周期、更换量；其他污染控制设备，应记录保养维护事项；主要原辅材料消耗情况；以上记录至少需保存五年</w:t>
            </w:r>
            <w:r>
              <w:rPr>
                <w:rFonts w:hint="eastAsia"/>
                <w:color w:val="auto"/>
              </w:rPr>
              <w:t>；（3）</w:t>
            </w:r>
            <w:r>
              <w:rPr>
                <w:color w:val="auto"/>
              </w:rPr>
              <w:t>配备专职环保人员，并具备相应的环境管理</w:t>
            </w:r>
            <w:r>
              <w:rPr>
                <w:rFonts w:hint="eastAsia"/>
                <w:color w:val="auto"/>
              </w:rPr>
              <w:t>能力</w:t>
            </w:r>
            <w:r>
              <w:rPr>
                <w:color w:val="auto"/>
              </w:rPr>
              <w:t>。</w:t>
            </w:r>
          </w:p>
          <w:p>
            <w:pPr>
              <w:spacing w:line="240" w:lineRule="auto"/>
              <w:rPr>
                <w:color w:val="auto"/>
              </w:rPr>
            </w:pPr>
            <w:r>
              <w:rPr>
                <w:rFonts w:hint="eastAsia"/>
                <w:color w:val="auto"/>
              </w:rPr>
              <w:t>⑧</w:t>
            </w:r>
            <w:r>
              <w:rPr>
                <w:color w:val="auto"/>
              </w:rPr>
              <w:t>项目建设后按要求建立门禁视频监控系统和电子台账。</w:t>
            </w:r>
          </w:p>
        </w:tc>
      </w:tr>
    </w:tbl>
    <w:p>
      <w:pPr>
        <w:ind w:firstLineChars="0" w:firstLine="0"/>
        <w:jc w:val="center"/>
        <w:outlineLvl w:val="0"/>
        <w:rPr>
          <w:rFonts w:ascii="宋体" w:cs="宋体" w:hAnsi="宋体" w:hint="eastAsia"/>
          <w:b/>
          <w:bCs/>
          <w:snapToGrid w:val="0"/>
          <w:color w:val="auto"/>
          <w:sz w:val="30"/>
          <w:szCs w:val="30"/>
        </w:rPr>
      </w:pPr>
      <w:r>
        <w:rPr>
          <w:snapToGrid w:val="0"/>
          <w:color w:val="auto"/>
        </w:rPr>
        <w:br w:type="page"/>
      </w:r>
      <w:r>
        <w:rPr>
          <w:rFonts w:ascii="宋体" w:cs="宋体" w:hAnsi="宋体" w:hint="eastAsia"/>
          <w:b/>
          <w:bCs/>
          <w:snapToGrid w:val="0"/>
          <w:color w:val="auto"/>
          <w:sz w:val="30"/>
          <w:szCs w:val="30"/>
        </w:rPr>
        <w:t>六、结论</w:t>
      </w:r>
    </w:p>
    <w:tbl>
      <w:tblPr>
        <w:jc w:val="left"/>
        <w:tblInd w:w="0" w:type="dx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060"/>
      </w:tblGrid>
      <w:tr>
        <w:tc>
          <w:tcPr>
            <w:tcW w:w="9060" w:type="dxa"/>
          </w:tcPr>
          <w:p>
            <w:pPr>
              <w:rPr>
                <w:color w:val="auto"/>
              </w:rPr>
            </w:pPr>
          </w:p>
          <w:p>
            <w:pPr>
              <w:rPr>
                <w:color w:val="auto"/>
              </w:rPr>
            </w:pPr>
            <w:r>
              <w:rPr>
                <w:rFonts w:hint="eastAsia"/>
                <w:color w:val="auto"/>
                <w:szCs w:val="32"/>
              </w:rPr>
              <w:t>本项目</w:t>
            </w:r>
            <w:r>
              <w:rPr>
                <w:color w:val="auto"/>
              </w:rPr>
              <w:t>建设符合国家和河北省相关的现行产业政策要求，项目选址合理，建设规模合理，生产工艺、环保设施较为先进，在严格采取本次环评提出的各项环保措施后，各污染物均达标排放，可以满足当地环境功能区划的要求。在全面加强监督管理，认真落实各项环保措施的条件下，从环境保护的角度分析，本项目的建设是可行的。</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tc>
      </w:tr>
    </w:tbl>
    <w:p>
      <w:pPr>
        <w:rPr>
          <w:color w:val="auto"/>
        </w:rPr>
        <w:sectPr>
          <w:pgSz w:w="11906" w:h="16838"/>
          <w:pgMar w:top="1417" w:right="1417" w:bottom="1417" w:left="1417" w:header="851" w:footer="851" w:gutter="0"/>
          <w:cols w:num="1" w:space="720"/>
          <w:docGrid w:linePitch="312" w:charSpace="0"/>
        </w:sectPr>
      </w:pPr>
    </w:p>
    <w:p>
      <w:pPr>
        <w:adjustRightInd w:val="0"/>
        <w:snapToGrid w:val="0"/>
        <w:outlineLvl w:val="0"/>
        <w:rPr>
          <w:rFonts w:eastAsia="黑体"/>
          <w:snapToGrid w:val="0"/>
          <w:color w:val="auto"/>
          <w:sz w:val="40"/>
          <w:szCs w:val="40"/>
        </w:rPr>
      </w:pPr>
      <w:r>
        <w:rPr>
          <w:rFonts w:eastAsia="黑体"/>
          <w:snapToGrid w:val="0"/>
          <w:color w:val="auto"/>
          <w:sz w:val="32"/>
          <w:szCs w:val="32"/>
        </w:rPr>
        <w:t>附表</w:t>
      </w:r>
    </w:p>
    <w:p>
      <w:pPr>
        <w:adjustRightInd w:val="0"/>
        <w:snapToGrid w:val="0"/>
        <w:ind w:firstLineChars="0" w:firstLine="0"/>
        <w:jc w:val="center"/>
        <w:outlineLvl w:val="0"/>
        <w:rPr>
          <w:snapToGrid w:val="0"/>
          <w:color w:val="auto"/>
          <w:sz w:val="44"/>
          <w:szCs w:val="44"/>
        </w:rPr>
      </w:pPr>
      <w:r>
        <w:rPr>
          <w:b/>
          <w:bCs/>
          <w:color w:val="auto"/>
          <w:sz w:val="32"/>
          <w:szCs w:val="22"/>
        </w:rPr>
        <w:t>建设项目污染物排放量汇总表</w:t>
      </w:r>
    </w:p>
    <w:tbl>
      <w:tblPr>
        <w:jc w:val="left"/>
        <w:tblInd w:w="0" w:type="dxa"/>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607"/>
        <w:gridCol w:w="1568"/>
        <w:gridCol w:w="1588"/>
        <w:gridCol w:w="1143"/>
        <w:gridCol w:w="1870"/>
        <w:gridCol w:w="1579"/>
        <w:gridCol w:w="1305"/>
        <w:gridCol w:w="2068"/>
        <w:gridCol w:w="1233"/>
      </w:tblGrid>
      <w:tr>
        <w:trPr>
          <w:trHeight w:val="23"/>
        </w:trPr>
        <w:tc>
          <w:tcPr>
            <w:tcW w:w="575" w:type="pct"/>
            <w:tcBorders>
              <w:tl2br w:val="single" w:sz="4" w:space="0" w:color="auto"/>
            </w:tcBorders>
            <w:tcMar>
              <w:left w:w="28" w:type="dxa"/>
              <w:right w:w="28" w:type="dxa"/>
            </w:tcMar>
            <w:vAlign w:val="center"/>
          </w:tcPr>
          <w:p>
            <w:pPr>
              <w:pStyle w:val="39"/>
              <w:jc w:val="right"/>
              <w:rPr>
                <w:color w:val="auto"/>
              </w:rPr>
            </w:pPr>
            <w:r>
              <w:rPr>
                <w:color w:val="auto"/>
              </w:rPr>
              <w:t>项目</w:t>
            </w:r>
          </w:p>
          <w:p>
            <w:pPr>
              <w:pStyle w:val="39"/>
              <w:jc w:val="left"/>
              <w:rPr>
                <w:color w:val="auto"/>
              </w:rPr>
            </w:pPr>
            <w:r>
              <w:rPr>
                <w:color w:val="auto"/>
              </w:rPr>
              <w:t>分类</w:t>
            </w:r>
          </w:p>
        </w:tc>
        <w:tc>
          <w:tcPr>
            <w:tcW w:w="561" w:type="pct"/>
            <w:tcMar>
              <w:left w:w="28" w:type="dxa"/>
              <w:right w:w="28" w:type="dxa"/>
            </w:tcMar>
            <w:vAlign w:val="center"/>
          </w:tcPr>
          <w:p>
            <w:pPr>
              <w:pStyle w:val="39"/>
              <w:rPr>
                <w:color w:val="auto"/>
              </w:rPr>
            </w:pPr>
            <w:r>
              <w:rPr>
                <w:color w:val="auto"/>
              </w:rPr>
              <w:t>污染物名称</w:t>
            </w:r>
          </w:p>
        </w:tc>
        <w:tc>
          <w:tcPr>
            <w:tcW w:w="568" w:type="pct"/>
            <w:tcMar>
              <w:left w:w="28" w:type="dxa"/>
              <w:right w:w="28" w:type="dxa"/>
            </w:tcMar>
            <w:vAlign w:val="center"/>
          </w:tcPr>
          <w:p>
            <w:pPr>
              <w:pStyle w:val="39"/>
              <w:rPr>
                <w:color w:val="auto"/>
              </w:rPr>
            </w:pPr>
            <w:r>
              <w:rPr>
                <w:color w:val="auto"/>
              </w:rPr>
              <w:t>现有工程排放量（固体废物产生量）</w:t>
            </w: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p>
        </w:tc>
        <w:tc>
          <w:tcPr>
            <w:tcW w:w="409" w:type="pct"/>
            <w:tcMar>
              <w:left w:w="28" w:type="dxa"/>
              <w:right w:w="28" w:type="dxa"/>
            </w:tcMar>
            <w:vAlign w:val="center"/>
          </w:tcPr>
          <w:p>
            <w:pPr>
              <w:pStyle w:val="39"/>
              <w:rPr>
                <w:color w:val="auto"/>
              </w:rPr>
            </w:pPr>
            <w:r>
              <w:rPr>
                <w:color w:val="auto"/>
              </w:rPr>
              <w:t>现有工程</w:t>
            </w:r>
          </w:p>
          <w:p>
            <w:pPr>
              <w:pStyle w:val="39"/>
              <w:rPr>
                <w:color w:val="auto"/>
              </w:rPr>
            </w:pPr>
            <w:r>
              <w:rPr>
                <w:color w:val="auto"/>
              </w:rPr>
              <w:t>许可排放量</w:t>
            </w:r>
          </w:p>
          <w:p>
            <w:pPr>
              <w:pStyle w:val="39"/>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p>
        </w:tc>
        <w:tc>
          <w:tcPr>
            <w:tcW w:w="669" w:type="pct"/>
            <w:tcMar>
              <w:left w:w="28" w:type="dxa"/>
              <w:right w:w="28" w:type="dxa"/>
            </w:tcMar>
            <w:vAlign w:val="center"/>
          </w:tcPr>
          <w:p>
            <w:pPr>
              <w:pStyle w:val="39"/>
              <w:rPr>
                <w:color w:val="auto"/>
              </w:rPr>
            </w:pPr>
            <w:r>
              <w:rPr>
                <w:color w:val="auto"/>
              </w:rPr>
              <w:t>在建工程排放量（固体废物产生量）</w:t>
            </w: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p>
        </w:tc>
        <w:tc>
          <w:tcPr>
            <w:tcW w:w="565" w:type="pct"/>
            <w:tcMar>
              <w:left w:w="28" w:type="dxa"/>
              <w:right w:w="28" w:type="dxa"/>
            </w:tcMar>
            <w:vAlign w:val="center"/>
          </w:tcPr>
          <w:p>
            <w:pPr>
              <w:pStyle w:val="39"/>
              <w:rPr>
                <w:color w:val="auto"/>
              </w:rPr>
            </w:pPr>
            <w:r>
              <w:rPr>
                <w:color w:val="auto"/>
              </w:rPr>
              <w:t>本项目排放量（固体废物产生量）</w:t>
            </w:r>
            <w:r>
              <w:rPr>
                <w:color w:val="auto"/>
              </w:rPr>
              <w:fldChar w:fldCharType="begin"/>
            </w:r>
            <w:r>
              <w:rPr>
                <w:color w:val="auto"/>
              </w:rPr>
              <w:instrText xml:space="preserve"> = 4 \* GB3 \* MERGEFORMAT </w:instrText>
            </w:r>
            <w:r>
              <w:rPr>
                <w:color w:val="auto"/>
              </w:rPr>
              <w:fldChar w:fldCharType="separate"/>
            </w:r>
            <w:r>
              <w:rPr>
                <w:color w:val="auto"/>
              </w:rPr>
              <w:t>④</w:t>
            </w:r>
            <w:r>
              <w:rPr>
                <w:color w:val="auto"/>
              </w:rPr>
              <w:fldChar w:fldCharType="end"/>
            </w:r>
          </w:p>
        </w:tc>
        <w:tc>
          <w:tcPr>
            <w:tcW w:w="467" w:type="pct"/>
            <w:tcMar>
              <w:left w:w="28" w:type="dxa"/>
              <w:right w:w="28" w:type="dxa"/>
            </w:tcMar>
            <w:vAlign w:val="center"/>
          </w:tcPr>
          <w:p>
            <w:pPr>
              <w:pStyle w:val="39"/>
              <w:rPr>
                <w:color w:val="auto"/>
              </w:rPr>
            </w:pPr>
            <w:r>
              <w:rPr>
                <w:color w:val="auto"/>
              </w:rPr>
              <w:t>以新带老削减量（新建项目不填）</w:t>
            </w:r>
            <w:r>
              <w:rPr>
                <w:color w:val="auto"/>
              </w:rPr>
              <w:fldChar w:fldCharType="begin"/>
            </w:r>
            <w:r>
              <w:rPr>
                <w:color w:val="auto"/>
              </w:rPr>
              <w:instrText xml:space="preserve"> = 5 \* GB3 \* MERGEFORMAT </w:instrText>
            </w:r>
            <w:r>
              <w:rPr>
                <w:color w:val="auto"/>
              </w:rPr>
              <w:fldChar w:fldCharType="separate"/>
            </w:r>
            <w:r>
              <w:rPr>
                <w:color w:val="auto"/>
              </w:rPr>
              <w:t>⑤</w:t>
            </w:r>
            <w:r>
              <w:rPr>
                <w:color w:val="auto"/>
              </w:rPr>
              <w:fldChar w:fldCharType="end"/>
            </w:r>
          </w:p>
        </w:tc>
        <w:tc>
          <w:tcPr>
            <w:tcW w:w="740" w:type="pct"/>
            <w:tcMar>
              <w:left w:w="28" w:type="dxa"/>
              <w:right w:w="28" w:type="dxa"/>
            </w:tcMar>
            <w:vAlign w:val="center"/>
          </w:tcPr>
          <w:p>
            <w:pPr>
              <w:pStyle w:val="39"/>
              <w:rPr>
                <w:color w:val="auto"/>
              </w:rPr>
            </w:pPr>
            <w:r>
              <w:rPr>
                <w:color w:val="auto"/>
              </w:rPr>
              <w:t>本项目建成后全厂排放量（固体废物产生量）</w:t>
            </w:r>
            <w:r>
              <w:rPr>
                <w:color w:val="auto"/>
              </w:rPr>
              <w:fldChar w:fldCharType="begin"/>
            </w:r>
            <w:r>
              <w:rPr>
                <w:color w:val="auto"/>
              </w:rPr>
              <w:instrText xml:space="preserve"> = 6 \* GB3 \* MERGEFORMAT </w:instrText>
            </w:r>
            <w:r>
              <w:rPr>
                <w:color w:val="auto"/>
              </w:rPr>
              <w:fldChar w:fldCharType="separate"/>
            </w:r>
            <w:r>
              <w:rPr>
                <w:color w:val="auto"/>
              </w:rPr>
              <w:t>⑥</w:t>
            </w:r>
            <w:r>
              <w:rPr>
                <w:color w:val="auto"/>
              </w:rPr>
              <w:fldChar w:fldCharType="end"/>
            </w:r>
          </w:p>
        </w:tc>
        <w:tc>
          <w:tcPr>
            <w:tcW w:w="441" w:type="pct"/>
            <w:tcMar>
              <w:left w:w="28" w:type="dxa"/>
              <w:right w:w="28" w:type="dxa"/>
            </w:tcMar>
            <w:vAlign w:val="center"/>
          </w:tcPr>
          <w:p>
            <w:pPr>
              <w:pStyle w:val="39"/>
              <w:rPr>
                <w:color w:val="auto"/>
              </w:rPr>
            </w:pPr>
            <w:r>
              <w:rPr>
                <w:color w:val="auto"/>
              </w:rPr>
              <w:t>变化量</w:t>
            </w:r>
            <w:r>
              <w:rPr>
                <w:color w:val="auto"/>
              </w:rPr>
              <w:fldChar w:fldCharType="begin"/>
            </w:r>
            <w:r>
              <w:rPr>
                <w:color w:val="auto"/>
              </w:rPr>
              <w:instrText xml:space="preserve"> = 7 \* GB3 \* MERGEFORMAT </w:instrText>
            </w:r>
            <w:r>
              <w:rPr>
                <w:color w:val="auto"/>
              </w:rPr>
              <w:fldChar w:fldCharType="separate"/>
            </w:r>
            <w:r>
              <w:rPr>
                <w:color w:val="auto"/>
              </w:rPr>
              <w:t>⑦</w:t>
            </w:r>
            <w:r>
              <w:rPr>
                <w:color w:val="auto"/>
              </w:rPr>
              <w:fldChar w:fldCharType="end"/>
            </w:r>
          </w:p>
        </w:tc>
      </w:tr>
      <w:tr>
        <w:trPr>
          <w:trHeight w:val="23"/>
        </w:trPr>
        <w:tc>
          <w:tcPr>
            <w:tcW w:w="575" w:type="pct"/>
            <w:vMerge w:val="restart"/>
            <w:vAlign w:val="center"/>
          </w:tcPr>
          <w:p>
            <w:pPr>
              <w:pStyle w:val="39"/>
              <w:rPr>
                <w:color w:val="auto"/>
              </w:rPr>
            </w:pPr>
            <w:r>
              <w:rPr>
                <w:color w:val="auto"/>
              </w:rPr>
              <w:t>废气</w:t>
            </w:r>
          </w:p>
        </w:tc>
        <w:tc>
          <w:tcPr>
            <w:tcW w:w="561"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颗粒物</w:t>
            </w:r>
          </w:p>
        </w:tc>
        <w:tc>
          <w:tcPr>
            <w:tcW w:w="568"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color w:val="auto"/>
                <w:sz w:val="21"/>
                <w:szCs w:val="21"/>
                <w:lang w:val="en-US" w:eastAsia="zh-CN"/>
                <w:highlight w:val="none"/>
              </w:rPr>
              <w:t>0.453t/a</w:t>
            </w:r>
          </w:p>
        </w:tc>
        <w:tc>
          <w:tcPr>
            <w:tcW w:w="409"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color w:val="auto"/>
                <w:sz w:val="21"/>
                <w:szCs w:val="21"/>
                <w:lang w:val="en-US" w:eastAsia="zh-CN"/>
                <w:highlight w:val="none"/>
              </w:rPr>
              <w:t>14.688t/a</w:t>
            </w:r>
          </w:p>
        </w:tc>
        <w:tc>
          <w:tcPr>
            <w:tcW w:w="669"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0.938t/a</w:t>
            </w:r>
          </w:p>
        </w:tc>
        <w:tc>
          <w:tcPr>
            <w:tcW w:w="467"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auto"/>
                <w:lang w:val="en-US"/>
                <w:highlight w:val="none"/>
              </w:rPr>
            </w:pPr>
            <w:r>
              <w:rPr>
                <w:rFonts w:cs="Times New Roman" w:hint="eastAsia"/>
                <w:color w:val="auto"/>
                <w:sz w:val="21"/>
                <w:szCs w:val="21"/>
                <w:lang w:val="en-US" w:eastAsia="zh-CN"/>
                <w:highlight w:val="none"/>
              </w:rPr>
              <w:t>1.391t/a</w:t>
            </w:r>
          </w:p>
        </w:tc>
        <w:tc>
          <w:tcPr>
            <w:tcW w:w="441" w:type="pct"/>
            <w:tcBorders>
              <w:left w:val="single" w:sz="4" w:space="0" w:color="auto"/>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+0.938t/a</w:t>
            </w:r>
          </w:p>
        </w:tc>
      </w:tr>
      <w:tr>
        <w:trPr>
          <w:trHeight w:val="23"/>
        </w:trPr>
        <w:tc>
          <w:tcPr>
            <w:tcW w:w="575" w:type="pct"/>
            <w:vMerge/>
            <w:vAlign w:val="center"/>
          </w:tcPr>
          <w:p/>
        </w:tc>
        <w:tc>
          <w:tcPr>
            <w:tcW w:w="561"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氨</w:t>
            </w:r>
          </w:p>
        </w:tc>
        <w:tc>
          <w:tcPr>
            <w:tcW w:w="568"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color w:val="auto"/>
                <w:sz w:val="21"/>
                <w:szCs w:val="21"/>
                <w:lang w:val="en-US" w:eastAsia="zh-CN"/>
                <w:highlight w:val="none"/>
              </w:rPr>
              <w:t>0.308t/a</w:t>
            </w:r>
          </w:p>
        </w:tc>
        <w:tc>
          <w:tcPr>
            <w:tcW w:w="409"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snapToGrid w:val="0"/>
                <w:color w:val="auto"/>
                <w:kern w:val="0"/>
                <w:sz w:val="21"/>
                <w:szCs w:val="21"/>
                <w:lang w:val="en-US" w:eastAsia="zh-CN" w:bidi="ar-SA"/>
                <w:highlight w:val="none"/>
              </w:rPr>
            </w:pPr>
            <w:r>
              <w:rPr>
                <w:rFonts w:cs="Times New Roman" w:hint="eastAsia"/>
                <w:color w:val="auto"/>
                <w:sz w:val="21"/>
                <w:szCs w:val="21"/>
                <w:lang w:val="en-US" w:eastAsia="zh-CN"/>
                <w:highlight w:val="none"/>
              </w:rPr>
              <w:t>--</w:t>
            </w:r>
          </w:p>
        </w:tc>
        <w:tc>
          <w:tcPr>
            <w:tcW w:w="669"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0.2</w:t>
            </w:r>
            <w:r>
              <w:rPr>
                <w:rFonts w:cs="Times New Roman" w:hint="eastAsia"/>
                <w:color w:val="auto"/>
                <w:sz w:val="21"/>
                <w:szCs w:val="21"/>
                <w:lang w:val="en-US" w:eastAsia="zh-CN"/>
                <w:highlight w:val="none"/>
              </w:rPr>
              <w:t>00</w:t>
            </w:r>
            <w:r>
              <w:rPr>
                <w:rFonts w:ascii="Times New Roman" w:eastAsia="宋体" w:cs="Times New Roman" w:hAnsi="Times New Roman" w:hint="eastAsia"/>
                <w:color w:val="auto"/>
                <w:sz w:val="21"/>
                <w:szCs w:val="21"/>
                <w:lang w:val="en-US" w:eastAsia="zh-CN"/>
                <w:highlight w:val="none"/>
              </w:rPr>
              <w:t>t/a</w:t>
            </w:r>
          </w:p>
        </w:tc>
        <w:tc>
          <w:tcPr>
            <w:tcW w:w="467"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auto"/>
                <w:lang w:val="en-US"/>
                <w:highlight w:val="none"/>
              </w:rPr>
            </w:pPr>
            <w:r>
              <w:rPr>
                <w:rFonts w:cs="Times New Roman" w:hint="eastAsia"/>
                <w:color w:val="auto"/>
                <w:sz w:val="21"/>
                <w:szCs w:val="21"/>
                <w:lang w:val="en-US" w:eastAsia="zh-CN"/>
                <w:highlight w:val="none"/>
              </w:rPr>
              <w:t>0.200t/a</w:t>
            </w:r>
          </w:p>
        </w:tc>
        <w:tc>
          <w:tcPr>
            <w:tcW w:w="441" w:type="pct"/>
            <w:tcBorders>
              <w:left w:val="single" w:sz="4" w:space="0" w:color="auto"/>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-0.108t/a</w:t>
            </w:r>
          </w:p>
        </w:tc>
      </w:tr>
      <w:tr>
        <w:trPr>
          <w:trHeight w:val="23"/>
        </w:trPr>
        <w:tc>
          <w:tcPr>
            <w:tcW w:w="575" w:type="pct"/>
            <w:vMerge/>
            <w:vAlign w:val="center"/>
          </w:tcPr>
          <w:p/>
        </w:tc>
        <w:tc>
          <w:tcPr>
            <w:tcW w:w="561" w:type="pct"/>
            <w:tcBorders>
              <w:left w:val="single" w:sz="4" w:space="0" w:color="auto"/>
            </w:tcBorders>
            <w:vAlign w:val="center"/>
          </w:tcPr>
          <w:p>
            <w:pPr>
              <w:pStyle w:val="39"/>
              <w:rPr>
                <w:color w:val="auto"/>
                <w:lang w:val="en-US" w:eastAsia="zh-CN"/>
              </w:rPr>
            </w:pPr>
            <w:r>
              <w:rPr>
                <w:rFonts w:hint="eastAsia"/>
                <w:color w:val="auto"/>
                <w:lang w:val="en-US" w:eastAsia="zh-CN"/>
              </w:rPr>
              <w:t>甲醛</w:t>
            </w:r>
          </w:p>
        </w:tc>
        <w:tc>
          <w:tcPr>
            <w:tcW w:w="568"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w:t>
            </w:r>
          </w:p>
        </w:tc>
        <w:tc>
          <w:tcPr>
            <w:tcW w:w="409"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669"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0.00159t/a</w:t>
            </w:r>
          </w:p>
        </w:tc>
        <w:tc>
          <w:tcPr>
            <w:tcW w:w="467"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0.00159t/a</w:t>
            </w:r>
          </w:p>
        </w:tc>
        <w:tc>
          <w:tcPr>
            <w:tcW w:w="441" w:type="pct"/>
            <w:tcBorders>
              <w:left w:val="single" w:sz="4" w:space="0" w:color="auto"/>
            </w:tcBorders>
            <w:vAlign w:val="center"/>
          </w:tcPr>
          <w:p>
            <w:pPr>
              <w:pStyle w:val="39"/>
              <w:rPr>
                <w:rFonts w:hint="eastAsia"/>
                <w:color w:val="auto"/>
                <w:lang w:val="en-US" w:eastAsia="zh-CN"/>
                <w:highlight w:val="none"/>
              </w:rPr>
            </w:pPr>
          </w:p>
        </w:tc>
      </w:tr>
      <w:tr>
        <w:trPr>
          <w:trHeight w:val="23"/>
        </w:trPr>
        <w:tc>
          <w:tcPr>
            <w:tcW w:w="575" w:type="pct"/>
            <w:vMerge/>
            <w:vAlign w:val="center"/>
          </w:tcPr>
          <w:p/>
        </w:tc>
        <w:tc>
          <w:tcPr>
            <w:tcW w:w="561" w:type="pct"/>
            <w:tcBorders>
              <w:left w:val="single" w:sz="4" w:space="0" w:color="auto"/>
            </w:tcBorders>
            <w:vAlign w:val="center"/>
          </w:tcPr>
          <w:p>
            <w:pPr>
              <w:pStyle w:val="39"/>
              <w:rPr>
                <w:color w:val="auto"/>
                <w:lang w:val="en-US" w:eastAsia="zh-CN"/>
              </w:rPr>
            </w:pPr>
            <w:r>
              <w:rPr>
                <w:rFonts w:hint="eastAsia"/>
                <w:color w:val="auto"/>
                <w:lang w:val="en-US" w:eastAsia="zh-CN"/>
              </w:rPr>
              <w:t>非甲烷总烃</w:t>
            </w:r>
          </w:p>
        </w:tc>
        <w:tc>
          <w:tcPr>
            <w:tcW w:w="568"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w:t>
            </w:r>
          </w:p>
        </w:tc>
        <w:tc>
          <w:tcPr>
            <w:tcW w:w="409"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669"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0.215t/a</w:t>
            </w:r>
          </w:p>
        </w:tc>
        <w:tc>
          <w:tcPr>
            <w:tcW w:w="467"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0.215t/a</w:t>
            </w:r>
          </w:p>
        </w:tc>
        <w:tc>
          <w:tcPr>
            <w:tcW w:w="441" w:type="pct"/>
            <w:tcBorders>
              <w:left w:val="single" w:sz="4" w:space="0" w:color="auto"/>
            </w:tcBorders>
            <w:vAlign w:val="center"/>
          </w:tcPr>
          <w:p>
            <w:pPr>
              <w:pStyle w:val="39"/>
              <w:rPr>
                <w:rFonts w:hint="eastAsia"/>
                <w:color w:val="auto"/>
                <w:lang w:val="en-US" w:eastAsia="zh-CN"/>
                <w:highlight w:val="none"/>
              </w:rPr>
            </w:pPr>
          </w:p>
        </w:tc>
      </w:tr>
      <w:tr>
        <w:trPr>
          <w:trHeight w:val="23"/>
        </w:trPr>
        <w:tc>
          <w:tcPr>
            <w:tcW w:w="575" w:type="pct"/>
            <w:vMerge/>
            <w:vAlign w:val="center"/>
          </w:tcPr>
          <w:p/>
        </w:tc>
        <w:tc>
          <w:tcPr>
            <w:tcW w:w="561" w:type="pct"/>
            <w:tcBorders>
              <w:left w:val="single" w:sz="4" w:space="0" w:color="auto"/>
            </w:tcBorders>
            <w:vAlign w:val="center"/>
          </w:tcPr>
          <w:p>
            <w:pPr>
              <w:pStyle w:val="39"/>
              <w:rPr>
                <w:color w:val="auto"/>
                <w:lang w:val="en-US" w:eastAsia="zh-CN"/>
              </w:rPr>
            </w:pPr>
            <w:r>
              <w:rPr>
                <w:rFonts w:hint="eastAsia"/>
                <w:color w:val="auto"/>
                <w:lang w:val="en-US" w:eastAsia="zh-CN"/>
              </w:rPr>
              <w:t>硫酸雾</w:t>
            </w:r>
          </w:p>
        </w:tc>
        <w:tc>
          <w:tcPr>
            <w:tcW w:w="568"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0.0001</w:t>
            </w:r>
          </w:p>
        </w:tc>
        <w:tc>
          <w:tcPr>
            <w:tcW w:w="409"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669"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0.0001t/a</w:t>
            </w:r>
          </w:p>
        </w:tc>
        <w:tc>
          <w:tcPr>
            <w:tcW w:w="467"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0.0001t/a</w:t>
            </w:r>
          </w:p>
        </w:tc>
        <w:tc>
          <w:tcPr>
            <w:tcW w:w="441" w:type="pct"/>
            <w:tcBorders>
              <w:left w:val="single" w:sz="4" w:space="0" w:color="auto"/>
            </w:tcBorders>
            <w:vAlign w:val="center"/>
          </w:tcPr>
          <w:p>
            <w:pPr>
              <w:pStyle w:val="39"/>
              <w:rPr>
                <w:rFonts w:hint="eastAsia"/>
                <w:color w:val="auto"/>
                <w:lang w:val="en-US" w:eastAsia="zh-CN"/>
                <w:highlight w:val="none"/>
              </w:rPr>
            </w:pPr>
          </w:p>
        </w:tc>
      </w:tr>
      <w:tr>
        <w:trPr>
          <w:trHeight w:val="23"/>
        </w:trPr>
        <w:tc>
          <w:tcPr>
            <w:tcW w:w="575" w:type="pct"/>
            <w:vMerge/>
            <w:vAlign w:val="center"/>
          </w:tcPr>
          <w:p/>
        </w:tc>
        <w:tc>
          <w:tcPr>
            <w:tcW w:w="561" w:type="pct"/>
            <w:tcBorders>
              <w:left w:val="single" w:sz="4" w:space="0" w:color="auto"/>
            </w:tcBorders>
            <w:vAlign w:val="center"/>
          </w:tcPr>
          <w:p>
            <w:pPr>
              <w:pStyle w:val="39"/>
              <w:rPr>
                <w:color w:val="auto"/>
                <w:lang w:val="en-US" w:eastAsia="zh-CN"/>
              </w:rPr>
            </w:pPr>
            <w:r>
              <w:rPr>
                <w:rFonts w:hint="eastAsia"/>
                <w:color w:val="auto"/>
                <w:lang w:val="en-US" w:eastAsia="zh-CN"/>
              </w:rPr>
              <w:t>氯化氢</w:t>
            </w:r>
          </w:p>
        </w:tc>
        <w:tc>
          <w:tcPr>
            <w:tcW w:w="568"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0.00003</w:t>
            </w:r>
          </w:p>
        </w:tc>
        <w:tc>
          <w:tcPr>
            <w:tcW w:w="409" w:type="pct"/>
            <w:tcBorders>
              <w:left w:val="single" w:sz="4" w:space="0" w:color="auto"/>
            </w:tcBorders>
            <w:shd w:val="clear" w:color="auto" w:fill="auto"/>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w:t>
            </w:r>
          </w:p>
        </w:tc>
        <w:tc>
          <w:tcPr>
            <w:tcW w:w="669"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hint="eastAsia"/>
                <w:color w:val="auto"/>
                <w:sz w:val="21"/>
                <w:szCs w:val="21"/>
                <w:lang w:val="en-US" w:eastAsia="zh-CN"/>
                <w:highlight w:val="none"/>
              </w:rPr>
              <w:t>0.00003t/a</w:t>
            </w:r>
          </w:p>
        </w:tc>
        <w:tc>
          <w:tcPr>
            <w:tcW w:w="467"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cs="Times New Roman"/>
                <w:color w:val="auto"/>
                <w:sz w:val="21"/>
                <w:szCs w:val="21"/>
                <w:lang w:val="en-US" w:eastAsia="zh-CN"/>
                <w:highlight w:val="none"/>
              </w:rPr>
            </w:pPr>
            <w:r>
              <w:rPr>
                <w:rFonts w:cs="Times New Roman" w:hint="eastAsia"/>
                <w:color w:val="auto"/>
                <w:sz w:val="21"/>
                <w:szCs w:val="21"/>
                <w:lang w:val="en-US" w:eastAsia="zh-CN"/>
                <w:highlight w:val="none"/>
              </w:rPr>
              <w:t>0.00003t/a</w:t>
            </w:r>
          </w:p>
        </w:tc>
        <w:tc>
          <w:tcPr>
            <w:tcW w:w="441" w:type="pct"/>
            <w:tcBorders>
              <w:left w:val="single" w:sz="4" w:space="0" w:color="auto"/>
            </w:tcBorders>
            <w:vAlign w:val="center"/>
          </w:tcPr>
          <w:p>
            <w:pPr>
              <w:pStyle w:val="39"/>
              <w:rPr>
                <w:rFonts w:hint="eastAsia"/>
                <w:color w:val="auto"/>
                <w:lang w:val="en-US" w:eastAsia="zh-CN"/>
                <w:highlight w:val="none"/>
              </w:rPr>
            </w:pPr>
          </w:p>
        </w:tc>
      </w:tr>
      <w:tr>
        <w:trPr>
          <w:trHeight w:val="23"/>
        </w:trPr>
        <w:tc>
          <w:tcPr>
            <w:tcW w:w="575" w:type="pct"/>
            <w:vMerge/>
            <w:vAlign w:val="center"/>
          </w:tcPr>
          <w:p/>
        </w:tc>
        <w:tc>
          <w:tcPr>
            <w:tcW w:w="561" w:type="pc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二氧化硫</w:t>
            </w:r>
          </w:p>
        </w:tc>
        <w:tc>
          <w:tcPr>
            <w:tcW w:w="568" w:type="pct"/>
            <w:tcBorders>
              <w:left w:val="single" w:sz="4" w:space="0" w:color="auto"/>
            </w:tcBorders>
            <w:vAlign w:val="center"/>
          </w:tcPr>
          <w:p>
            <w:pPr>
              <w:pStyle w:val="39"/>
              <w:rPr>
                <w:color w:val="auto"/>
                <w:highlight w:val="none"/>
              </w:rPr>
            </w:pPr>
            <w:r>
              <w:rPr>
                <w:rFonts w:hint="eastAsia"/>
                <w:color w:val="auto"/>
                <w:lang w:val="en-US" w:eastAsia="zh-CN"/>
                <w:highlight w:val="none"/>
              </w:rPr>
              <w:t>0.021t/a</w:t>
            </w:r>
          </w:p>
        </w:tc>
        <w:tc>
          <w:tcPr>
            <w:tcW w:w="409" w:type="pct"/>
            <w:tcBorders>
              <w:left w:val="single" w:sz="4" w:space="0" w:color="auto"/>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9.600t/a</w:t>
            </w:r>
          </w:p>
        </w:tc>
        <w:tc>
          <w:tcPr>
            <w:tcW w:w="669" w:type="pct"/>
            <w:tcBorders>
              <w:left w:val="single" w:sz="4" w:space="0" w:color="auto"/>
            </w:tcBorders>
            <w:vAlign w:val="center"/>
          </w:tcPr>
          <w:p>
            <w:pPr>
              <w:pStyle w:val="39"/>
              <w:rPr>
                <w:color w:val="auto"/>
                <w:highlight w:val="none"/>
              </w:rPr>
            </w:pPr>
            <w:r>
              <w:rPr>
                <w:color w:val="auto"/>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0</w:t>
            </w:r>
          </w:p>
        </w:tc>
        <w:tc>
          <w:tcPr>
            <w:tcW w:w="467" w:type="pct"/>
            <w:tcBorders>
              <w:left w:val="single" w:sz="4" w:space="0" w:color="auto"/>
            </w:tcBorders>
            <w:vAlign w:val="center"/>
          </w:tcPr>
          <w:p>
            <w:pPr>
              <w:pStyle w:val="39"/>
              <w:rPr>
                <w:color w:val="auto"/>
                <w:highlight w:val="none"/>
              </w:rPr>
            </w:pPr>
            <w:r>
              <w:rPr>
                <w:rFonts w:hint="eastAsia"/>
                <w:color w:val="auto"/>
                <w:highlight w:val="none"/>
              </w:rPr>
              <w:t>--</w:t>
            </w:r>
          </w:p>
        </w:tc>
        <w:tc>
          <w:tcPr>
            <w:tcW w:w="740" w:type="pct"/>
            <w:tcBorders>
              <w:left w:val="single" w:sz="4" w:space="0" w:color="auto"/>
            </w:tcBorders>
            <w:vAlign w:val="center"/>
          </w:tcPr>
          <w:p>
            <w:pPr>
              <w:pStyle w:val="39"/>
              <w:ind w:firstLine="0"/>
              <w:rPr>
                <w:color w:val="auto"/>
                <w:highlight w:val="none"/>
              </w:rPr>
            </w:pPr>
            <w:r>
              <w:rPr>
                <w:rFonts w:hint="eastAsia"/>
                <w:color w:val="auto"/>
                <w:lang w:val="en-US" w:eastAsia="zh-CN"/>
                <w:highlight w:val="none"/>
              </w:rPr>
              <w:t>0.021t/a</w:t>
            </w:r>
          </w:p>
        </w:tc>
        <w:tc>
          <w:tcPr>
            <w:tcW w:w="441"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+0t/a</w:t>
            </w:r>
          </w:p>
        </w:tc>
      </w:tr>
      <w:tr>
        <w:trPr>
          <w:trHeight w:val="23"/>
        </w:trPr>
        <w:tc>
          <w:tcPr>
            <w:tcW w:w="575" w:type="pct"/>
            <w:vMerge/>
            <w:vAlign w:val="center"/>
          </w:tcPr>
          <w:p/>
        </w:tc>
        <w:tc>
          <w:tcPr>
            <w:tcW w:w="561" w:type="pct"/>
            <w:tcBorders>
              <w:left w:val="single" w:sz="4" w:space="0" w:color="auto"/>
            </w:tcBorders>
            <w:vAlign w:val="center"/>
          </w:tcPr>
          <w:p>
            <w:pPr>
              <w:pStyle w:val="39"/>
              <w:rPr>
                <w:rFonts w:eastAsia="宋体" w:hint="eastAsia"/>
                <w:color w:val="auto"/>
                <w:lang w:val="en-US" w:eastAsia="zh-CN"/>
              </w:rPr>
            </w:pPr>
            <w:r>
              <w:rPr>
                <w:rFonts w:hint="eastAsia"/>
                <w:color w:val="auto"/>
                <w:lang w:val="en-US" w:eastAsia="zh-CN"/>
              </w:rPr>
              <w:t>氮氧化物</w:t>
            </w:r>
          </w:p>
        </w:tc>
        <w:tc>
          <w:tcPr>
            <w:tcW w:w="568" w:type="pct"/>
            <w:tcBorders>
              <w:left w:val="single" w:sz="4" w:space="0" w:color="auto"/>
            </w:tcBorders>
            <w:vAlign w:val="center"/>
          </w:tcPr>
          <w:p>
            <w:pPr>
              <w:pStyle w:val="39"/>
              <w:rPr>
                <w:color w:val="auto"/>
                <w:highlight w:val="none"/>
              </w:rPr>
            </w:pPr>
            <w:r>
              <w:rPr>
                <w:rFonts w:hint="eastAsia"/>
                <w:color w:val="auto"/>
                <w:lang w:val="en-US" w:eastAsia="zh-CN"/>
                <w:highlight w:val="none"/>
              </w:rPr>
              <w:t>0.757t/a</w:t>
            </w:r>
          </w:p>
        </w:tc>
        <w:tc>
          <w:tcPr>
            <w:tcW w:w="409" w:type="pct"/>
            <w:tcBorders>
              <w:left w:val="single" w:sz="4" w:space="0" w:color="auto"/>
            </w:tcBorders>
            <w:vAlign w:val="center"/>
          </w:tcPr>
          <w:p>
            <w:pPr>
              <w:pStyle w:val="39"/>
              <w:rPr>
                <w:rFonts w:eastAsia="宋体" w:hint="eastAsia"/>
                <w:color w:val="auto"/>
                <w:lang w:val="en-US" w:eastAsia="zh-CN"/>
                <w:highlight w:val="none"/>
              </w:rPr>
            </w:pPr>
            <w:r>
              <w:rPr>
                <w:rFonts w:hint="eastAsia"/>
                <w:color w:val="auto"/>
                <w:lang w:val="en-US" w:eastAsia="zh-CN"/>
                <w:highlight w:val="none"/>
              </w:rPr>
              <w:t>14.400t/a</w:t>
            </w:r>
          </w:p>
        </w:tc>
        <w:tc>
          <w:tcPr>
            <w:tcW w:w="669" w:type="pct"/>
            <w:tcBorders>
              <w:left w:val="single" w:sz="4" w:space="0" w:color="auto"/>
            </w:tcBorders>
            <w:vAlign w:val="center"/>
          </w:tcPr>
          <w:p>
            <w:pPr>
              <w:pStyle w:val="39"/>
              <w:rPr>
                <w:color w:val="auto"/>
                <w:highlight w:val="none"/>
              </w:rPr>
            </w:pPr>
            <w:r>
              <w:rPr>
                <w:color w:val="auto"/>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0</w:t>
            </w:r>
          </w:p>
        </w:tc>
        <w:tc>
          <w:tcPr>
            <w:tcW w:w="467" w:type="pct"/>
            <w:tcBorders>
              <w:left w:val="single" w:sz="4" w:space="0" w:color="auto"/>
            </w:tcBorders>
            <w:vAlign w:val="center"/>
          </w:tcPr>
          <w:p>
            <w:pPr>
              <w:pStyle w:val="39"/>
              <w:rPr>
                <w:color w:val="auto"/>
                <w:highlight w:val="none"/>
              </w:rPr>
            </w:pPr>
            <w:r>
              <w:rPr>
                <w:rFonts w:hint="eastAsia"/>
                <w:color w:val="auto"/>
                <w:highlight w:val="none"/>
              </w:rPr>
              <w:t>--</w:t>
            </w:r>
          </w:p>
        </w:tc>
        <w:tc>
          <w:tcPr>
            <w:tcW w:w="740" w:type="pct"/>
            <w:tcBorders>
              <w:left w:val="single" w:sz="4" w:space="0" w:color="auto"/>
            </w:tcBorders>
            <w:vAlign w:val="center"/>
          </w:tcPr>
          <w:p>
            <w:pPr>
              <w:pStyle w:val="39"/>
              <w:ind w:firstLine="0"/>
              <w:rPr>
                <w:color w:val="auto"/>
                <w:highlight w:val="none"/>
              </w:rPr>
            </w:pPr>
            <w:r>
              <w:rPr>
                <w:rFonts w:hint="eastAsia"/>
                <w:color w:val="auto"/>
                <w:lang w:val="en-US" w:eastAsia="zh-CN"/>
                <w:highlight w:val="none"/>
              </w:rPr>
              <w:t>0.757t/a</w:t>
            </w:r>
          </w:p>
        </w:tc>
        <w:tc>
          <w:tcPr>
            <w:tcW w:w="441"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+0t/a</w:t>
            </w:r>
          </w:p>
        </w:tc>
      </w:tr>
      <w:tr>
        <w:trPr>
          <w:trHeight w:val="23"/>
        </w:trPr>
        <w:tc>
          <w:tcPr>
            <w:tcW w:w="575" w:type="pct"/>
            <w:vMerge w:val="restart"/>
            <w:vAlign w:val="center"/>
          </w:tcPr>
          <w:p>
            <w:pPr>
              <w:pStyle w:val="39"/>
              <w:rPr>
                <w:color w:val="auto"/>
              </w:rPr>
            </w:pPr>
            <w:r>
              <w:rPr>
                <w:color w:val="auto"/>
              </w:rPr>
              <w:t>废水</w:t>
            </w:r>
          </w:p>
        </w:tc>
        <w:tc>
          <w:tcPr>
            <w:tcW w:w="561" w:type="pct"/>
            <w:tcBorders>
              <w:left w:val="single" w:sz="4" w:space="0" w:color="auto"/>
            </w:tcBorders>
            <w:vAlign w:val="center"/>
          </w:tcPr>
          <w:p>
            <w:pPr>
              <w:pStyle w:val="39"/>
              <w:rPr>
                <w:color w:val="auto"/>
              </w:rPr>
            </w:pPr>
            <w:r>
              <w:rPr>
                <w:color w:val="auto"/>
              </w:rPr>
              <w:t>COD</w:t>
            </w:r>
          </w:p>
        </w:tc>
        <w:tc>
          <w:tcPr>
            <w:tcW w:w="568"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auto"/>
                <w:highlight w:val="none"/>
              </w:rPr>
            </w:pPr>
            <w:r>
              <w:rPr>
                <w:rFonts w:cs="Times New Roman" w:hint="eastAsia"/>
                <w:color w:val="auto"/>
                <w:sz w:val="21"/>
                <w:szCs w:val="21"/>
                <w:lang w:val="en-US" w:eastAsia="zh-CN"/>
                <w:highlight w:val="none"/>
              </w:rPr>
              <w:t>0.125t/a</w:t>
            </w:r>
          </w:p>
        </w:tc>
        <w:tc>
          <w:tcPr>
            <w:tcW w:w="409"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auto"/>
                <w:highlight w:val="none"/>
              </w:rPr>
            </w:pPr>
            <w:r>
              <w:rPr>
                <w:rFonts w:cs="Times New Roman" w:hint="eastAsia"/>
                <w:color w:val="auto"/>
                <w:sz w:val="21"/>
                <w:szCs w:val="21"/>
                <w:lang w:val="en-US" w:eastAsia="zh-CN"/>
                <w:highlight w:val="none"/>
              </w:rPr>
              <w:t>0.251t/a</w:t>
            </w:r>
          </w:p>
        </w:tc>
        <w:tc>
          <w:tcPr>
            <w:tcW w:w="669" w:type="pct"/>
            <w:tcBorders>
              <w:left w:val="single" w:sz="4" w:space="0" w:color="auto"/>
            </w:tcBorders>
            <w:vAlign w:val="center"/>
          </w:tcPr>
          <w:p>
            <w:pPr>
              <w:pStyle w:val="39"/>
              <w:rPr>
                <w:color w:val="auto"/>
                <w:highlight w:val="none"/>
              </w:rPr>
            </w:pPr>
            <w:r>
              <w:rPr>
                <w:color w:val="auto"/>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0</w:t>
            </w:r>
          </w:p>
        </w:tc>
        <w:tc>
          <w:tcPr>
            <w:tcW w:w="467" w:type="pct"/>
            <w:tcBorders>
              <w:left w:val="single" w:sz="4" w:space="0" w:color="auto"/>
            </w:tcBorders>
            <w:vAlign w:val="center"/>
          </w:tcPr>
          <w:p>
            <w:pPr>
              <w:pStyle w:val="39"/>
              <w:rPr>
                <w:color w:val="auto"/>
                <w:highlight w:val="none"/>
              </w:rPr>
            </w:pPr>
            <w:r>
              <w:rPr>
                <w:color w:val="auto"/>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auto"/>
                <w:highlight w:val="none"/>
              </w:rPr>
            </w:pPr>
            <w:r>
              <w:rPr>
                <w:rFonts w:cs="Times New Roman" w:hint="eastAsia"/>
                <w:color w:val="auto"/>
                <w:sz w:val="21"/>
                <w:szCs w:val="21"/>
                <w:lang w:val="en-US" w:eastAsia="zh-CN"/>
                <w:highlight w:val="none"/>
              </w:rPr>
              <w:t>0.125t/a</w:t>
            </w:r>
          </w:p>
        </w:tc>
        <w:tc>
          <w:tcPr>
            <w:tcW w:w="441"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+0t/a</w:t>
            </w:r>
          </w:p>
        </w:tc>
      </w:tr>
      <w:tr>
        <w:trPr>
          <w:trHeight w:val="23"/>
        </w:trPr>
        <w:tc>
          <w:tcPr>
            <w:tcW w:w="575" w:type="pct"/>
            <w:vMerge/>
            <w:vAlign w:val="center"/>
          </w:tcPr>
          <w:p/>
        </w:tc>
        <w:tc>
          <w:tcPr>
            <w:tcW w:w="561" w:type="pct"/>
            <w:tcBorders>
              <w:left w:val="single" w:sz="4" w:space="0" w:color="auto"/>
            </w:tcBorders>
            <w:vAlign w:val="center"/>
          </w:tcPr>
          <w:p>
            <w:pPr>
              <w:pStyle w:val="39"/>
              <w:rPr>
                <w:color w:val="auto"/>
              </w:rPr>
            </w:pPr>
            <w:r>
              <w:rPr>
                <w:rFonts w:hint="eastAsia"/>
                <w:color w:val="auto"/>
              </w:rPr>
              <w:t>NH</w:t>
            </w:r>
            <w:r>
              <w:rPr>
                <w:rFonts w:hint="eastAsia"/>
                <w:color w:val="auto"/>
                <w:vertAlign w:val="subscript"/>
              </w:rPr>
              <w:t>3</w:t>
            </w:r>
            <w:r>
              <w:rPr>
                <w:rFonts w:hint="eastAsia"/>
                <w:color w:val="auto"/>
              </w:rPr>
              <w:t>-N</w:t>
            </w:r>
          </w:p>
        </w:tc>
        <w:tc>
          <w:tcPr>
            <w:tcW w:w="568"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eastAsia="宋体"/>
                <w:color w:val="auto"/>
                <w:lang w:val="en-US" w:eastAsia="zh-CN"/>
                <w:highlight w:val="none"/>
              </w:rPr>
            </w:pPr>
            <w:r>
              <w:rPr>
                <w:rFonts w:cs="Times New Roman" w:hint="eastAsia"/>
                <w:color w:val="auto"/>
                <w:sz w:val="21"/>
                <w:szCs w:val="21"/>
                <w:lang w:val="en-US" w:eastAsia="zh-CN"/>
                <w:highlight w:val="none"/>
              </w:rPr>
              <w:t>0.019t/a</w:t>
            </w:r>
          </w:p>
        </w:tc>
        <w:tc>
          <w:tcPr>
            <w:tcW w:w="409"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auto"/>
                <w:highlight w:val="none"/>
              </w:rPr>
            </w:pPr>
            <w:r>
              <w:rPr>
                <w:rFonts w:cs="Times New Roman" w:hint="eastAsia"/>
                <w:color w:val="auto"/>
                <w:sz w:val="21"/>
                <w:szCs w:val="21"/>
                <w:lang w:val="en-US" w:eastAsia="zh-CN"/>
                <w:highlight w:val="none"/>
              </w:rPr>
              <w:t>0.026t/a</w:t>
            </w:r>
          </w:p>
        </w:tc>
        <w:tc>
          <w:tcPr>
            <w:tcW w:w="669" w:type="pct"/>
            <w:tcBorders>
              <w:left w:val="single" w:sz="4" w:space="0" w:color="auto"/>
            </w:tcBorders>
            <w:vAlign w:val="center"/>
          </w:tcPr>
          <w:p>
            <w:pPr>
              <w:pStyle w:val="39"/>
              <w:rPr>
                <w:color w:val="auto"/>
                <w:highlight w:val="none"/>
              </w:rPr>
            </w:pPr>
            <w:r>
              <w:rPr>
                <w:color w:val="auto"/>
                <w:highlight w:val="none"/>
              </w:rPr>
              <w:t>--</w:t>
            </w:r>
          </w:p>
        </w:tc>
        <w:tc>
          <w:tcPr>
            <w:tcW w:w="565"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rFonts w:ascii="Times New Roman" w:eastAsia="宋体" w:cs="Times New Roman" w:hAnsi="Times New Roman" w:hint="eastAsia"/>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0</w:t>
            </w:r>
          </w:p>
        </w:tc>
        <w:tc>
          <w:tcPr>
            <w:tcW w:w="467" w:type="pct"/>
            <w:tcBorders>
              <w:left w:val="single" w:sz="4" w:space="0" w:color="auto"/>
            </w:tcBorders>
            <w:vAlign w:val="center"/>
          </w:tcPr>
          <w:p>
            <w:pPr>
              <w:pStyle w:val="39"/>
              <w:rPr>
                <w:color w:val="auto"/>
                <w:highlight w:val="none"/>
              </w:rPr>
            </w:pPr>
            <w:r>
              <w:rPr>
                <w:color w:val="auto"/>
                <w:highlight w:val="none"/>
              </w:rPr>
              <w:t>--</w:t>
            </w:r>
          </w:p>
        </w:tc>
        <w:tc>
          <w:tcPr>
            <w:tcW w:w="740" w:type="pct"/>
            <w:tcBorders>
              <w:left w:val="single" w:sz="4" w:space="0" w:color="auto"/>
            </w:tcBorders>
            <w:vAlign w:val="center"/>
          </w:tcPr>
          <w:p>
            <w:pPr>
              <w:pStyle w:val="41"/>
              <w:keepNext w:val="0"/>
              <w:keepLines w:val="0"/>
              <w:pageBreakBefore w:val="0"/>
              <w:widowControl w:val="0"/>
              <w:suppressLineNumbers w:val="0"/>
              <w:tabs>
                <w:tab w:val="left" w:pos="1755"/>
              </w:tabs>
              <w:kinsoku/>
              <w:wordWrap/>
              <w:overflowPunct/>
              <w:topLinePunct w:val="0"/>
              <w:autoSpaceDE/>
              <w:autoSpaceDN/>
              <w:bidi w:val="0"/>
              <w:adjustRightInd w:val="0"/>
              <w:snapToGrid/>
              <w:spacing w:before="0" w:beforeAutospacing="0" w:after="0" w:afterAutospacing="0" w:line="240" w:lineRule="auto"/>
              <w:ind w:left="0" w:right="0" w:firstLineChars="0" w:firstLine="0"/>
              <w:contextualSpacing/>
              <w:jc w:val="center"/>
              <w:textAlignment w:val="baseline"/>
              <w:outlineLvl w:val="9"/>
              <w:rPr>
                <w:color w:val="auto"/>
                <w:highlight w:val="none"/>
              </w:rPr>
            </w:pPr>
            <w:r>
              <w:rPr>
                <w:rFonts w:cs="Times New Roman" w:hint="eastAsia"/>
                <w:color w:val="auto"/>
                <w:sz w:val="21"/>
                <w:szCs w:val="21"/>
                <w:lang w:val="en-US" w:eastAsia="zh-CN"/>
                <w:highlight w:val="none"/>
              </w:rPr>
              <w:t>0.019t/a</w:t>
            </w:r>
          </w:p>
        </w:tc>
        <w:tc>
          <w:tcPr>
            <w:tcW w:w="441"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+0t/a</w:t>
            </w:r>
          </w:p>
        </w:tc>
      </w:tr>
      <w:tr>
        <w:trPr>
          <w:trHeight w:val="23"/>
        </w:trPr>
        <w:tc>
          <w:tcPr>
            <w:tcW w:w="575" w:type="pct"/>
            <w:vMerge w:val="restart"/>
            <w:vAlign w:val="center"/>
          </w:tcPr>
          <w:p>
            <w:pPr>
              <w:pStyle w:val="39"/>
              <w:rPr>
                <w:color w:val="auto"/>
              </w:rPr>
            </w:pPr>
            <w:r>
              <w:rPr>
                <w:color w:val="auto"/>
              </w:rPr>
              <w:t>一般工业固体废物</w:t>
            </w:r>
          </w:p>
        </w:tc>
        <w:tc>
          <w:tcPr>
            <w:tcW w:w="561" w:type="pct"/>
            <w:tcBorders>
              <w:left w:val="single" w:sz="4" w:space="0" w:color="auto"/>
            </w:tcBorders>
            <w:vAlign w:val="center"/>
          </w:tcPr>
          <w:p>
            <w:pPr>
              <w:pStyle w:val="39"/>
              <w:rPr>
                <w:color w:val="auto"/>
                <w:highlight w:val="none"/>
              </w:rPr>
            </w:pPr>
            <w:r>
              <w:rPr>
                <w:rFonts w:hint="eastAsia"/>
                <w:color w:val="auto"/>
                <w:highlight w:val="none"/>
              </w:rPr>
              <w:t>除尘灰</w:t>
            </w:r>
          </w:p>
        </w:tc>
        <w:tc>
          <w:tcPr>
            <w:tcW w:w="568"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86.411t/a</w:t>
            </w:r>
          </w:p>
        </w:tc>
        <w:tc>
          <w:tcPr>
            <w:tcW w:w="409" w:type="pct"/>
            <w:tcBorders>
              <w:left w:val="single" w:sz="4" w:space="0" w:color="auto"/>
            </w:tcBorders>
            <w:vAlign w:val="center"/>
          </w:tcPr>
          <w:p>
            <w:pPr>
              <w:pStyle w:val="39"/>
              <w:rPr>
                <w:color w:val="auto"/>
                <w:highlight w:val="none"/>
              </w:rPr>
            </w:pPr>
            <w:r>
              <w:rPr>
                <w:color w:val="auto"/>
                <w:highlight w:val="none"/>
              </w:rPr>
              <w:t>--</w:t>
            </w:r>
          </w:p>
        </w:tc>
        <w:tc>
          <w:tcPr>
            <w:tcW w:w="669" w:type="pct"/>
            <w:tcBorders>
              <w:left w:val="single" w:sz="4" w:space="0" w:color="auto"/>
            </w:tcBorders>
            <w:vAlign w:val="center"/>
          </w:tcPr>
          <w:p>
            <w:pPr>
              <w:pStyle w:val="39"/>
              <w:rPr>
                <w:color w:val="auto"/>
                <w:highlight w:val="none"/>
              </w:rPr>
            </w:pPr>
            <w:r>
              <w:rPr>
                <w:color w:val="auto"/>
                <w:highlight w:val="none"/>
              </w:rPr>
              <w:t>--</w:t>
            </w:r>
          </w:p>
        </w:tc>
        <w:tc>
          <w:tcPr>
            <w:tcW w:w="565"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1016.739</w:t>
            </w:r>
            <w:r>
              <w:rPr>
                <w:rFonts w:hint="eastAsia"/>
                <w:color w:val="auto"/>
                <w:highlight w:val="none"/>
              </w:rPr>
              <w:t>t</w:t>
            </w:r>
            <w:r>
              <w:rPr>
                <w:rFonts w:hint="eastAsia"/>
                <w:color w:val="auto"/>
                <w:lang w:val="en-US" w:eastAsia="zh-CN"/>
                <w:highlight w:val="none"/>
              </w:rPr>
              <w:t>/a</w:t>
            </w:r>
          </w:p>
        </w:tc>
        <w:tc>
          <w:tcPr>
            <w:tcW w:w="467" w:type="pct"/>
            <w:tcBorders>
              <w:left w:val="single" w:sz="4" w:space="0" w:color="auto"/>
            </w:tcBorders>
            <w:vAlign w:val="center"/>
          </w:tcPr>
          <w:p>
            <w:pPr>
              <w:pStyle w:val="39"/>
              <w:rPr>
                <w:color w:val="auto"/>
                <w:highlight w:val="none"/>
              </w:rPr>
            </w:pPr>
            <w:r>
              <w:rPr>
                <w:color w:val="auto"/>
                <w:highlight w:val="none"/>
              </w:rPr>
              <w:t>--</w:t>
            </w:r>
          </w:p>
        </w:tc>
        <w:tc>
          <w:tcPr>
            <w:tcW w:w="740" w:type="pct"/>
            <w:tcBorders>
              <w:left w:val="single" w:sz="4" w:space="0" w:color="auto"/>
            </w:tcBorders>
            <w:vAlign w:val="center"/>
          </w:tcPr>
          <w:p>
            <w:pPr>
              <w:pStyle w:val="39"/>
              <w:ind w:firstLine="0"/>
              <w:rPr>
                <w:color w:val="auto"/>
                <w:highlight w:val="none"/>
              </w:rPr>
            </w:pPr>
            <w:r>
              <w:rPr>
                <w:rFonts w:hint="eastAsia"/>
                <w:color w:val="auto"/>
                <w:lang w:val="en-US" w:eastAsia="zh-CN"/>
                <w:highlight w:val="none"/>
              </w:rPr>
              <w:t>1103.15</w:t>
            </w:r>
            <w:r>
              <w:rPr>
                <w:rFonts w:hint="eastAsia"/>
                <w:color w:val="auto"/>
                <w:highlight w:val="none"/>
              </w:rPr>
              <w:t>t</w:t>
            </w:r>
            <w:r>
              <w:rPr>
                <w:rFonts w:hint="eastAsia"/>
                <w:color w:val="auto"/>
                <w:lang w:val="en-US" w:eastAsia="zh-CN"/>
                <w:highlight w:val="none"/>
              </w:rPr>
              <w:t>/a</w:t>
            </w:r>
          </w:p>
        </w:tc>
        <w:tc>
          <w:tcPr>
            <w:tcW w:w="441"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+1016.739t/a</w:t>
            </w:r>
          </w:p>
        </w:tc>
      </w:tr>
      <w:tr>
        <w:trPr>
          <w:trHeight w:val="23"/>
        </w:trPr>
        <w:tc>
          <w:tcPr>
            <w:tcW w:w="575" w:type="pct"/>
            <w:vMerge/>
            <w:vAlign w:val="center"/>
          </w:tcPr>
          <w:p/>
        </w:tc>
        <w:tc>
          <w:tcPr>
            <w:tcW w:w="561"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原料包装袋</w:t>
            </w:r>
          </w:p>
        </w:tc>
        <w:tc>
          <w:tcPr>
            <w:tcW w:w="568"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2t/a</w:t>
            </w:r>
          </w:p>
        </w:tc>
        <w:tc>
          <w:tcPr>
            <w:tcW w:w="409" w:type="pct"/>
            <w:tcBorders>
              <w:left w:val="single" w:sz="4" w:space="0" w:color="auto"/>
            </w:tcBorders>
            <w:vAlign w:val="center"/>
          </w:tcPr>
          <w:p>
            <w:pPr>
              <w:pStyle w:val="39"/>
              <w:rPr>
                <w:color w:val="auto"/>
                <w:highlight w:val="none"/>
              </w:rPr>
            </w:pPr>
            <w:r>
              <w:rPr>
                <w:color w:val="auto"/>
                <w:highlight w:val="none"/>
              </w:rPr>
              <w:t>--</w:t>
            </w:r>
          </w:p>
        </w:tc>
        <w:tc>
          <w:tcPr>
            <w:tcW w:w="669" w:type="pct"/>
            <w:tcBorders>
              <w:left w:val="single" w:sz="4" w:space="0" w:color="auto"/>
            </w:tcBorders>
            <w:vAlign w:val="center"/>
          </w:tcPr>
          <w:p>
            <w:pPr>
              <w:pStyle w:val="39"/>
              <w:rPr>
                <w:color w:val="auto"/>
                <w:highlight w:val="none"/>
              </w:rPr>
            </w:pPr>
            <w:r>
              <w:rPr>
                <w:color w:val="auto"/>
                <w:highlight w:val="none"/>
              </w:rPr>
              <w:t>--</w:t>
            </w:r>
          </w:p>
        </w:tc>
        <w:tc>
          <w:tcPr>
            <w:tcW w:w="565"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0.05</w:t>
            </w:r>
            <w:r>
              <w:rPr>
                <w:rFonts w:hint="eastAsia"/>
                <w:color w:val="auto"/>
                <w:highlight w:val="none"/>
              </w:rPr>
              <w:t>t</w:t>
            </w:r>
            <w:r>
              <w:rPr>
                <w:rFonts w:hint="eastAsia"/>
                <w:color w:val="auto"/>
                <w:lang w:val="en-US" w:eastAsia="zh-CN"/>
                <w:highlight w:val="none"/>
              </w:rPr>
              <w:t>/a</w:t>
            </w:r>
          </w:p>
        </w:tc>
        <w:tc>
          <w:tcPr>
            <w:tcW w:w="467" w:type="pct"/>
            <w:tcBorders>
              <w:left w:val="single" w:sz="4" w:space="0" w:color="auto"/>
            </w:tcBorders>
            <w:vAlign w:val="center"/>
          </w:tcPr>
          <w:p>
            <w:pPr>
              <w:pStyle w:val="39"/>
              <w:rPr>
                <w:color w:val="auto"/>
                <w:highlight w:val="none"/>
              </w:rPr>
            </w:pPr>
            <w:r>
              <w:rPr>
                <w:color w:val="auto"/>
                <w:highlight w:val="none"/>
              </w:rPr>
              <w:t>--</w:t>
            </w:r>
          </w:p>
        </w:tc>
        <w:tc>
          <w:tcPr>
            <w:tcW w:w="740" w:type="pct"/>
            <w:tcBorders>
              <w:left w:val="single" w:sz="4" w:space="0" w:color="auto"/>
            </w:tcBorders>
            <w:vAlign w:val="center"/>
          </w:tcPr>
          <w:p>
            <w:pPr>
              <w:pStyle w:val="39"/>
              <w:ind w:firstLine="0"/>
              <w:rPr>
                <w:color w:val="auto"/>
                <w:highlight w:val="none"/>
              </w:rPr>
            </w:pPr>
            <w:r>
              <w:rPr>
                <w:rFonts w:hint="eastAsia"/>
                <w:color w:val="auto"/>
                <w:lang w:val="en-US" w:eastAsia="zh-CN"/>
                <w:highlight w:val="none"/>
              </w:rPr>
              <w:t>2.05</w:t>
            </w:r>
            <w:r>
              <w:rPr>
                <w:rFonts w:hint="eastAsia"/>
                <w:color w:val="auto"/>
                <w:highlight w:val="none"/>
              </w:rPr>
              <w:t>t</w:t>
            </w:r>
            <w:r>
              <w:rPr>
                <w:rFonts w:hint="eastAsia"/>
                <w:color w:val="auto"/>
                <w:lang w:val="en-US" w:eastAsia="zh-CN"/>
                <w:highlight w:val="none"/>
              </w:rPr>
              <w:t>/a</w:t>
            </w:r>
          </w:p>
        </w:tc>
        <w:tc>
          <w:tcPr>
            <w:tcW w:w="441"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+0.05t/a</w:t>
            </w:r>
          </w:p>
        </w:tc>
      </w:tr>
      <w:tr>
        <w:trPr>
          <w:trHeight w:val="232"/>
        </w:trPr>
        <w:tc>
          <w:tcPr>
            <w:tcW w:w="575" w:type="pct"/>
            <w:vMerge w:val="restart"/>
            <w:vAlign w:val="center"/>
          </w:tcPr>
          <w:p>
            <w:pPr>
              <w:pStyle w:val="39"/>
              <w:rPr>
                <w:color w:val="auto"/>
              </w:rPr>
            </w:pPr>
            <w:r>
              <w:rPr>
                <w:color w:val="auto"/>
              </w:rPr>
              <w:t>危险废物</w:t>
            </w:r>
          </w:p>
        </w:tc>
        <w:tc>
          <w:tcPr>
            <w:tcW w:w="561" w:type="pct"/>
            <w:tcBorders>
              <w:left w:val="single" w:sz="4" w:space="0" w:color="auto"/>
            </w:tcBorders>
            <w:vAlign w:val="center"/>
          </w:tcPr>
          <w:p>
            <w:pPr>
              <w:pStyle w:val="39"/>
              <w:rPr>
                <w:rFonts w:eastAsia="宋体"/>
                <w:color w:val="auto"/>
                <w:lang w:val="en-US" w:eastAsia="zh-CN"/>
              </w:rPr>
            </w:pPr>
            <w:r>
              <w:rPr>
                <w:rFonts w:hint="eastAsia"/>
                <w:color w:val="auto"/>
                <w:lang w:val="en-US" w:eastAsia="zh-CN"/>
              </w:rPr>
              <w:t>化验室废液</w:t>
            </w:r>
          </w:p>
        </w:tc>
        <w:tc>
          <w:tcPr>
            <w:tcW w:w="56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1.2t/a</w:t>
            </w:r>
          </w:p>
        </w:tc>
        <w:tc>
          <w:tcPr>
            <w:tcW w:w="40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66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565"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0t/a</w:t>
            </w:r>
          </w:p>
        </w:tc>
        <w:tc>
          <w:tcPr>
            <w:tcW w:w="467"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color w:val="auto"/>
                <w:highlight w:val="none"/>
              </w:rPr>
              <w:t>--</w:t>
            </w:r>
          </w:p>
        </w:tc>
        <w:tc>
          <w:tcPr>
            <w:tcW w:w="740"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1.2t/a</w:t>
            </w:r>
          </w:p>
        </w:tc>
        <w:tc>
          <w:tcPr>
            <w:tcW w:w="441"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+0t/a</w:t>
            </w:r>
          </w:p>
        </w:tc>
      </w:tr>
      <w:tr>
        <w:trPr>
          <w:trHeight w:val="23"/>
        </w:trPr>
        <w:tc>
          <w:tcPr>
            <w:tcW w:w="575" w:type="pct"/>
            <w:vMerge/>
            <w:vAlign w:val="center"/>
          </w:tcPr>
          <w:p/>
        </w:tc>
        <w:tc>
          <w:tcPr>
            <w:tcW w:w="561"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化验室废包装</w:t>
            </w:r>
          </w:p>
        </w:tc>
        <w:tc>
          <w:tcPr>
            <w:tcW w:w="56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0.1t/a</w:t>
            </w:r>
          </w:p>
        </w:tc>
        <w:tc>
          <w:tcPr>
            <w:tcW w:w="40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66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565" w:type="pct"/>
            <w:tcBorders>
              <w:left w:val="single" w:sz="4" w:space="0" w:color="auto"/>
            </w:tcBorders>
            <w:vAlign w:val="center"/>
          </w:tcPr>
          <w:p>
            <w:pPr>
              <w:pStyle w:val="39"/>
              <w:rPr>
                <w:rFonts w:eastAsia="宋体"/>
                <w:color w:val="auto"/>
                <w:lang w:val="en-US" w:eastAsia="zh-CN"/>
                <w:highlight w:val="none"/>
              </w:rPr>
            </w:pPr>
            <w:r>
              <w:rPr>
                <w:rFonts w:hint="eastAsia"/>
                <w:color w:val="auto"/>
                <w:lang w:val="en-US" w:eastAsia="zh-CN"/>
                <w:highlight w:val="none"/>
              </w:rPr>
              <w:t>0t/a</w:t>
            </w:r>
          </w:p>
        </w:tc>
        <w:tc>
          <w:tcPr>
            <w:tcW w:w="467"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rFonts w:hint="eastAsia"/>
                <w:color w:val="auto"/>
                <w:highlight w:val="none"/>
              </w:rPr>
              <w:t>--</w:t>
            </w:r>
          </w:p>
        </w:tc>
        <w:tc>
          <w:tcPr>
            <w:tcW w:w="740"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0.1t/a</w:t>
            </w:r>
          </w:p>
        </w:tc>
        <w:tc>
          <w:tcPr>
            <w:tcW w:w="441"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+0t/a</w:t>
            </w:r>
          </w:p>
        </w:tc>
      </w:tr>
      <w:tr>
        <w:trPr>
          <w:trHeight w:val="23"/>
        </w:trPr>
        <w:tc>
          <w:tcPr>
            <w:tcW w:w="575" w:type="pct"/>
            <w:vMerge/>
            <w:vAlign w:val="center"/>
          </w:tcPr>
          <w:p/>
        </w:tc>
        <w:tc>
          <w:tcPr>
            <w:tcW w:w="561" w:type="pct"/>
            <w:tcBorders>
              <w:left w:val="single" w:sz="4" w:space="0" w:color="auto"/>
            </w:tcBorders>
            <w:shd w:val="clear" w:color="auto" w:fill="auto"/>
            <w:vAlign w:val="center"/>
          </w:tcPr>
          <w:p>
            <w:pPr>
              <w:pStyle w:val="39"/>
              <w:ind w:firstLine="0"/>
              <w:rPr>
                <w:rFonts w:eastAsia="宋体"/>
                <w:color w:val="auto"/>
                <w:lang w:val="en-US" w:eastAsia="zh-CN"/>
              </w:rPr>
            </w:pPr>
            <w:r>
              <w:rPr>
                <w:rFonts w:hint="eastAsia"/>
                <w:color w:val="auto"/>
                <w:lang w:val="en-US" w:eastAsia="zh-CN"/>
              </w:rPr>
              <w:t>废机油、废润滑油</w:t>
            </w:r>
          </w:p>
        </w:tc>
        <w:tc>
          <w:tcPr>
            <w:tcW w:w="56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0.5t/a</w:t>
            </w:r>
          </w:p>
        </w:tc>
        <w:tc>
          <w:tcPr>
            <w:tcW w:w="40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66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565" w:type="pct"/>
            <w:tcBorders>
              <w:left w:val="single" w:sz="4" w:space="0" w:color="auto"/>
            </w:tcBorders>
            <w:vAlign w:val="center"/>
          </w:tcPr>
          <w:p>
            <w:pPr>
              <w:pStyle w:val="39"/>
              <w:rPr>
                <w:color w:val="auto"/>
                <w:lang w:val="en-US" w:eastAsia="zh-CN"/>
                <w:highlight w:val="none"/>
              </w:rPr>
            </w:pPr>
            <w:r>
              <w:rPr>
                <w:rFonts w:hint="eastAsia"/>
                <w:color w:val="auto"/>
                <w:lang w:val="en-US" w:eastAsia="zh-CN"/>
                <w:highlight w:val="none"/>
              </w:rPr>
              <w:t>0t/a</w:t>
            </w:r>
          </w:p>
        </w:tc>
        <w:tc>
          <w:tcPr>
            <w:tcW w:w="467" w:type="pct"/>
            <w:tcBorders>
              <w:left w:val="single" w:sz="4" w:space="0" w:color="auto"/>
            </w:tcBorders>
            <w:shd w:val="clear" w:color="auto" w:fill="auto"/>
            <w:vAlign w:val="center"/>
          </w:tcPr>
          <w:p>
            <w:pPr>
              <w:pStyle w:val="39"/>
              <w:ind w:firstLine="0"/>
              <w:rPr>
                <w:rFonts w:hint="eastAsia"/>
                <w:color w:val="auto"/>
                <w:highlight w:val="none"/>
              </w:rPr>
            </w:pPr>
          </w:p>
        </w:tc>
        <w:tc>
          <w:tcPr>
            <w:tcW w:w="740" w:type="pct"/>
            <w:tcBorders>
              <w:left w:val="single" w:sz="4" w:space="0" w:color="auto"/>
            </w:tcBorders>
            <w:shd w:val="clear" w:color="auto" w:fill="auto"/>
            <w:vAlign w:val="center"/>
          </w:tcPr>
          <w:p>
            <w:pPr>
              <w:pStyle w:val="39"/>
              <w:rPr>
                <w:rFonts w:hint="eastAsia"/>
                <w:color w:val="auto"/>
                <w:lang w:val="en-US" w:eastAsia="zh-CN"/>
                <w:highlight w:val="none"/>
              </w:rPr>
            </w:pPr>
            <w:r>
              <w:rPr>
                <w:rFonts w:hint="eastAsia"/>
                <w:color w:val="auto"/>
                <w:lang w:val="en-US" w:eastAsia="zh-CN"/>
                <w:highlight w:val="none"/>
              </w:rPr>
              <w:t>0.5t/a</w:t>
            </w:r>
          </w:p>
        </w:tc>
        <w:tc>
          <w:tcPr>
            <w:tcW w:w="441" w:type="pct"/>
            <w:tcBorders>
              <w:left w:val="single" w:sz="4" w:space="0" w:color="auto"/>
            </w:tcBorders>
            <w:shd w:val="clear" w:color="auto" w:fill="auto"/>
            <w:vAlign w:val="center"/>
          </w:tcPr>
          <w:p>
            <w:pPr>
              <w:pStyle w:val="39"/>
              <w:rPr>
                <w:color w:val="auto"/>
                <w:lang w:val="en-US" w:eastAsia="zh-CN"/>
                <w:highlight w:val="none"/>
              </w:rPr>
            </w:pPr>
            <w:r>
              <w:rPr>
                <w:rFonts w:hint="eastAsia"/>
                <w:color w:val="auto"/>
                <w:lang w:val="en-US" w:eastAsia="zh-CN"/>
                <w:highlight w:val="none"/>
              </w:rPr>
              <w:t>+0t/a</w:t>
            </w:r>
          </w:p>
        </w:tc>
      </w:tr>
      <w:tr>
        <w:trPr>
          <w:trHeight w:val="23"/>
        </w:trPr>
        <w:tc>
          <w:tcPr>
            <w:tcW w:w="575" w:type="pct"/>
            <w:vMerge/>
            <w:vAlign w:val="center"/>
          </w:tcPr>
          <w:p/>
        </w:tc>
        <w:tc>
          <w:tcPr>
            <w:tcW w:w="561"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rPr>
            </w:pPr>
            <w:r>
              <w:rPr>
                <w:rFonts w:cs="Times New Roman" w:hint="eastAsia"/>
                <w:color w:val="auto"/>
                <w:kern w:val="0"/>
                <w:sz w:val="21"/>
                <w:szCs w:val="24"/>
                <w:lang w:val="en-US" w:eastAsia="zh-CN" w:bidi="ar-SA"/>
              </w:rPr>
              <w:t>废油桶</w:t>
            </w:r>
          </w:p>
        </w:tc>
        <w:tc>
          <w:tcPr>
            <w:tcW w:w="568"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0.05</w:t>
            </w:r>
          </w:p>
        </w:tc>
        <w:tc>
          <w:tcPr>
            <w:tcW w:w="40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669"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color w:val="auto"/>
                <w:highlight w:val="none"/>
              </w:rPr>
              <w:t>--</w:t>
            </w:r>
          </w:p>
        </w:tc>
        <w:tc>
          <w:tcPr>
            <w:tcW w:w="565" w:type="pct"/>
            <w:tcBorders>
              <w:left w:val="single" w:sz="4" w:space="0" w:color="auto"/>
            </w:tcBorders>
            <w:shd w:val="clear" w:color="auto" w:fill="auto"/>
            <w:vAlign w:val="center"/>
          </w:tcPr>
          <w:p>
            <w:pPr>
              <w:pStyle w:val="39"/>
              <w:ind w:firstLine="0"/>
              <w:rPr>
                <w:rFonts w:ascii="Times New Roman" w:eastAsia="宋体" w:cs="Times New Roman" w:hAnsi="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0t/a</w:t>
            </w:r>
          </w:p>
        </w:tc>
        <w:tc>
          <w:tcPr>
            <w:tcW w:w="467" w:type="pct"/>
            <w:tcBorders>
              <w:left w:val="single" w:sz="4" w:space="0" w:color="auto"/>
            </w:tcBorders>
            <w:shd w:val="clear" w:color="auto" w:fill="auto"/>
            <w:vAlign w:val="center"/>
          </w:tcPr>
          <w:p>
            <w:pPr>
              <w:pStyle w:val="39"/>
              <w:ind w:firstLine="0"/>
              <w:rPr>
                <w:rFonts w:ascii="Times New Roman" w:eastAsia="宋体" w:cs="Times New Roman" w:hAnsi="Times New Roman" w:hint="eastAsia"/>
                <w:color w:val="auto"/>
                <w:kern w:val="0"/>
                <w:sz w:val="21"/>
                <w:szCs w:val="24"/>
                <w:lang w:val="en-US" w:eastAsia="zh-CN" w:bidi="ar-SA"/>
                <w:highlight w:val="none"/>
              </w:rPr>
            </w:pPr>
            <w:r>
              <w:rPr>
                <w:color w:val="auto"/>
                <w:highlight w:val="none"/>
              </w:rPr>
              <w:t>--</w:t>
            </w:r>
          </w:p>
        </w:tc>
        <w:tc>
          <w:tcPr>
            <w:tcW w:w="740" w:type="pct"/>
            <w:tcBorders>
              <w:left w:val="single" w:sz="4" w:space="0" w:color="auto"/>
            </w:tcBorders>
            <w:shd w:val="clear" w:color="auto" w:fill="auto"/>
            <w:vAlign w:val="center"/>
          </w:tcPr>
          <w:p>
            <w:pPr>
              <w:pStyle w:val="39"/>
              <w:rPr>
                <w:rFonts w:hint="eastAsia"/>
                <w:color w:val="auto"/>
                <w:lang w:val="en-US" w:eastAsia="zh-CN"/>
                <w:highlight w:val="none"/>
              </w:rPr>
            </w:pPr>
            <w:r>
              <w:rPr>
                <w:rFonts w:hint="eastAsia"/>
                <w:color w:val="auto"/>
                <w:lang w:val="en-US" w:eastAsia="zh-CN"/>
                <w:highlight w:val="none"/>
              </w:rPr>
              <w:t>0.05t/a</w:t>
            </w:r>
          </w:p>
        </w:tc>
        <w:tc>
          <w:tcPr>
            <w:tcW w:w="441" w:type="pct"/>
            <w:tcBorders>
              <w:left w:val="single" w:sz="4" w:space="0" w:color="auto"/>
            </w:tcBorders>
            <w:shd w:val="clear" w:color="auto" w:fill="auto"/>
            <w:vAlign w:val="center"/>
          </w:tcPr>
          <w:p>
            <w:pPr>
              <w:pStyle w:val="39"/>
              <w:rPr>
                <w:color w:val="auto"/>
                <w:lang w:val="en-US" w:eastAsia="zh-CN"/>
                <w:highlight w:val="none"/>
              </w:rPr>
            </w:pPr>
            <w:r>
              <w:rPr>
                <w:rFonts w:hint="eastAsia"/>
                <w:color w:val="auto"/>
                <w:lang w:val="en-US" w:eastAsia="zh-CN"/>
                <w:highlight w:val="none"/>
              </w:rPr>
              <w:t>+0t/a</w:t>
            </w:r>
          </w:p>
        </w:tc>
      </w:tr>
      <w:tr>
        <w:trPr>
          <w:trHeight w:val="23"/>
        </w:trPr>
        <w:tc>
          <w:tcPr>
            <w:tcW w:w="575" w:type="pct"/>
            <w:vMerge/>
            <w:vAlign w:val="center"/>
          </w:tcPr>
          <w:p/>
        </w:tc>
        <w:tc>
          <w:tcPr>
            <w:tcW w:w="561" w:type="pct"/>
            <w:tcBorders>
              <w:left w:val="single" w:sz="4" w:space="0" w:color="auto"/>
            </w:tcBorders>
            <w:shd w:val="clear" w:color="auto" w:fill="auto"/>
            <w:vAlign w:val="center"/>
          </w:tcPr>
          <w:p>
            <w:pPr>
              <w:pStyle w:val="39"/>
              <w:ind w:firstLine="0"/>
              <w:rPr>
                <w:rFonts w:cs="Times New Roman" w:hint="eastAsia"/>
                <w:color w:val="auto"/>
                <w:kern w:val="0"/>
                <w:sz w:val="21"/>
                <w:szCs w:val="24"/>
                <w:lang w:val="en-US" w:eastAsia="zh-CN" w:bidi="ar-SA"/>
              </w:rPr>
            </w:pPr>
            <w:r>
              <w:rPr>
                <w:rFonts w:cs="Times New Roman" w:hint="eastAsia"/>
                <w:color w:val="auto"/>
                <w:kern w:val="0"/>
                <w:sz w:val="21"/>
                <w:szCs w:val="24"/>
                <w:lang w:val="en-US" w:eastAsia="zh-CN" w:bidi="ar-SA"/>
              </w:rPr>
              <w:t>废干式酸雾净化器吸附剂</w:t>
            </w:r>
          </w:p>
        </w:tc>
        <w:tc>
          <w:tcPr>
            <w:tcW w:w="568" w:type="pct"/>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w:t>
            </w:r>
          </w:p>
        </w:tc>
        <w:tc>
          <w:tcPr>
            <w:tcW w:w="409" w:type="pct"/>
            <w:tcBorders>
              <w:left w:val="single" w:sz="4" w:space="0" w:color="auto"/>
            </w:tcBorders>
            <w:shd w:val="clear" w:color="auto" w:fill="auto"/>
            <w:vAlign w:val="center"/>
          </w:tcPr>
          <w:p>
            <w:pPr>
              <w:pStyle w:val="39"/>
              <w:ind w:firstLine="0"/>
              <w:rPr>
                <w:rFonts w:eastAsia="宋体"/>
                <w:color w:val="auto"/>
                <w:lang w:val="en-US" w:eastAsia="zh-CN"/>
                <w:highlight w:val="none"/>
              </w:rPr>
            </w:pPr>
            <w:r>
              <w:rPr>
                <w:rFonts w:hint="eastAsia"/>
                <w:color w:val="auto"/>
                <w:lang w:val="en-US" w:eastAsia="zh-CN"/>
                <w:highlight w:val="none"/>
              </w:rPr>
              <w:t>--</w:t>
            </w:r>
          </w:p>
        </w:tc>
        <w:tc>
          <w:tcPr>
            <w:tcW w:w="669" w:type="pct"/>
            <w:tcBorders>
              <w:left w:val="single" w:sz="4" w:space="0" w:color="auto"/>
            </w:tcBorders>
            <w:shd w:val="clear" w:color="auto" w:fill="auto"/>
            <w:vAlign w:val="center"/>
          </w:tcPr>
          <w:p>
            <w:pPr>
              <w:pStyle w:val="39"/>
              <w:ind w:firstLine="0"/>
              <w:rPr>
                <w:rFonts w:eastAsia="宋体"/>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0.0115t/a</w:t>
            </w:r>
          </w:p>
        </w:tc>
        <w:tc>
          <w:tcPr>
            <w:tcW w:w="467" w:type="pct"/>
            <w:tcBorders>
              <w:left w:val="single" w:sz="4" w:space="0" w:color="auto"/>
            </w:tcBorders>
            <w:shd w:val="clear" w:color="auto" w:fill="auto"/>
            <w:vAlign w:val="center"/>
          </w:tcPr>
          <w:p>
            <w:pPr>
              <w:pStyle w:val="39"/>
              <w:ind w:firstLine="0"/>
              <w:rPr>
                <w:rFonts w:eastAsia="宋体"/>
                <w:color w:val="auto"/>
                <w:lang w:val="en-US" w:eastAsia="zh-CN"/>
                <w:highlight w:val="none"/>
              </w:rPr>
            </w:pPr>
            <w:r>
              <w:rPr>
                <w:rFonts w:hint="eastAsia"/>
                <w:color w:val="auto"/>
                <w:lang w:val="en-US" w:eastAsia="zh-CN"/>
                <w:highlight w:val="none"/>
              </w:rPr>
              <w:t>--</w:t>
            </w:r>
          </w:p>
        </w:tc>
        <w:tc>
          <w:tcPr>
            <w:tcW w:w="740" w:type="pct"/>
            <w:tcBorders>
              <w:left w:val="single" w:sz="4" w:space="0" w:color="auto"/>
            </w:tcBorders>
            <w:shd w:val="clear" w:color="auto" w:fill="auto"/>
            <w:vAlign w:val="center"/>
          </w:tcPr>
          <w:p>
            <w:pPr>
              <w:pStyle w:val="39"/>
              <w:rPr>
                <w:rFonts w:hint="eastAsia"/>
                <w:color w:val="auto"/>
                <w:lang w:val="en-US" w:eastAsia="zh-CN"/>
                <w:highlight w:val="none"/>
              </w:rPr>
            </w:pPr>
            <w:r>
              <w:rPr>
                <w:rFonts w:hint="eastAsia"/>
                <w:color w:val="auto"/>
                <w:lang w:val="en-US" w:eastAsia="zh-CN"/>
                <w:highlight w:val="none"/>
              </w:rPr>
              <w:t>0.0115t/a</w:t>
            </w:r>
          </w:p>
        </w:tc>
        <w:tc>
          <w:tcPr>
            <w:tcW w:w="441" w:type="pct"/>
            <w:tcBorders>
              <w:left w:val="single" w:sz="4" w:space="0" w:color="auto"/>
            </w:tcBorders>
            <w:shd w:val="clear" w:color="auto" w:fill="auto"/>
            <w:vAlign w:val="center"/>
          </w:tcPr>
          <w:p>
            <w:pPr>
              <w:pStyle w:val="39"/>
              <w:rPr>
                <w:rFonts w:hint="eastAsia"/>
                <w:color w:val="auto"/>
                <w:lang w:val="en-US" w:eastAsia="zh-CN"/>
                <w:highlight w:val="none"/>
              </w:rPr>
            </w:pPr>
            <w:r>
              <w:rPr>
                <w:rFonts w:hint="eastAsia"/>
                <w:color w:val="auto"/>
                <w:lang w:val="en-US" w:eastAsia="zh-CN"/>
                <w:highlight w:val="none"/>
              </w:rPr>
              <w:t>+0.0115t/a</w:t>
            </w:r>
          </w:p>
        </w:tc>
      </w:tr>
      <w:tr>
        <w:trPr>
          <w:trHeight w:val="23"/>
        </w:trPr>
        <w:tc>
          <w:tcPr>
            <w:tcW w:w="575" w:type="pct"/>
            <w:vMerge/>
            <w:vAlign w:val="center"/>
          </w:tcPr>
          <w:p/>
        </w:tc>
        <w:tc>
          <w:tcPr>
            <w:tcW w:w="561" w:type="pct"/>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rPr>
            </w:pPr>
            <w:r>
              <w:rPr>
                <w:rFonts w:cs="Times New Roman" w:hint="eastAsia"/>
                <w:color w:val="auto"/>
                <w:kern w:val="0"/>
                <w:sz w:val="21"/>
                <w:szCs w:val="24"/>
                <w:lang w:val="en-US" w:eastAsia="zh-CN" w:bidi="ar-SA"/>
              </w:rPr>
              <w:t>废活性炭</w:t>
            </w:r>
          </w:p>
        </w:tc>
        <w:tc>
          <w:tcPr>
            <w:tcW w:w="568" w:type="pct"/>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0</w:t>
            </w:r>
          </w:p>
        </w:tc>
        <w:tc>
          <w:tcPr>
            <w:tcW w:w="409" w:type="pct"/>
            <w:tcBorders>
              <w:left w:val="single" w:sz="4" w:space="0" w:color="auto"/>
            </w:tcBorders>
            <w:shd w:val="clear" w:color="auto" w:fill="auto"/>
            <w:vAlign w:val="center"/>
          </w:tcPr>
          <w:p>
            <w:pPr>
              <w:pStyle w:val="39"/>
              <w:ind w:firstLine="0"/>
              <w:rPr>
                <w:rFonts w:eastAsia="宋体"/>
                <w:color w:val="auto"/>
                <w:lang w:val="en-US" w:eastAsia="zh-CN"/>
                <w:highlight w:val="none"/>
              </w:rPr>
            </w:pPr>
            <w:r>
              <w:rPr>
                <w:rFonts w:hint="eastAsia"/>
                <w:color w:val="auto"/>
                <w:lang w:val="en-US" w:eastAsia="zh-CN"/>
                <w:highlight w:val="none"/>
              </w:rPr>
              <w:t>--</w:t>
            </w:r>
          </w:p>
        </w:tc>
        <w:tc>
          <w:tcPr>
            <w:tcW w:w="669" w:type="pct"/>
            <w:tcBorders>
              <w:left w:val="single" w:sz="4" w:space="0" w:color="auto"/>
            </w:tcBorders>
            <w:shd w:val="clear" w:color="auto" w:fill="auto"/>
            <w:vAlign w:val="center"/>
          </w:tcPr>
          <w:p>
            <w:pPr>
              <w:pStyle w:val="39"/>
              <w:ind w:firstLine="0"/>
              <w:rPr>
                <w:rFonts w:eastAsia="宋体"/>
                <w:color w:val="auto"/>
                <w:lang w:val="en-US" w:eastAsia="zh-CN"/>
                <w:highlight w:val="none"/>
              </w:rPr>
            </w:pPr>
            <w:r>
              <w:rPr>
                <w:rFonts w:hint="eastAsia"/>
                <w:color w:val="auto"/>
                <w:lang w:val="en-US" w:eastAsia="zh-CN"/>
                <w:highlight w:val="none"/>
              </w:rPr>
              <w:t>--</w:t>
            </w:r>
          </w:p>
        </w:tc>
        <w:tc>
          <w:tcPr>
            <w:tcW w:w="565" w:type="pct"/>
            <w:tcBorders>
              <w:left w:val="single" w:sz="4" w:space="0" w:color="auto"/>
            </w:tcBorders>
            <w:shd w:val="clear" w:color="auto" w:fill="auto"/>
            <w:vAlign w:val="center"/>
          </w:tcPr>
          <w:p>
            <w:pPr>
              <w:pStyle w:val="39"/>
              <w:ind w:firstLine="0"/>
              <w:rPr>
                <w:rFonts w:cs="Times New Roman"/>
                <w:color w:val="auto"/>
                <w:kern w:val="0"/>
                <w:sz w:val="21"/>
                <w:szCs w:val="24"/>
                <w:lang w:val="en-US" w:eastAsia="zh-CN" w:bidi="ar-SA"/>
                <w:highlight w:val="none"/>
              </w:rPr>
            </w:pPr>
            <w:r>
              <w:rPr>
                <w:rFonts w:cs="Times New Roman" w:hint="eastAsia"/>
                <w:color w:val="auto"/>
                <w:kern w:val="0"/>
                <w:sz w:val="21"/>
                <w:szCs w:val="24"/>
                <w:lang w:val="en-US" w:eastAsia="zh-CN" w:bidi="ar-SA"/>
                <w:highlight w:val="none"/>
              </w:rPr>
              <w:t>22.6865t/a</w:t>
            </w:r>
          </w:p>
        </w:tc>
        <w:tc>
          <w:tcPr>
            <w:tcW w:w="467" w:type="pct"/>
            <w:tcBorders>
              <w:left w:val="single" w:sz="4" w:space="0" w:color="auto"/>
            </w:tcBorders>
            <w:shd w:val="clear" w:color="auto" w:fill="auto"/>
            <w:vAlign w:val="center"/>
          </w:tcPr>
          <w:p>
            <w:pPr>
              <w:pStyle w:val="39"/>
              <w:ind w:firstLine="0"/>
              <w:rPr>
                <w:color w:val="auto"/>
                <w:highlight w:val="none"/>
              </w:rPr>
            </w:pPr>
          </w:p>
        </w:tc>
        <w:tc>
          <w:tcPr>
            <w:tcW w:w="740" w:type="pct"/>
            <w:tcBorders>
              <w:left w:val="single" w:sz="4" w:space="0" w:color="auto"/>
            </w:tcBorders>
            <w:shd w:val="clear" w:color="auto" w:fill="auto"/>
            <w:vAlign w:val="center"/>
          </w:tcPr>
          <w:p>
            <w:pPr>
              <w:pStyle w:val="39"/>
              <w:rPr>
                <w:rFonts w:hint="eastAsia"/>
                <w:color w:val="auto"/>
                <w:lang w:val="en-US" w:eastAsia="zh-CN"/>
                <w:highlight w:val="none"/>
              </w:rPr>
            </w:pPr>
            <w:r>
              <w:rPr>
                <w:rFonts w:hint="eastAsia"/>
                <w:color w:val="auto"/>
                <w:lang w:val="en-US" w:eastAsia="zh-CN"/>
                <w:highlight w:val="none"/>
              </w:rPr>
              <w:t>22.6865t/a</w:t>
            </w:r>
          </w:p>
        </w:tc>
        <w:tc>
          <w:tcPr>
            <w:tcW w:w="441" w:type="pct"/>
            <w:tcBorders>
              <w:left w:val="single" w:sz="4" w:space="0" w:color="auto"/>
            </w:tcBorders>
            <w:shd w:val="clear" w:color="auto" w:fill="auto"/>
            <w:vAlign w:val="center"/>
          </w:tcPr>
          <w:p>
            <w:pPr>
              <w:pStyle w:val="39"/>
              <w:rPr>
                <w:rFonts w:hint="eastAsia"/>
                <w:color w:val="auto"/>
                <w:lang w:val="en-US" w:eastAsia="zh-CN"/>
                <w:highlight w:val="none"/>
              </w:rPr>
            </w:pPr>
            <w:r>
              <w:rPr>
                <w:rFonts w:hint="eastAsia"/>
                <w:color w:val="auto"/>
                <w:lang w:val="en-US" w:eastAsia="zh-CN"/>
                <w:highlight w:val="none"/>
              </w:rPr>
              <w:t>+22.6865t/a</w:t>
            </w:r>
          </w:p>
        </w:tc>
      </w:tr>
    </w:tbl>
    <w:p>
      <w:pPr>
        <w:spacing w:line="240" w:lineRule="auto"/>
        <w:jc w:val="left"/>
        <w:rPr>
          <w:snapToGrid w:val="0"/>
          <w:color w:val="auto"/>
          <w:spacing w:val="-6"/>
          <w:kern w:val="21"/>
          <w:szCs w:val="21"/>
        </w:rPr>
      </w:pPr>
      <w:r>
        <w:rPr>
          <w:snapToGrid w:val="0"/>
          <w:color w:val="auto"/>
          <w:kern w:val="21"/>
          <w:szCs w:val="21"/>
        </w:rPr>
        <w:t>注：</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3 \* GB3 \* MERGEFORMAT </w:instrText>
      </w:r>
      <w:r>
        <w:rPr>
          <w:snapToGrid w:val="0"/>
          <w:color w:val="auto"/>
          <w:spacing w:val="-6"/>
          <w:kern w:val="21"/>
          <w:szCs w:val="21"/>
        </w:rPr>
        <w:fldChar w:fldCharType="separate"/>
      </w:r>
      <w:r>
        <w:rPr>
          <w:color w:val="auto"/>
          <w:szCs w:val="21"/>
        </w:rPr>
        <w:t>③</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4 \* GB3 \* MERGEFORMAT </w:instrText>
      </w:r>
      <w:r>
        <w:rPr>
          <w:snapToGrid w:val="0"/>
          <w:color w:val="auto"/>
          <w:spacing w:val="-6"/>
          <w:kern w:val="21"/>
          <w:szCs w:val="21"/>
        </w:rPr>
        <w:fldChar w:fldCharType="separate"/>
      </w:r>
      <w:r>
        <w:rPr>
          <w:color w:val="auto"/>
          <w:szCs w:val="21"/>
        </w:rPr>
        <w:t>④</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5 \* GB3 \* MERGEFORMAT </w:instrText>
      </w:r>
      <w:r>
        <w:rPr>
          <w:snapToGrid w:val="0"/>
          <w:color w:val="auto"/>
          <w:spacing w:val="-16"/>
          <w:kern w:val="21"/>
          <w:szCs w:val="21"/>
        </w:rPr>
        <w:fldChar w:fldCharType="separate"/>
      </w:r>
      <w:r>
        <w:rPr>
          <w:color w:val="auto"/>
          <w:szCs w:val="21"/>
        </w:rPr>
        <w:t>⑤</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7 \* GB3 \* MERGEFORMAT </w:instrText>
      </w:r>
      <w:r>
        <w:rPr>
          <w:snapToGrid w:val="0"/>
          <w:color w:val="auto"/>
          <w:spacing w:val="-6"/>
          <w:kern w:val="21"/>
          <w:szCs w:val="21"/>
        </w:rPr>
        <w:fldChar w:fldCharType="separate"/>
      </w:r>
      <w:r>
        <w:rPr>
          <w:color w:val="auto"/>
          <w:szCs w:val="21"/>
        </w:rPr>
        <w:t>⑦</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p>
    <w:p>
      <w:pPr>
        <w:ind w:firstLineChars="0" w:firstLine="0"/>
        <w:jc w:val="center"/>
        <w:rPr>
          <w:color w:val="auto"/>
        </w:rPr>
        <w:sectPr>
          <w:footerReference w:type="default" r:id="rId65"/>
          <w:pgSz w:w="16838" w:h="11906" w:orient="landscape"/>
          <w:pgMar w:top="1417" w:right="1417" w:bottom="1417" w:left="1417" w:header="851" w:footer="850" w:gutter="0"/>
          <w:cols w:num="1" w:space="0"/>
          <w:docGrid w:linePitch="312" w:charSpace="0"/>
        </w:sectPr>
      </w:pPr>
    </w:p>
    <w:p>
      <w:pPr>
        <w:pStyle w:val="40"/>
        <w:ind w:left="0" w:right="0" w:firstLine="0"/>
        <w:jc w:val="both"/>
        <w:rPr>
          <w:color w:val="auto"/>
        </w:rPr>
      </w:pPr>
      <w:r>
        <w:rPr>
          <w:color w:val="auto"/>
        </w:rPr>
        <w:drawing>
          <wp:anchor distT="0" distB="0" distL="114300" distR="114300" simplePos="0" relativeHeight="372" behindDoc="0" locked="0" layoutInCell="1" hidden="0" allowOverlap="1">
            <wp:simplePos x="0" y="0"/>
            <wp:positionH relativeFrom="column">
              <wp:posOffset>-23495</wp:posOffset>
            </wp:positionH>
            <wp:positionV relativeFrom="paragraph">
              <wp:posOffset>-521334</wp:posOffset>
            </wp:positionV>
            <wp:extent cx="8888094" cy="5859780"/>
            <wp:effectExtent l="0" t="0" r="8255" b="7620"/>
            <wp:wrapNone/>
            <wp:docPr id="1087" name="图片 4"/>
            <wp:cNvGraphicFramePr>
              <a:graphicFrameLocks noChangeAspect="1"/>
            </wp:cNvGraphicFramePr>
            <a:graphic>
              <a:graphicData uri="http://schemas.openxmlformats.org/drawingml/2006/picture">
                <pic:pic>
                  <pic:nvPicPr>
                    <pic:cNvPr id="555" name="图片 4 555"/>
                    <pic:cNvPicPr/>
                  </pic:nvPicPr>
                  <pic:blipFill>
                    <a:blip r:embed="rId66"/>
                    <a:stretch>
                      <a:fillRect/>
                    </a:stretch>
                  </pic:blipFill>
                  <pic:spPr>
                    <a:xfrm rot="0">
                      <a:off x="0" y="0"/>
                      <a:ext cx="8888094" cy="5859780"/>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center"/>
        <w:rPr>
          <w:color w:val="auto"/>
        </w:rPr>
      </w:pPr>
      <w:r>
        <w:rPr>
          <w:color w:val="auto"/>
        </w:rPr>
        <w:t>附图1   项目地理位置图</w:t>
      </w:r>
      <w:r>
        <w:rPr>
          <w:rFonts w:ascii="Times New Roman" w:eastAsia="宋体" w:hAnsi="Times New Roman" w:hint="eastAsia"/>
          <w:color w:val="auto"/>
          <w:lang w:val="en-US" w:eastAsia="zh-CN"/>
        </w:rPr>
        <w:t xml:space="preserve">     比例尺1:9万</w:t>
      </w:r>
    </w:p>
    <w:p>
      <w:pPr>
        <w:pStyle w:val="40"/>
        <w:ind w:left="0" w:right="0" w:firstLine="0"/>
        <w:jc w:val="both"/>
        <w:rPr>
          <w:color w:val="auto"/>
        </w:rPr>
        <w:sectPr>
          <w:pgSz w:w="16838" w:h="11906" w:orient="landscape"/>
          <w:pgMar w:top="1417" w:right="1417" w:bottom="1417" w:left="1417" w:header="851" w:footer="850" w:gutter="0"/>
          <w:cols w:num="1" w:space="0"/>
          <w:docGrid w:linePitch="312" w:charSpace="0"/>
        </w:sectPr>
      </w:pPr>
    </w:p>
    <w:p>
      <w:pPr>
        <w:pStyle w:val="40"/>
        <w:ind w:left="0" w:right="0" w:firstLine="0"/>
        <w:jc w:val="both"/>
        <w:rPr>
          <w:color w:val="auto"/>
        </w:rPr>
      </w:pPr>
      <w:r>
        <w:rPr>
          <w:color w:val="auto"/>
        </w:rPr>
        <w:drawing>
          <wp:anchor distT="0" distB="0" distL="114300" distR="114300" simplePos="0" relativeHeight="374" behindDoc="0" locked="0" layoutInCell="1" hidden="0" allowOverlap="1">
            <wp:simplePos x="0" y="0"/>
            <wp:positionH relativeFrom="column">
              <wp:posOffset>-468630</wp:posOffset>
            </wp:positionH>
            <wp:positionV relativeFrom="paragraph">
              <wp:posOffset>37465</wp:posOffset>
            </wp:positionV>
            <wp:extent cx="6701790" cy="6133465"/>
            <wp:effectExtent l="0" t="0" r="3810" b="635"/>
            <wp:wrapNone/>
            <wp:docPr id="1088" name="图片 5"/>
            <wp:cNvGraphicFramePr>
              <a:graphicFrameLocks noChangeAspect="1"/>
            </wp:cNvGraphicFramePr>
            <a:graphic>
              <a:graphicData uri="http://schemas.openxmlformats.org/drawingml/2006/picture">
                <pic:pic>
                  <pic:nvPicPr>
                    <pic:cNvPr id="557" name="图片 5 557"/>
                    <pic:cNvPicPr/>
                  </pic:nvPicPr>
                  <pic:blipFill>
                    <a:blip r:embed="rId67"/>
                    <a:stretch>
                      <a:fillRect/>
                    </a:stretch>
                  </pic:blipFill>
                  <pic:spPr>
                    <a:xfrm rot="0">
                      <a:off x="0" y="0"/>
                      <a:ext cx="6701790" cy="6133465"/>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772" behindDoc="0" locked="0" layoutInCell="1" hidden="0" allowOverlap="1">
                <wp:simplePos x="0" y="0"/>
                <wp:positionH relativeFrom="column">
                  <wp:posOffset>1797050</wp:posOffset>
                </wp:positionH>
                <wp:positionV relativeFrom="paragraph">
                  <wp:posOffset>74295</wp:posOffset>
                </wp:positionV>
                <wp:extent cx="765810" cy="314325"/>
                <wp:wrapNone/>
                <wp:docPr id="408" name="文本框 408"/>
                <wp:cNvGraphicFramePr>
                  <a:graphicFrameLocks noChangeAspect="0"/>
                </wp:cNvGraphicFramePr>
                <a:graphic>
                  <a:graphicData uri="http://schemas.microsoft.com/office/word/2010/wordprocessingShape">
                    <wps:wsp>
                      <wps:cNvSpPr/>
                      <wps:spPr>
                        <a:xfrm rot="0">
                          <a:off x="0" y="0"/>
                          <a:ext cx="765810" cy="314325"/>
                        </a:xfrm>
                        <a:prstGeom prst="rect"/>
                        <a:noFill/>
                        <a:ln w="6350" cmpd="sng" cap="flat">
                          <a:noFill/>
                          <a:prstDash val="solid"/>
                          <a:round/>
                        </a:ln>
                      </wps:spPr>
                      <wps:txbx id="558">
                        <w:txbxContent>
                          <w:p>
                            <w:pPr>
                              <w:ind w:left="0" w:firstLineChars="0" w:firstLine="0"/>
                              <w:rPr>
                                <w:b/>
                                <w:bCs/>
                                <w:color w:val="FFFF00"/>
                                <w:lang w:val="en-US"/>
                              </w:rPr>
                            </w:pPr>
                            <w:r>
                              <w:rPr>
                                <w:rFonts w:hint="eastAsia"/>
                                <w:b/>
                                <w:bCs/>
                                <w:color w:val="FFFF00"/>
                                <w:lang w:val="en-US" w:eastAsia="zh-CN"/>
                              </w:rPr>
                              <w:t>1100m</w:t>
                            </w:r>
                          </w:p>
                        </w:txbxContent>
                      </wps:txbx>
                      <wps:bodyPr vert="horz" wrap="square" lIns="91440" tIns="45720" rIns="91440" bIns="45720" anchor="t" anchorCtr="0" upright="0">
                        <a:noAutofit/>
                      </wps:bodyPr>
                    </wps:wsp>
                  </a:graphicData>
                </a:graphic>
              </wp:anchor>
            </w:drawing>
          </mc:Choice>
          <mc:Fallback>
            <w:pict>
              <v:rect type="#_x0000_t1" id="文本框 408" o:spid="_x0000_s559" filled="f" stroked="f" strokeweight="0.5pt" style="position:absolute;margin-left:141.5pt;margin-top:5.85pt;width:60.300007pt;height:24.75pt;z-index:772;mso-position-horizontal:absolute;mso-position-vertical:absolute;mso-wrap-style:square;">
                <v:stroke/>
                <v:textbox id="1020" inset="2.54mm,1.27mm,2.54mm,1.27mm" o:insetmode="custom" style="layout-flow:horizontal;v-text-anchor:top;">
                  <w:txbxContent>
                    <w:p>
                      <w:pPr>
                        <w:ind w:left="0" w:firstLineChars="0" w:firstLine="0"/>
                        <w:rPr>
                          <w:b/>
                          <w:bCs/>
                          <w:color w:val="FFFF00"/>
                          <w:lang w:val="en-US"/>
                        </w:rPr>
                      </w:pPr>
                      <w:r>
                        <w:rPr>
                          <w:rFonts w:hint="eastAsia"/>
                          <w:b/>
                          <w:bCs/>
                          <w:color w:val="FFFF00"/>
                          <w:lang w:val="en-US" w:eastAsia="zh-CN"/>
                        </w:rPr>
                        <w:t>1100m</w:t>
                      </w:r>
                    </w:p>
                  </w:txbxContent>
                </v:textbox>
              </v:rect>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770" behindDoc="0" locked="0" layoutInCell="1" hidden="0" allowOverlap="1">
                <wp:simplePos x="0" y="0"/>
                <wp:positionH relativeFrom="column">
                  <wp:posOffset>1036955</wp:posOffset>
                </wp:positionH>
                <wp:positionV relativeFrom="paragraph">
                  <wp:posOffset>-1784985</wp:posOffset>
                </wp:positionV>
                <wp:extent cx="1483360" cy="1798955"/>
                <wp:effectExtent l="0" t="0" r="21590" b="10795"/>
                <wp:wrapNone/>
                <wp:docPr id="390" name="直接箭头连接符 390"/>
                <wp:cNvGraphicFramePr>
                  <a:graphicFrameLocks noChangeAspect="0"/>
                </wp:cNvGraphicFramePr>
                <a:graphic>
                  <a:graphicData uri="http://schemas.microsoft.com/office/word/2010/wordprocessingShape">
                    <wps:wsp>
                      <wps:cNvSpPr/>
                      <wps:spPr>
                        <a:xfrm flipH="1" flipV="1" rot="0">
                          <a:off x="0" y="0"/>
                          <a:ext cx="1483360" cy="1798955"/>
                        </a:xfrm>
                        <a:prstGeom prst="straightConnector1"/>
                        <a:noFill/>
                        <a:ln w="9525" cmpd="sng" cap="flat">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390" o:spid="_x0000_s560" filled="f" stroked="t" style="position:absolute;margin-left:81.65pt;margin-top:-140.55pt;width:116.799995pt;height:141.65001pt;flip:x y;z-index:770;mso-position-horizontal:absolute;mso-position-vertical:absolute;">
                <v:stroke color="#FFFF00" endarrow="open"/>
              </v:shape>
            </w:pict>
          </mc:Fallback>
        </mc:AlternateContent>
      </w:r>
      <w:r>
        <w:rPr>
          <w:sz w:val="24"/>
        </w:rPr>
        <mc:AlternateContent>
          <mc:Choice Requires="wps">
            <w:drawing>
              <wp:anchor distT="0" distB="0" distL="114300" distR="114300" simplePos="0" relativeHeight="640" behindDoc="0" locked="0" layoutInCell="1" hidden="0" allowOverlap="1">
                <wp:simplePos x="0" y="0"/>
                <wp:positionH relativeFrom="column">
                  <wp:posOffset>2018664</wp:posOffset>
                </wp:positionH>
                <wp:positionV relativeFrom="paragraph">
                  <wp:posOffset>54610</wp:posOffset>
                </wp:positionV>
                <wp:extent cx="515619" cy="1472565"/>
                <wp:effectExtent l="19050" t="1905" r="17779" b="11430"/>
                <wp:wrapNone/>
                <wp:docPr id="20" name="直接箭头连接符 20"/>
                <wp:cNvGraphicFramePr>
                  <a:graphicFrameLocks noChangeAspect="0"/>
                </wp:cNvGraphicFramePr>
                <a:graphic>
                  <a:graphicData uri="http://schemas.microsoft.com/office/word/2010/wordprocessingShape">
                    <wps:wsp>
                      <wps:cNvSpPr/>
                      <wps:spPr>
                        <a:xfrm flipH="1" rot="21600000">
                          <a:off x="0" y="0"/>
                          <a:ext cx="515619" cy="1472565"/>
                        </a:xfrm>
                        <a:prstGeom prst="straightConnector1"/>
                        <a:noFill/>
                        <a:ln w="9525" cmpd="sng" cap="flat">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20" o:spid="_x0000_s561" filled="f" stroked="t" style="position:absolute;margin-left:158.94998pt;margin-top:4.300003pt;width:40.600006pt;height:115.95003pt;flip:x;z-index:640;mso-position-horizontal:absolute;mso-position-vertical:absolute;">
                <v:stroke color="#FFFF00" endarrow="open"/>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642" behindDoc="0" locked="0" layoutInCell="1" hidden="0" allowOverlap="1">
                <wp:simplePos x="0" y="0"/>
                <wp:positionH relativeFrom="column">
                  <wp:posOffset>2188845</wp:posOffset>
                </wp:positionH>
                <wp:positionV relativeFrom="paragraph">
                  <wp:posOffset>127000</wp:posOffset>
                </wp:positionV>
                <wp:extent cx="765809" cy="314325"/>
                <wp:wrapNone/>
                <wp:docPr id="21" name="文本框 21"/>
                <wp:cNvGraphicFramePr>
                  <a:graphicFrameLocks noChangeAspect="0"/>
                </wp:cNvGraphicFramePr>
                <a:graphic>
                  <a:graphicData uri="http://schemas.microsoft.com/office/word/2010/wordprocessingShape">
                    <wps:wsp>
                      <wps:cNvSpPr/>
                      <wps:spPr>
                        <a:xfrm rot="0">
                          <a:off x="0" y="0"/>
                          <a:ext cx="765809" cy="314325"/>
                        </a:xfrm>
                        <a:prstGeom prst="rect"/>
                        <a:noFill/>
                        <a:ln w="6350" cmpd="sng" cap="flat">
                          <a:noFill/>
                          <a:prstDash val="solid"/>
                          <a:round/>
                        </a:ln>
                      </wps:spPr>
                      <wps:txbx id="562">
                        <w:txbxContent>
                          <w:p>
                            <w:pPr>
                              <w:ind w:left="0" w:firstLineChars="0" w:firstLine="0"/>
                              <w:rPr>
                                <w:b/>
                                <w:bCs/>
                                <w:color w:val="FFFF00"/>
                                <w:lang w:val="en-US"/>
                              </w:rPr>
                            </w:pPr>
                            <w:r>
                              <w:rPr>
                                <w:rFonts w:hint="eastAsia"/>
                                <w:b/>
                                <w:bCs/>
                                <w:color w:val="FFFF00"/>
                                <w:lang w:val="en-US" w:eastAsia="zh-CN"/>
                              </w:rPr>
                              <w:t>782m</w:t>
                            </w:r>
                          </w:p>
                        </w:txbxContent>
                      </wps:txbx>
                      <wps:bodyPr vert="horz" wrap="square" lIns="91440" tIns="45720" rIns="91440" bIns="45720" anchor="t" anchorCtr="0" upright="0">
                        <a:noAutofit/>
                      </wps:bodyPr>
                    </wps:wsp>
                  </a:graphicData>
                </a:graphic>
              </wp:anchor>
            </w:drawing>
          </mc:Choice>
          <mc:Fallback>
            <w:pict>
              <v:rect type="#_x0000_t1" id="文本框 21" o:spid="_x0000_s563" filled="f" stroked="f" strokeweight="0.5pt" style="position:absolute;margin-left:172.35pt;margin-top:10.0pt;width:60.299995pt;height:24.75pt;z-index:642;mso-position-horizontal:absolute;mso-position-vertical:absolute;mso-wrap-style:square;">
                <v:stroke/>
                <v:textbox id="1021" inset="2.54mm,1.27mm,2.54mm,1.27mm" o:insetmode="custom" style="layout-flow:horizontal;v-text-anchor:top;">
                  <w:txbxContent>
                    <w:p>
                      <w:pPr>
                        <w:ind w:left="0" w:firstLineChars="0" w:firstLine="0"/>
                        <w:rPr>
                          <w:b/>
                          <w:bCs/>
                          <w:color w:val="FFFF00"/>
                          <w:lang w:val="en-US"/>
                        </w:rPr>
                      </w:pPr>
                      <w:r>
                        <w:rPr>
                          <w:rFonts w:hint="eastAsia"/>
                          <w:b/>
                          <w:bCs/>
                          <w:color w:val="FFFF00"/>
                          <w:lang w:val="en-US" w:eastAsia="zh-CN"/>
                        </w:rPr>
                        <w:t>782m</w:t>
                      </w:r>
                    </w:p>
                  </w:txbxContent>
                </v:textbox>
              </v:rect>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644" behindDoc="0" locked="0" layoutInCell="1" hidden="0" allowOverlap="1">
                <wp:simplePos x="0" y="0"/>
                <wp:positionH relativeFrom="column">
                  <wp:posOffset>1642745</wp:posOffset>
                </wp:positionH>
                <wp:positionV relativeFrom="paragraph">
                  <wp:posOffset>31750</wp:posOffset>
                </wp:positionV>
                <wp:extent cx="765809" cy="314325"/>
                <wp:wrapNone/>
                <wp:docPr id="22" name="文本框 22"/>
                <wp:cNvGraphicFramePr>
                  <a:graphicFrameLocks noChangeAspect="0"/>
                </wp:cNvGraphicFramePr>
                <a:graphic>
                  <a:graphicData uri="http://schemas.microsoft.com/office/word/2010/wordprocessingShape">
                    <wps:wsp>
                      <wps:cNvSpPr/>
                      <wps:spPr>
                        <a:xfrm rot="0">
                          <a:off x="0" y="0"/>
                          <a:ext cx="765809" cy="314325"/>
                        </a:xfrm>
                        <a:prstGeom prst="rect"/>
                        <a:noFill/>
                        <a:ln w="6350" cmpd="sng" cap="flat">
                          <a:noFill/>
                          <a:prstDash val="solid"/>
                          <a:round/>
                        </a:ln>
                      </wps:spPr>
                      <wps:txbx id="564">
                        <w:txbxContent>
                          <w:p>
                            <w:pPr>
                              <w:ind w:left="0" w:firstLineChars="0" w:firstLine="0"/>
                              <w:rPr>
                                <w:rFonts w:eastAsia="宋体" w:hint="eastAsia"/>
                                <w:b/>
                                <w:bCs/>
                                <w:color w:val="FFFF00"/>
                                <w:lang w:val="en-US" w:eastAsia="zh-CN"/>
                              </w:rPr>
                            </w:pPr>
                            <w:r>
                              <w:rPr>
                                <w:rFonts w:hint="eastAsia"/>
                                <w:b/>
                                <w:bCs/>
                                <w:color w:val="FFFF00"/>
                                <w:lang w:val="en-US" w:eastAsia="zh-CN"/>
                              </w:rPr>
                              <w:t>营里村</w:t>
                            </w:r>
                          </w:p>
                        </w:txbxContent>
                      </wps:txbx>
                      <wps:bodyPr vert="horz" wrap="square" lIns="91440" tIns="45720" rIns="91440" bIns="45720" anchor="t" anchorCtr="0" upright="0">
                        <a:noAutofit/>
                      </wps:bodyPr>
                    </wps:wsp>
                  </a:graphicData>
                </a:graphic>
              </wp:anchor>
            </w:drawing>
          </mc:Choice>
          <mc:Fallback>
            <w:pict>
              <v:rect type="#_x0000_t1" id="文本框 22" o:spid="_x0000_s565" filled="f" stroked="f" strokeweight="0.5pt" style="position:absolute;margin-left:129.35pt;margin-top:2.5pt;width:60.299995pt;height:24.75pt;z-index:644;mso-position-horizontal:absolute;mso-position-vertical:absolute;mso-wrap-style:square;">
                <v:stroke/>
                <v:textbox id="1022" inset="2.54mm,1.27mm,2.54mm,1.27mm" o:insetmode="custom" style="layout-flow:horizontal;v-text-anchor:top;">
                  <w:txbxContent>
                    <w:p>
                      <w:pPr>
                        <w:ind w:left="0" w:firstLineChars="0" w:firstLine="0"/>
                        <w:rPr>
                          <w:rFonts w:eastAsia="宋体" w:hint="eastAsia"/>
                          <w:b/>
                          <w:bCs/>
                          <w:color w:val="FFFF00"/>
                          <w:lang w:val="en-US" w:eastAsia="zh-CN"/>
                        </w:rPr>
                      </w:pPr>
                      <w:r>
                        <w:rPr>
                          <w:rFonts w:hint="eastAsia"/>
                          <w:b/>
                          <w:bCs/>
                          <w:color w:val="FFFF00"/>
                          <w:lang w:val="en-US" w:eastAsia="zh-CN"/>
                        </w:rPr>
                        <w:t>营里村</w:t>
                      </w:r>
                    </w:p>
                  </w:txbxContent>
                </v:textbox>
              </v:rect>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638" behindDoc="0" locked="0" layoutInCell="1" hidden="0" allowOverlap="1">
                <wp:simplePos x="0" y="0"/>
                <wp:positionH relativeFrom="column">
                  <wp:posOffset>4068445</wp:posOffset>
                </wp:positionH>
                <wp:positionV relativeFrom="paragraph">
                  <wp:posOffset>163830</wp:posOffset>
                </wp:positionV>
                <wp:extent cx="2045335" cy="314325"/>
                <wp:wrapNone/>
                <wp:docPr id="19" name="文本框 19"/>
                <wp:cNvGraphicFramePr>
                  <a:graphicFrameLocks noChangeAspect="0"/>
                </wp:cNvGraphicFramePr>
                <a:graphic>
                  <a:graphicData uri="http://schemas.microsoft.com/office/word/2010/wordprocessingShape">
                    <wps:wsp>
                      <wps:cNvSpPr/>
                      <wps:spPr>
                        <a:xfrm rot="0">
                          <a:off x="0" y="0"/>
                          <a:ext cx="2045335" cy="314325"/>
                        </a:xfrm>
                        <a:prstGeom prst="rect"/>
                        <a:solidFill>
                          <a:srgbClr val="FFFFFF"/>
                        </a:solidFill>
                        <a:ln w="6350" cmpd="sng" cap="flat">
                          <a:noFill/>
                          <a:prstDash val="solid"/>
                          <a:round/>
                        </a:ln>
                      </wps:spPr>
                      <wps:txbx id="566">
                        <w:txbxContent>
                          <w:p>
                            <w:pPr>
                              <w:ind w:left="0" w:firstLineChars="0" w:firstLine="0"/>
                            </w:pPr>
                            <w:r>
                              <w:rPr>
                                <w:rFonts w:hint="eastAsia"/>
                                <w:lang w:val="en-US" w:eastAsia="zh-CN"/>
                              </w:rPr>
                              <w:t>河北兆誉机械制造有限公司</w:t>
                            </w:r>
                          </w:p>
                        </w:txbxContent>
                      </wps:txbx>
                      <wps:bodyPr vert="horz" wrap="square" lIns="91440" tIns="45720" rIns="91440" bIns="45720" anchor="t" anchorCtr="0" upright="0">
                        <a:noAutofit/>
                      </wps:bodyPr>
                    </wps:wsp>
                  </a:graphicData>
                </a:graphic>
              </wp:anchor>
            </w:drawing>
          </mc:Choice>
          <mc:Fallback>
            <w:pict>
              <v:rect type="#_x0000_t1" id="文本框 19" o:spid="_x0000_s567" fillcolor="#FFFFFF" stroked="f" strokeweight="0.5pt" style="position:absolute;margin-left:320.35pt;margin-top:12.900001pt;width:161.05pt;height:24.75pt;z-index:638;mso-position-horizontal:absolute;mso-position-vertical:absolute;mso-wrap-style:square;">
                <v:stroke/>
                <v:textbox id="1023" inset="2.54mm,1.27mm,2.54mm,1.27mm" o:insetmode="custom" style="layout-flow:horizontal;v-text-anchor:top;">
                  <w:txbxContent>
                    <w:p>
                      <w:pPr>
                        <w:ind w:left="0" w:firstLineChars="0" w:firstLine="0"/>
                      </w:pPr>
                      <w:r>
                        <w:rPr>
                          <w:rFonts w:hint="eastAsia"/>
                          <w:lang w:val="en-US" w:eastAsia="zh-CN"/>
                        </w:rPr>
                        <w:t>河北兆誉机械制造有限公司</w:t>
                      </w:r>
                    </w:p>
                  </w:txbxContent>
                </v:textbox>
              </v:rect>
            </w:pict>
          </mc:Fallback>
        </mc:AlternateContent>
      </w:r>
    </w:p>
    <w:p>
      <w:pPr>
        <w:pStyle w:val="40"/>
        <w:ind w:left="0" w:right="0" w:firstLine="0"/>
        <w:jc w:val="both"/>
        <w:rPr>
          <w:color w:val="auto"/>
        </w:rPr>
      </w:pPr>
    </w:p>
    <w:p>
      <w:pPr>
        <w:pStyle w:val="40"/>
        <w:ind w:left="0" w:right="0" w:firstLine="0"/>
        <w:jc w:val="both"/>
        <w:rPr>
          <w:color w:val="auto"/>
        </w:rPr>
      </w:pPr>
      <w:r>
        <w:drawing>
          <wp:anchor distT="0" distB="0" distL="114300" distR="114300" simplePos="0" relativeHeight="376" behindDoc="0" locked="0" layoutInCell="1" hidden="0" allowOverlap="1">
            <wp:simplePos x="0" y="0"/>
            <wp:positionH relativeFrom="column">
              <wp:posOffset>-295275</wp:posOffset>
            </wp:positionH>
            <wp:positionV relativeFrom="paragraph">
              <wp:posOffset>51435</wp:posOffset>
            </wp:positionV>
            <wp:extent cx="1247775" cy="261620"/>
            <wp:effectExtent l="0" t="0" r="9525" b="5080"/>
            <wp:wrapNone/>
            <wp:docPr id="1089" name="图片 4"/>
            <wp:cNvGraphicFramePr>
              <a:graphicFrameLocks noChangeAspect="1"/>
            </wp:cNvGraphicFramePr>
            <a:graphic>
              <a:graphicData uri="http://schemas.openxmlformats.org/drawingml/2006/picture">
                <pic:pic>
                  <pic:nvPicPr>
                    <pic:cNvPr id="569" name="图片 4 569"/>
                    <pic:cNvPicPr/>
                  </pic:nvPicPr>
                  <pic:blipFill>
                    <a:blip r:embed="rId68"/>
                    <a:stretch>
                      <a:fillRect/>
                    </a:stretch>
                  </pic:blipFill>
                  <pic:spPr>
                    <a:xfrm rot="0">
                      <a:off x="0" y="0"/>
                      <a:ext cx="1247775" cy="261620"/>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center"/>
        <w:rPr>
          <w:color w:val="auto"/>
        </w:rPr>
      </w:pPr>
    </w:p>
    <w:p>
      <w:pPr>
        <w:pStyle w:val="40"/>
        <w:ind w:left="0" w:right="0" w:firstLine="0"/>
        <w:jc w:val="center"/>
        <w:rPr>
          <w:color w:val="auto"/>
        </w:rPr>
      </w:pPr>
      <w:r>
        <w:rPr>
          <w:color w:val="auto"/>
        </w:rPr>
        <w:t>附图2  项目周边关系图</w: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sectPr>
          <w:pgSz w:w="11906" w:h="16838"/>
          <w:pgMar w:top="1417" w:right="1417" w:bottom="1417" w:left="1417" w:header="851" w:footer="850" w:gutter="0"/>
          <w:cols w:num="1" w:space="0"/>
          <w:rtlGutter/>
          <w:docGrid w:linePitch="312" w:charSpace="0"/>
        </w:sectPr>
      </w:pPr>
    </w:p>
    <w:p>
      <w:pPr>
        <w:pStyle w:val="40"/>
        <w:ind w:left="0" w:right="0" w:firstLine="0"/>
        <w:jc w:val="both"/>
        <w:rPr>
          <w:color w:val="auto"/>
        </w:rPr>
      </w:pPr>
      <w:r>
        <w:rPr>
          <w:color w:val="auto"/>
        </w:rPr>
        <w:drawing>
          <wp:anchor distT="0" distB="0" distL="114300" distR="114300" simplePos="0" relativeHeight="778" behindDoc="0" locked="0" layoutInCell="1" hidden="0" allowOverlap="1">
            <wp:simplePos x="0" y="0"/>
            <wp:positionH relativeFrom="column">
              <wp:posOffset>-142875</wp:posOffset>
            </wp:positionH>
            <wp:positionV relativeFrom="paragraph">
              <wp:posOffset>-55880</wp:posOffset>
            </wp:positionV>
            <wp:extent cx="9008745" cy="5488940"/>
            <wp:effectExtent l="0" t="0" r="1905" b="16510"/>
            <wp:wrapNone/>
            <wp:docPr id="1090" name="图片 4"/>
            <wp:cNvGraphicFramePr>
              <a:graphicFrameLocks noChangeAspect="1"/>
            </wp:cNvGraphicFramePr>
            <a:graphic>
              <a:graphicData uri="http://schemas.openxmlformats.org/drawingml/2006/picture">
                <pic:pic>
                  <pic:nvPicPr>
                    <pic:cNvPr id="571" name="图片 4 571"/>
                    <pic:cNvPicPr/>
                  </pic:nvPicPr>
                  <pic:blipFill>
                    <a:blip r:embed="rId69"/>
                    <a:stretch>
                      <a:fillRect/>
                    </a:stretch>
                  </pic:blipFill>
                  <pic:spPr>
                    <a:xfrm rot="0">
                      <a:off x="0" y="0"/>
                      <a:ext cx="9008745" cy="5488940"/>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Chars="1700" w:firstLine="4080"/>
        <w:jc w:val="both"/>
        <w:rPr>
          <w:color w:val="auto"/>
        </w:rPr>
      </w:pPr>
      <w:r>
        <w:rPr>
          <w:color w:val="auto"/>
        </w:rPr>
        <w:t xml:space="preserve">附图3  </w:t>
      </w:r>
      <w:r>
        <w:rPr>
          <w:rFonts w:hint="eastAsia"/>
          <w:color w:val="auto"/>
          <w:lang w:val="en-US" w:eastAsia="zh-CN"/>
        </w:rPr>
        <w:t>现有</w:t>
      </w:r>
      <w:r>
        <w:rPr>
          <w:rFonts w:hint="eastAsia"/>
          <w:color w:val="auto"/>
        </w:rPr>
        <w:t>项目</w:t>
      </w:r>
      <w:r>
        <w:rPr>
          <w:rFonts w:hint="eastAsia"/>
          <w:color w:val="auto"/>
          <w:lang w:val="en-US" w:eastAsia="zh-CN"/>
        </w:rPr>
        <w:t>厂区</w:t>
      </w:r>
      <w:r>
        <w:rPr>
          <w:color w:val="auto"/>
        </w:rPr>
        <w:t>平面布置图</w:t>
      </w:r>
    </w:p>
    <w:p>
      <w:pPr>
        <w:pStyle w:val="40"/>
        <w:ind w:left="0" w:right="0" w:firstLine="0"/>
        <w:jc w:val="both"/>
        <w:rPr>
          <w:color w:val="auto"/>
        </w:rPr>
      </w:pPr>
      <w:r>
        <w:rPr>
          <w:color w:val="auto"/>
        </w:rPr>
        <w:drawing>
          <wp:anchor distT="0" distB="0" distL="114300" distR="114300" simplePos="0" relativeHeight="780" behindDoc="0" locked="0" layoutInCell="1" hidden="0" allowOverlap="1">
            <wp:simplePos x="0" y="0"/>
            <wp:positionH relativeFrom="column">
              <wp:posOffset>-222250</wp:posOffset>
            </wp:positionH>
            <wp:positionV relativeFrom="paragraph">
              <wp:posOffset>-301625</wp:posOffset>
            </wp:positionV>
            <wp:extent cx="9187815" cy="5656580"/>
            <wp:effectExtent l="0" t="0" r="13335" b="1270"/>
            <wp:wrapNone/>
            <wp:docPr id="1091" name="图片 5"/>
            <wp:cNvGraphicFramePr>
              <a:graphicFrameLocks noChangeAspect="1"/>
            </wp:cNvGraphicFramePr>
            <a:graphic>
              <a:graphicData uri="http://schemas.openxmlformats.org/drawingml/2006/picture">
                <pic:pic>
                  <pic:nvPicPr>
                    <pic:cNvPr id="573" name="图片 5 573"/>
                    <pic:cNvPicPr/>
                  </pic:nvPicPr>
                  <pic:blipFill>
                    <a:blip r:embed="rId70"/>
                    <a:stretch>
                      <a:fillRect/>
                    </a:stretch>
                  </pic:blipFill>
                  <pic:spPr>
                    <a:xfrm rot="0">
                      <a:off x="0" y="0"/>
                      <a:ext cx="9187815" cy="5656580"/>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widowControl w:val="0"/>
        <w:spacing w:line="240" w:lineRule="auto"/>
        <w:ind w:left="0" w:right="0" w:firstLineChars="1700" w:firstLine="4080"/>
        <w:jc w:val="both"/>
        <w:rPr>
          <w:rFonts w:ascii="Times New Roman" w:eastAsia="宋体" w:cs="Times New Roman" w:hAnsi="Times New Roman"/>
          <w:b/>
          <w:color w:val="auto"/>
          <w:kern w:val="2"/>
          <w:sz w:val="24"/>
          <w:szCs w:val="21"/>
          <w:lang w:val="en-US" w:eastAsia="zh-CN" w:bidi="ar-SA"/>
        </w:rPr>
      </w:pPr>
      <w:r>
        <w:rPr>
          <w:rFonts w:ascii="Times New Roman" w:eastAsia="宋体" w:cs="Times New Roman" w:hAnsi="Times New Roman"/>
          <w:b/>
          <w:color w:val="auto"/>
          <w:kern w:val="2"/>
          <w:sz w:val="24"/>
          <w:szCs w:val="21"/>
          <w:lang w:val="en-US" w:eastAsia="zh-CN" w:bidi="ar-SA"/>
        </w:rPr>
        <w:t>附图</w:t>
      </w:r>
      <w:r>
        <w:rPr>
          <w:rFonts w:ascii="Times New Roman" w:eastAsia="宋体" w:cs="Times New Roman" w:hAnsi="Times New Roman" w:hint="eastAsia"/>
          <w:b/>
          <w:color w:val="auto"/>
          <w:kern w:val="2"/>
          <w:sz w:val="24"/>
          <w:szCs w:val="21"/>
          <w:lang w:val="en-US" w:eastAsia="zh-CN" w:bidi="ar-SA"/>
        </w:rPr>
        <w:t>4</w:t>
      </w:r>
      <w:r>
        <w:rPr>
          <w:rFonts w:ascii="Times New Roman" w:eastAsia="宋体" w:cs="Times New Roman" w:hAnsi="Times New Roman"/>
          <w:b/>
          <w:color w:val="auto"/>
          <w:kern w:val="2"/>
          <w:sz w:val="24"/>
          <w:szCs w:val="21"/>
          <w:lang w:val="en-US" w:eastAsia="zh-CN" w:bidi="ar-SA"/>
        </w:rPr>
        <w:t xml:space="preserve">  </w:t>
      </w:r>
      <w:r>
        <w:rPr>
          <w:rFonts w:ascii="Times New Roman" w:eastAsia="宋体" w:cs="Times New Roman" w:hAnsi="Times New Roman" w:hint="eastAsia"/>
          <w:b/>
          <w:color w:val="auto"/>
          <w:kern w:val="2"/>
          <w:sz w:val="24"/>
          <w:szCs w:val="21"/>
          <w:lang w:val="en-US" w:eastAsia="zh-CN" w:bidi="ar-SA"/>
        </w:rPr>
        <w:t>本项目建成后全厂平面布置图</w:t>
      </w:r>
    </w:p>
    <w:p>
      <w:pPr>
        <w:pStyle w:val="40"/>
        <w:ind w:left="0" w:right="0" w:firstLine="0"/>
        <w:jc w:val="center"/>
        <w:rPr>
          <w:color w:val="auto"/>
        </w:rPr>
      </w:pPr>
      <w:r>
        <w:rPr>
          <w:color w:val="auto"/>
        </w:rPr>
        <w:drawing>
          <wp:anchor distT="0" distB="0" distL="114300" distR="114300" simplePos="0" relativeHeight="378" behindDoc="0" locked="0" layoutInCell="1" hidden="0" allowOverlap="1">
            <wp:simplePos x="0" y="0"/>
            <wp:positionH relativeFrom="column">
              <wp:posOffset>68580</wp:posOffset>
            </wp:positionH>
            <wp:positionV relativeFrom="paragraph">
              <wp:posOffset>-247015</wp:posOffset>
            </wp:positionV>
            <wp:extent cx="8418830" cy="5615304"/>
            <wp:effectExtent l="0" t="0" r="1270" b="4444"/>
            <wp:wrapNone/>
            <wp:docPr id="1092" name="图片 1092" descr="259eae1dfc2336b6fc6ec9fd2e445e4"/>
            <wp:cNvGraphicFramePr>
              <a:graphicFrameLocks noChangeAspect="1"/>
            </wp:cNvGraphicFramePr>
            <a:graphic>
              <a:graphicData uri="http://schemas.openxmlformats.org/drawingml/2006/picture">
                <pic:pic>
                  <pic:nvPicPr>
                    <pic:cNvPr id="575" name="图片 575"/>
                    <pic:cNvPicPr/>
                  </pic:nvPicPr>
                  <pic:blipFill>
                    <a:blip r:embed="rId71"/>
                    <a:stretch>
                      <a:fillRect/>
                    </a:stretch>
                  </pic:blipFill>
                  <pic:spPr>
                    <a:xfrm rot="0">
                      <a:off x="0" y="0"/>
                      <a:ext cx="8418830" cy="5615304"/>
                    </a:xfrm>
                    <a:prstGeom prst="rect"/>
                    <a:noFill/>
                    <a:ln w="9525" cmpd="sng" cap="flat">
                      <a:noFill/>
                      <a:prstDash val="solid"/>
                      <a:miter/>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382" behindDoc="0" locked="0" layoutInCell="1" hidden="0" allowOverlap="1">
                <wp:simplePos x="0" y="0"/>
                <wp:positionH relativeFrom="column">
                  <wp:posOffset>4492625</wp:posOffset>
                </wp:positionH>
                <wp:positionV relativeFrom="paragraph">
                  <wp:posOffset>162560</wp:posOffset>
                </wp:positionV>
                <wp:extent cx="76200" cy="76200"/>
                <wp:effectExtent l="6350" t="6350" r="12700" b="12700"/>
                <wp:wrapNone/>
                <wp:docPr id="62" name="椭圆 62"/>
                <wp:cNvGraphicFramePr>
                  <a:graphicFrameLocks noChangeAspect="0"/>
                </wp:cNvGraphicFramePr>
                <a:graphic>
                  <a:graphicData uri="http://schemas.microsoft.com/office/word/2010/wordprocessingShape">
                    <wps:wsp>
                      <wps:cNvSpPr/>
                      <wps:spPr>
                        <a:xfrm rot="0">
                          <a:off x="0" y="0"/>
                          <a:ext cx="76200" cy="76200"/>
                        </a:xfrm>
                        <a:prstGeom prst="ellipse"/>
                        <a:solidFill>
                          <a:srgbClr val="FF0000"/>
                        </a:solidFill>
                        <a:ln w="12700" cmpd="sng" cap="flat">
                          <a:solidFill>
                            <a:srgbClr val="2E75B6"/>
                          </a:solidFill>
                          <a:prstDash val="solid"/>
                          <a:miter/>
                        </a:ln>
                      </wps:spPr>
                      <wps:bodyPr vert="horz" wrap="square" lIns="91440" tIns="45720" rIns="91440" bIns="45720" anchor="ctr" anchorCtr="0" upright="0">
                        <a:noAutofit/>
                      </wps:bodyPr>
                    </wps:wsp>
                  </a:graphicData>
                </a:graphic>
              </wp:anchor>
            </w:drawing>
          </mc:Choice>
          <mc:Fallback>
            <w:pict>
              <v:oval type="#_x0000_t3" id="椭圆 62" o:spid="_x0000_s576" fillcolor="#FF0000" stroked="t" strokeweight="1.0pt" style="position:absolute;margin-left:353.75pt;margin-top:12.8pt;width:6.0pt;height:6.0pt;z-index:382;mso-position-horizontal:absolute;mso-position-vertical:absolute;">
                <v:stroke color="#2E75B6"/>
              </v:oval>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rPr>
        <mc:AlternateContent>
          <mc:Choice Requires="wps">
            <w:drawing>
              <wp:anchor distT="0" distB="0" distL="114300" distR="114300" simplePos="0" relativeHeight="380" behindDoc="0" locked="0" layoutInCell="1" hidden="0" allowOverlap="1">
                <wp:simplePos x="0" y="0"/>
                <wp:positionH relativeFrom="column">
                  <wp:posOffset>4483735</wp:posOffset>
                </wp:positionH>
                <wp:positionV relativeFrom="paragraph">
                  <wp:posOffset>166370</wp:posOffset>
                </wp:positionV>
                <wp:extent cx="1170304" cy="314325"/>
                <wp:effectExtent l="12700" t="471170" r="17145" b="14604"/>
                <wp:wrapNone/>
                <wp:docPr id="84" name="矩形标注 84"/>
                <wp:cNvGraphicFramePr>
                  <a:graphicFrameLocks noChangeAspect="0"/>
                </wp:cNvGraphicFramePr>
                <a:graphic>
                  <a:graphicData uri="http://schemas.microsoft.com/office/word/2010/wordprocessingShape">
                    <wps:wsp>
                      <wps:cNvSpPr/>
                      <wps:spPr>
                        <a:xfrm rot="0">
                          <a:off x="0" y="0"/>
                          <a:ext cx="1170304" cy="314325"/>
                        </a:xfrm>
                        <a:prstGeom prst="wedgeRectCallout">
                          <a:avLst>
                            <a:gd name="adj1" fmla="val -43865"/>
                            <a:gd name="adj2" fmla="val -195856"/>
                          </a:avLst>
                        </a:prstGeom>
                        <a:solidFill>
                          <a:srgbClr val="FFFF00"/>
                        </a:solidFill>
                        <a:ln w="25400" cmpd="sng" cap="flat">
                          <a:solidFill>
                            <a:srgbClr val="385D8A"/>
                          </a:solidFill>
                          <a:prstDash val="solid"/>
                          <a:round/>
                        </a:ln>
                      </wps:spPr>
                      <wps:txbx id="577">
                        <w:txbxContent>
                          <w:p>
                            <w:pPr>
                              <w:ind w:firstLineChars="0" w:firstLine="0"/>
                              <w:rPr>
                                <w:b/>
                                <w:bCs/>
                              </w:rPr>
                            </w:pPr>
                            <w:r>
                              <w:rPr>
                                <w:rFonts w:hint="eastAsia"/>
                                <w:b/>
                                <w:bCs/>
                              </w:rPr>
                              <w:t>本项目位置</w:t>
                            </w:r>
                          </w:p>
                        </w:txbxContent>
                      </wps:txbx>
                      <wps:bodyPr vert="horz" wrap="square" lIns="91440" tIns="45720" rIns="91440" bIns="45720" anchor="ctr" anchorCtr="0" upright="1">
                        <a:noAutofit/>
                      </wps:bodyPr>
                    </wps:wsp>
                  </a:graphicData>
                </a:graphic>
              </wp:anchor>
            </w:drawing>
          </mc:Choice>
          <mc:Fallback>
            <w:pict>
              <v:shape type="#_x0000_t61" id="矩形标注 84" o:spid="_x0000_s578" fillcolor="#FFFF00" stroked="t" strokeweight="2.0pt" adj="1325,-31505" style="position:absolute;margin-left:353.05pt;margin-top:13.1pt;width:92.14998pt;height:24.75pt;z-index:380;mso-position-horizontal:absolute;mso-position-vertical:absolute;mso-wrap-style:square;">
                <v:stroke color="#385D8A"/>
                <v:textbox id="1028" inset="2.54mm,1.27mm,2.54mm,1.27mm" o:insetmode="custom" style="layout-flow:horizontal;v-text-anchor:middle;">
                  <w:txbxContent>
                    <w:p>
                      <w:pPr>
                        <w:ind w:firstLineChars="0" w:firstLine="0"/>
                        <w:rPr>
                          <w:b/>
                          <w:bCs/>
                        </w:rPr>
                      </w:pPr>
                      <w:r>
                        <w:rPr>
                          <w:rFonts w:hint="eastAsia"/>
                          <w:b/>
                          <w:bCs/>
                        </w:rPr>
                        <w:t>本项目位置</w:t>
                      </w:r>
                    </w:p>
                  </w:txbxContent>
                </v:textbox>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center"/>
        <w:rPr>
          <w:color w:val="auto"/>
        </w:rPr>
      </w:pPr>
      <w:r>
        <w:rPr>
          <w:color w:val="auto"/>
        </w:rPr>
        <w:t>附图</w:t>
      </w:r>
      <w:r>
        <w:rPr>
          <w:rFonts w:hint="eastAsia"/>
          <w:color w:val="auto"/>
        </w:rPr>
        <w:t>5</w:t>
      </w:r>
      <w:r>
        <w:rPr>
          <w:color w:val="auto"/>
        </w:rPr>
        <w:t xml:space="preserve">  石家庄市生态保护红线分布图</w:t>
      </w:r>
    </w:p>
    <w:p>
      <w:pPr>
        <w:pStyle w:val="40"/>
        <w:ind w:left="0" w:right="0" w:firstLine="0"/>
        <w:jc w:val="both"/>
        <w:rPr>
          <w:color w:val="auto"/>
        </w:rPr>
      </w:pPr>
      <w:r>
        <w:rPr>
          <w:color w:val="auto"/>
        </w:rPr>
        <w:drawing>
          <wp:anchor distT="0" distB="0" distL="114300" distR="114300" simplePos="0" relativeHeight="400" behindDoc="0" locked="0" layoutInCell="1" hidden="0" allowOverlap="1">
            <wp:simplePos x="0" y="0"/>
            <wp:positionH relativeFrom="column">
              <wp:posOffset>8680450</wp:posOffset>
            </wp:positionH>
            <wp:positionV relativeFrom="paragraph">
              <wp:posOffset>12700</wp:posOffset>
            </wp:positionV>
            <wp:extent cx="260985" cy="381000"/>
            <wp:effectExtent l="0" t="0" r="5715" b="0"/>
            <wp:wrapNone/>
            <wp:docPr id="1093" name="图片 11"/>
            <wp:cNvGraphicFramePr>
              <a:graphicFrameLocks noChangeAspect="1"/>
            </wp:cNvGraphicFramePr>
            <a:graphic>
              <a:graphicData uri="http://schemas.openxmlformats.org/drawingml/2006/picture">
                <pic:pic>
                  <pic:nvPicPr>
                    <pic:cNvPr id="580" name="图片 11 580"/>
                    <pic:cNvPicPr/>
                  </pic:nvPicPr>
                  <pic:blipFill>
                    <a:blip r:embed="rId72"/>
                    <a:stretch>
                      <a:fillRect/>
                    </a:stretch>
                  </pic:blipFill>
                  <pic:spPr>
                    <a:xfrm rot="0">
                      <a:off x="0" y="0"/>
                      <a:ext cx="260985" cy="381000"/>
                    </a:xfrm>
                    <a:prstGeom prst="rect"/>
                    <a:noFill/>
                    <a:ln cmpd="sng" cap="flat">
                      <a:noFill/>
                      <a:prstDash val="solid"/>
                      <a:round/>
                    </a:ln>
                  </pic:spPr>
                </pic:pic>
              </a:graphicData>
            </a:graphic>
          </wp:anchor>
        </w:drawing>
      </w:r>
      <w:r>
        <w:rPr>
          <w:color w:val="auto"/>
        </w:rPr>
        <w:drawing>
          <wp:anchor distT="0" distB="0" distL="114300" distR="114300" simplePos="0" relativeHeight="384" behindDoc="0" locked="0" layoutInCell="1" hidden="0" allowOverlap="1">
            <wp:simplePos x="0" y="0"/>
            <wp:positionH relativeFrom="column">
              <wp:posOffset>-52069</wp:posOffset>
            </wp:positionH>
            <wp:positionV relativeFrom="paragraph">
              <wp:posOffset>8889</wp:posOffset>
            </wp:positionV>
            <wp:extent cx="9007475" cy="5108575"/>
            <wp:effectExtent l="0" t="0" r="3175" b="15875"/>
            <wp:wrapNone/>
            <wp:docPr id="1094" name="图片 7"/>
            <wp:cNvGraphicFramePr>
              <a:graphicFrameLocks noChangeAspect="1"/>
            </wp:cNvGraphicFramePr>
            <a:graphic>
              <a:graphicData uri="http://schemas.openxmlformats.org/drawingml/2006/picture">
                <pic:pic>
                  <pic:nvPicPr>
                    <pic:cNvPr id="582" name="图片 7 582"/>
                    <pic:cNvPicPr/>
                  </pic:nvPicPr>
                  <pic:blipFill>
                    <a:blip r:embed="rId73"/>
                    <a:stretch>
                      <a:fillRect/>
                    </a:stretch>
                  </pic:blipFill>
                  <pic:spPr>
                    <a:xfrm rot="0">
                      <a:off x="0" y="0"/>
                      <a:ext cx="9007475" cy="5108575"/>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394" behindDoc="0" locked="0" layoutInCell="1" hidden="0" allowOverlap="1">
                <wp:simplePos x="0" y="0"/>
                <wp:positionH relativeFrom="column">
                  <wp:posOffset>4805045</wp:posOffset>
                </wp:positionH>
                <wp:positionV relativeFrom="paragraph">
                  <wp:posOffset>4444</wp:posOffset>
                </wp:positionV>
                <wp:extent cx="581659" cy="221615"/>
                <wp:effectExtent l="0" t="0" r="8889" b="6985"/>
                <wp:wrapNone/>
                <wp:docPr id="69" name="文本框 69"/>
                <wp:cNvGraphicFramePr>
                  <a:graphicFrameLocks noChangeAspect="0"/>
                </wp:cNvGraphicFramePr>
                <a:graphic>
                  <a:graphicData uri="http://schemas.microsoft.com/office/word/2010/wordprocessingShape">
                    <wps:wsp>
                      <wps:cNvSpPr/>
                      <wps:spPr>
                        <a:xfrm rot="0">
                          <a:off x="0" y="0"/>
                          <a:ext cx="581659" cy="221615"/>
                        </a:xfrm>
                        <a:prstGeom prst="rect"/>
                        <a:solidFill>
                          <a:srgbClr val="FFFF00"/>
                        </a:solidFill>
                        <a:ln w="6350" cmpd="sng" cap="flat">
                          <a:noFill/>
                          <a:prstDash val="solid"/>
                          <a:round/>
                        </a:ln>
                      </wps:spPr>
                      <wps:txbx id="583">
                        <w:txbxContent>
                          <w:p>
                            <w:pPr>
                              <w:ind w:left="0" w:firstLineChars="0" w:firstLine="0"/>
                              <w:rPr>
                                <w:rFonts w:eastAsia="宋体"/>
                                <w:sz w:val="21"/>
                                <w:szCs w:val="21"/>
                                <w:lang w:val="en-US" w:eastAsia="zh-CN"/>
                              </w:rPr>
                            </w:pPr>
                            <w:r>
                              <w:rPr>
                                <w:rFonts w:hint="eastAsia"/>
                                <w:sz w:val="21"/>
                                <w:szCs w:val="21"/>
                                <w:lang w:val="en-US" w:eastAsia="zh-CN"/>
                              </w:rPr>
                              <w:t>3700m</w:t>
                            </w:r>
                          </w:p>
                        </w:txbxContent>
                      </wps:txbx>
                      <wps:bodyPr vert="horz" wrap="square" lIns="91440" tIns="45720" rIns="91440" bIns="45720" anchor="t" anchorCtr="0" upright="0">
                        <a:noAutofit/>
                      </wps:bodyPr>
                    </wps:wsp>
                  </a:graphicData>
                </a:graphic>
              </wp:anchor>
            </w:drawing>
          </mc:Choice>
          <mc:Fallback>
            <w:pict>
              <v:rect type="#_x0000_t1" id="文本框 69" o:spid="_x0000_s584" fillcolor="#FFFF00" stroked="f" strokeweight="0.5pt" style="position:absolute;margin-left:378.35pt;margin-top:0.35pt;width:45.799988pt;height:17.45pt;z-index:394;mso-position-horizontal:absolute;mso-position-vertical:absolute;mso-wrap-style:square;">
                <v:stroke/>
                <v:textbox id="1031"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3700m</w:t>
                      </w:r>
                    </w:p>
                  </w:txbxContent>
                </v:textbox>
              </v:rect>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392" behindDoc="0" locked="0" layoutInCell="1" hidden="0" allowOverlap="1">
                <wp:simplePos x="0" y="0"/>
                <wp:positionH relativeFrom="column">
                  <wp:posOffset>3698240</wp:posOffset>
                </wp:positionH>
                <wp:positionV relativeFrom="paragraph">
                  <wp:posOffset>-1847214</wp:posOffset>
                </wp:positionV>
                <wp:extent cx="1646555" cy="3606165"/>
                <wp:effectExtent l="5715" t="0" r="24129" b="13335"/>
                <wp:wrapNone/>
                <wp:docPr id="67" name="直接箭头连接符 67"/>
                <wp:cNvGraphicFramePr>
                  <a:graphicFrameLocks noChangeAspect="0"/>
                </wp:cNvGraphicFramePr>
                <a:graphic>
                  <a:graphicData uri="http://schemas.microsoft.com/office/word/2010/wordprocessingShape">
                    <wps:wsp>
                      <wps:cNvSpPr/>
                      <wps:spPr>
                        <a:xfrm flipV="1" rot="21600000">
                          <a:off x="0" y="0"/>
                          <a:ext cx="1646555" cy="3606165"/>
                        </a:xfrm>
                        <a:prstGeom prst="straightConnector1"/>
                        <a:noFill/>
                        <a:ln w="9525" cmpd="sng" cap="flat">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67" o:spid="_x0000_s585" filled="f" stroked="t" style="position:absolute;margin-left:291.2pt;margin-top:-145.45pt;width:129.65pt;height:283.95pt;flip:y;z-index:392;mso-position-horizontal:absolute;mso-position-vertical:absolute;">
                <v:stroke color="#FFFF00" endarrow="open"/>
              </v:shape>
            </w:pict>
          </mc:Fallback>
        </mc:AlternateContent>
      </w:r>
      <w:r>
        <w:rPr>
          <w:sz w:val="24"/>
        </w:rPr>
        <mc:AlternateContent>
          <mc:Choice Requires="wps">
            <w:drawing>
              <wp:anchor distT="0" distB="0" distL="114300" distR="114300" simplePos="0" relativeHeight="390" behindDoc="0" locked="0" layoutInCell="1" hidden="0" allowOverlap="1">
                <wp:simplePos x="0" y="0"/>
                <wp:positionH relativeFrom="column">
                  <wp:posOffset>2650489</wp:posOffset>
                </wp:positionH>
                <wp:positionV relativeFrom="paragraph">
                  <wp:posOffset>615950</wp:posOffset>
                </wp:positionV>
                <wp:extent cx="1037590" cy="1151254"/>
                <wp:effectExtent l="0" t="0" r="10160" b="10795"/>
                <wp:wrapNone/>
                <wp:docPr id="66" name="直接箭头连接符 66"/>
                <wp:cNvGraphicFramePr>
                  <a:graphicFrameLocks noChangeAspect="0"/>
                </wp:cNvGraphicFramePr>
                <a:graphic>
                  <a:graphicData uri="http://schemas.microsoft.com/office/word/2010/wordprocessingShape">
                    <wps:wsp>
                      <wps:cNvSpPr/>
                      <wps:spPr>
                        <a:xfrm flipH="1" flipV="1" rot="0">
                          <a:off x="0" y="0"/>
                          <a:ext cx="1037590" cy="1151254"/>
                        </a:xfrm>
                        <a:prstGeom prst="straightConnector1"/>
                        <a:noFill/>
                        <a:ln w="9525" cmpd="sng" cap="flat">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66" o:spid="_x0000_s586" filled="f" stroked="t" style="position:absolute;margin-left:208.7pt;margin-top:48.500015pt;width:81.7pt;height:90.64998pt;flip:x y;z-index:390;mso-position-horizontal:absolute;mso-position-vertical:absolute;">
                <v:stroke color="#FFFF00" endarrow="open"/>
              </v:shape>
            </w:pict>
          </mc:Fallback>
        </mc:AlternateContent>
      </w:r>
      <w:r>
        <w:rPr>
          <w:sz w:val="24"/>
        </w:rPr>
        <mc:AlternateContent>
          <mc:Choice Requires="wps">
            <w:drawing>
              <wp:anchor distT="0" distB="0" distL="114300" distR="114300" simplePos="0" relativeHeight="388" behindDoc="0" locked="0" layoutInCell="1" hidden="0" allowOverlap="1">
                <wp:simplePos x="0" y="0"/>
                <wp:positionH relativeFrom="column">
                  <wp:posOffset>3691890</wp:posOffset>
                </wp:positionH>
                <wp:positionV relativeFrom="paragraph">
                  <wp:posOffset>24129</wp:posOffset>
                </wp:positionV>
                <wp:extent cx="2639695" cy="1741170"/>
                <wp:effectExtent l="3810" t="0" r="4444" b="11430"/>
                <wp:wrapNone/>
                <wp:docPr id="65" name="直接箭头连接符 65"/>
                <wp:cNvGraphicFramePr>
                  <a:graphicFrameLocks noChangeAspect="0"/>
                </wp:cNvGraphicFramePr>
                <a:graphic>
                  <a:graphicData uri="http://schemas.microsoft.com/office/word/2010/wordprocessingShape">
                    <wps:wsp>
                      <wps:cNvSpPr/>
                      <wps:spPr>
                        <a:xfrm flipV="1" rot="21600000">
                          <a:off x="0" y="0"/>
                          <a:ext cx="2639695" cy="1741170"/>
                        </a:xfrm>
                        <a:prstGeom prst="straightConnector1"/>
                        <a:noFill/>
                        <a:ln w="9525" cmpd="sng" cap="flat">
                          <a:solidFill>
                            <a:srgbClr val="FFFF00"/>
                          </a:solidFill>
                          <a:prstDash val="solid"/>
                          <a:round/>
                          <a:tailEnd type="arrow" w="med" len="med"/>
                        </a:ln>
                      </wps:spPr>
                      <wps:bodyPr vert="horz" wrap="square" lIns="91440" tIns="45720" rIns="91440" bIns="45720" anchor="t" anchorCtr="0" upright="0">
                        <a:noAutofit/>
                      </wps:bodyPr>
                    </wps:wsp>
                  </a:graphicData>
                </a:graphic>
              </wp:anchor>
            </w:drawing>
          </mc:Choice>
          <mc:Fallback>
            <w:pict>
              <v:shape type="#_x0000_t32" id="直接箭头连接符 65" o:spid="_x0000_s587" filled="f" stroked="t" style="position:absolute;margin-left:290.7pt;margin-top:1.8999939pt;width:207.85004pt;height:137.10004pt;flip:y;z-index:388;mso-position-horizontal:absolute;mso-position-vertical:absolute;">
                <v:stroke color="#FFFF00" endarrow="open"/>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396" behindDoc="0" locked="0" layoutInCell="1" hidden="0" allowOverlap="1">
                <wp:simplePos x="0" y="0"/>
                <wp:positionH relativeFrom="column">
                  <wp:posOffset>5189220</wp:posOffset>
                </wp:positionH>
                <wp:positionV relativeFrom="paragraph">
                  <wp:posOffset>46355</wp:posOffset>
                </wp:positionV>
                <wp:extent cx="581659" cy="221615"/>
                <wp:effectExtent l="0" t="0" r="8889" b="6985"/>
                <wp:wrapNone/>
                <wp:docPr id="70" name="文本框 70"/>
                <wp:cNvGraphicFramePr>
                  <a:graphicFrameLocks noChangeAspect="0"/>
                </wp:cNvGraphicFramePr>
                <a:graphic>
                  <a:graphicData uri="http://schemas.microsoft.com/office/word/2010/wordprocessingShape">
                    <wps:wsp>
                      <wps:cNvSpPr/>
                      <wps:spPr>
                        <a:xfrm rot="0">
                          <a:off x="0" y="0"/>
                          <a:ext cx="581659" cy="221615"/>
                        </a:xfrm>
                        <a:prstGeom prst="rect"/>
                        <a:solidFill>
                          <a:srgbClr val="FFFF00"/>
                        </a:solidFill>
                        <a:ln w="6350" cmpd="sng" cap="flat">
                          <a:noFill/>
                          <a:prstDash val="solid"/>
                          <a:round/>
                        </a:ln>
                      </wps:spPr>
                      <wps:txbx id="588">
                        <w:txbxContent>
                          <w:p>
                            <w:pPr>
                              <w:ind w:left="0" w:firstLineChars="0" w:firstLine="0"/>
                              <w:rPr>
                                <w:rFonts w:eastAsia="宋体"/>
                                <w:sz w:val="21"/>
                                <w:szCs w:val="21"/>
                                <w:lang w:val="en-US" w:eastAsia="zh-CN"/>
                              </w:rPr>
                            </w:pPr>
                            <w:r>
                              <w:rPr>
                                <w:rFonts w:hint="eastAsia"/>
                                <w:sz w:val="21"/>
                                <w:szCs w:val="21"/>
                                <w:lang w:val="en-US" w:eastAsia="zh-CN"/>
                              </w:rPr>
                              <w:t>3030m</w:t>
                            </w:r>
                          </w:p>
                        </w:txbxContent>
                      </wps:txbx>
                      <wps:bodyPr vert="horz" wrap="square" lIns="91440" tIns="45720" rIns="91440" bIns="45720" anchor="t" anchorCtr="0" upright="0">
                        <a:noAutofit/>
                      </wps:bodyPr>
                    </wps:wsp>
                  </a:graphicData>
                </a:graphic>
              </wp:anchor>
            </w:drawing>
          </mc:Choice>
          <mc:Fallback>
            <w:pict>
              <v:rect type="#_x0000_t1" id="文本框 70" o:spid="_x0000_s589" fillcolor="#FFFF00" stroked="f" strokeweight="0.5pt" style="position:absolute;margin-left:408.60004pt;margin-top:3.65pt;width:45.799988pt;height:17.45pt;z-index:396;mso-position-horizontal:absolute;mso-position-vertical:absolute;mso-wrap-style:square;">
                <v:stroke/>
                <v:textbox id="1032"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3030m</w:t>
                      </w:r>
                    </w:p>
                  </w:txbxContent>
                </v:textbox>
              </v:rect>
            </w:pict>
          </mc:Fallback>
        </mc:AlternateContent>
      </w: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398" behindDoc="0" locked="0" layoutInCell="1" hidden="0" allowOverlap="1">
                <wp:simplePos x="0" y="0"/>
                <wp:positionH relativeFrom="column">
                  <wp:posOffset>2599690</wp:posOffset>
                </wp:positionH>
                <wp:positionV relativeFrom="paragraph">
                  <wp:posOffset>113030</wp:posOffset>
                </wp:positionV>
                <wp:extent cx="581659" cy="221615"/>
                <wp:effectExtent l="0" t="0" r="8889" b="6985"/>
                <wp:wrapNone/>
                <wp:docPr id="71" name="文本框 71"/>
                <wp:cNvGraphicFramePr>
                  <a:graphicFrameLocks noChangeAspect="0"/>
                </wp:cNvGraphicFramePr>
                <a:graphic>
                  <a:graphicData uri="http://schemas.microsoft.com/office/word/2010/wordprocessingShape">
                    <wps:wsp>
                      <wps:cNvSpPr/>
                      <wps:spPr>
                        <a:xfrm rot="0">
                          <a:off x="0" y="0"/>
                          <a:ext cx="581659" cy="221615"/>
                        </a:xfrm>
                        <a:prstGeom prst="rect"/>
                        <a:solidFill>
                          <a:srgbClr val="FFFF00"/>
                        </a:solidFill>
                        <a:ln w="6350" cmpd="sng" cap="flat">
                          <a:noFill/>
                          <a:prstDash val="solid"/>
                          <a:round/>
                        </a:ln>
                      </wps:spPr>
                      <wps:txbx id="590">
                        <w:txbxContent>
                          <w:p>
                            <w:pPr>
                              <w:ind w:left="0" w:firstLineChars="0" w:firstLine="0"/>
                              <w:rPr>
                                <w:rFonts w:eastAsia="宋体"/>
                                <w:sz w:val="21"/>
                                <w:szCs w:val="21"/>
                                <w:lang w:val="en-US" w:eastAsia="zh-CN"/>
                              </w:rPr>
                            </w:pPr>
                            <w:r>
                              <w:rPr>
                                <w:rFonts w:hint="eastAsia"/>
                                <w:sz w:val="21"/>
                                <w:szCs w:val="21"/>
                                <w:lang w:val="en-US" w:eastAsia="zh-CN"/>
                              </w:rPr>
                              <w:t>1300m</w:t>
                            </w:r>
                          </w:p>
                        </w:txbxContent>
                      </wps:txbx>
                      <wps:bodyPr vert="horz" wrap="square" lIns="91440" tIns="45720" rIns="91440" bIns="45720" anchor="t" anchorCtr="0" upright="0">
                        <a:noAutofit/>
                      </wps:bodyPr>
                    </wps:wsp>
                  </a:graphicData>
                </a:graphic>
              </wp:anchor>
            </w:drawing>
          </mc:Choice>
          <mc:Fallback>
            <w:pict>
              <v:rect type="#_x0000_t1" id="文本框 71" o:spid="_x0000_s591" fillcolor="#FFFF00" stroked="f" strokeweight="0.5pt" style="position:absolute;margin-left:204.70001pt;margin-top:8.9pt;width:45.799988pt;height:17.45pt;z-index:398;mso-position-horizontal:absolute;mso-position-vertical:absolute;mso-wrap-style:square;">
                <v:stroke/>
                <v:textbox id="1033" inset="2.54mm,1.27mm,2.54mm,1.27mm" o:insetmode="custom" style="layout-flow:horizontal;v-text-anchor:top;">
                  <w:txbxContent>
                    <w:p>
                      <w:pPr>
                        <w:ind w:left="0" w:firstLineChars="0" w:firstLine="0"/>
                        <w:rPr>
                          <w:rFonts w:eastAsia="宋体"/>
                          <w:sz w:val="21"/>
                          <w:szCs w:val="21"/>
                          <w:lang w:val="en-US" w:eastAsia="zh-CN"/>
                        </w:rPr>
                      </w:pPr>
                      <w:r>
                        <w:rPr>
                          <w:rFonts w:hint="eastAsia"/>
                          <w:sz w:val="21"/>
                          <w:szCs w:val="21"/>
                          <w:lang w:val="en-US" w:eastAsia="zh-CN"/>
                        </w:rPr>
                        <w:t>1300m</w:t>
                      </w:r>
                    </w:p>
                  </w:txbxContent>
                </v:textbox>
              </v:rect>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rPr>
        <w:drawing>
          <wp:anchor distT="0" distB="0" distL="114300" distR="114300" simplePos="0" relativeHeight="386" behindDoc="0" locked="0" layoutInCell="1" hidden="0" allowOverlap="1">
            <wp:simplePos x="0" y="0"/>
            <wp:positionH relativeFrom="column">
              <wp:posOffset>-60325</wp:posOffset>
            </wp:positionH>
            <wp:positionV relativeFrom="paragraph">
              <wp:posOffset>98425</wp:posOffset>
            </wp:positionV>
            <wp:extent cx="1316989" cy="252730"/>
            <wp:effectExtent l="0" t="0" r="16510" b="13970"/>
            <wp:wrapNone/>
            <wp:docPr id="1095" name="图片 8"/>
            <wp:cNvGraphicFramePr>
              <a:graphicFrameLocks noChangeAspect="1"/>
            </wp:cNvGraphicFramePr>
            <a:graphic>
              <a:graphicData uri="http://schemas.openxmlformats.org/drawingml/2006/picture">
                <pic:pic>
                  <pic:nvPicPr>
                    <pic:cNvPr id="593" name="图片 8 593"/>
                    <pic:cNvPicPr/>
                  </pic:nvPicPr>
                  <pic:blipFill>
                    <a:blip r:embed="rId74"/>
                    <a:stretch>
                      <a:fillRect/>
                    </a:stretch>
                  </pic:blipFill>
                  <pic:spPr>
                    <a:xfrm rot="0">
                      <a:off x="0" y="0"/>
                      <a:ext cx="1316989" cy="252730"/>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center"/>
        <w:rPr>
          <w:color w:val="auto"/>
        </w:rPr>
      </w:pPr>
      <w:r>
        <w:rPr>
          <w:color w:val="auto"/>
        </w:rPr>
        <w:t>附图</w:t>
      </w:r>
      <w:r>
        <w:rPr>
          <w:rFonts w:hint="eastAsia"/>
          <w:color w:val="auto"/>
        </w:rPr>
        <w:t>6</w:t>
      </w:r>
      <w:r>
        <w:rPr>
          <w:color w:val="auto"/>
        </w:rPr>
        <w:t xml:space="preserve">  引用数据监测点位图</w:t>
      </w:r>
    </w:p>
    <w:p>
      <w:pPr>
        <w:pStyle w:val="40"/>
        <w:ind w:left="0" w:right="0" w:firstLine="0"/>
        <w:jc w:val="both"/>
        <w:rPr>
          <w:color w:val="auto"/>
        </w:rPr>
      </w:pPr>
      <w:r>
        <w:rPr>
          <w:color w:val="auto"/>
          <w:sz w:val="24"/>
        </w:rPr>
        <mc:AlternateContent>
          <mc:Choice Requires="wps">
            <w:drawing>
              <wp:anchor distT="0" distB="0" distL="114300" distR="114300" simplePos="0" relativeHeight="402" behindDoc="0" locked="0" layoutInCell="1" hidden="0" allowOverlap="1">
                <wp:simplePos x="0" y="0"/>
                <wp:positionH relativeFrom="column">
                  <wp:posOffset>4359910</wp:posOffset>
                </wp:positionH>
                <wp:positionV relativeFrom="paragraph">
                  <wp:posOffset>1704339</wp:posOffset>
                </wp:positionV>
                <wp:extent cx="683894" cy="315594"/>
                <wp:effectExtent l="290195" t="6350" r="16510" b="192405"/>
                <wp:wrapNone/>
                <wp:docPr id="130" name="线形标注 1 130"/>
                <wp:cNvGraphicFramePr>
                  <a:graphicFrameLocks noChangeAspect="0"/>
                </wp:cNvGraphicFramePr>
                <a:graphic>
                  <a:graphicData uri="http://schemas.microsoft.com/office/word/2010/wordprocessingShape">
                    <wps:wsp>
                      <wps:cNvSpPr/>
                      <wps:spPr>
                        <a:xfrm rot="0">
                          <a:off x="0" y="0"/>
                          <a:ext cx="683894" cy="315594"/>
                        </a:xfrm>
                        <a:prstGeom prst="borderCallout1">
                          <a:avLst>
                            <a:gd name="adj1" fmla="val 97379"/>
                            <a:gd name="adj2" fmla="val 180"/>
                            <a:gd name="adj3" fmla="val 157745"/>
                            <a:gd name="adj4" fmla="val -41875"/>
                          </a:avLst>
                        </a:prstGeom>
                        <a:noFill/>
                        <a:ln w="9525" cmpd="sng" cap="flat">
                          <a:solidFill>
                            <a:srgbClr val="FF0000"/>
                          </a:solidFill>
                          <a:prstDash val="solid"/>
                          <a:round/>
                        </a:ln>
                      </wps:spPr>
                      <wps:txbx id="594">
                        <w:txbxContent>
                          <w:p>
                            <w:pPr>
                              <w:ind w:left="0" w:firstLineChars="0" w:firstLine="0"/>
                              <w:jc w:val="both"/>
                              <w:rPr>
                                <w:rFonts w:eastAsia="宋体" w:hint="eastAsia"/>
                                <w:b/>
                                <w:bCs/>
                                <w:color w:val="000000"/>
                                <w14:textFill>
                                  <w14:solidFill>
                                    <w14:srgbClr w14:val="000000"/>
                                  </w14:solidFill>
                                </w14:textFill>
                                <w:lang w:val="en-US" w:eastAsia="zh-CN"/>
                              </w:rPr>
                            </w:pPr>
                            <w:r>
                              <w:rPr>
                                <w:rFonts w:hint="eastAsia"/>
                                <w:b/>
                                <w:bCs/>
                                <w:color w:val="000000"/>
                                <w14:textFill>
                                  <w14:solidFill>
                                    <w14:srgbClr w14:val="000000"/>
                                  </w14:solidFill>
                                </w14:textFill>
                                <w:lang w:val="en-US" w:eastAsia="zh-CN"/>
                              </w:rPr>
                              <w:t>本项目</w:t>
                            </w:r>
                          </w:p>
                        </w:txbxContent>
                      </wps:txbx>
                      <wps:bodyPr vert="horz" wrap="square" lIns="91440" tIns="45720" rIns="91440" bIns="45720" anchor="ctr" anchorCtr="0" upright="0">
                        <a:noAutofit/>
                      </wps:bodyPr>
                    </wps:wsp>
                  </a:graphicData>
                </a:graphic>
              </wp:anchor>
            </w:drawing>
          </mc:Choice>
          <mc:Fallback>
            <w:pict>
              <v:shape type="#_x0000_t47" id="线形标注 1 130" o:spid="_x0000_s595" filled="f" stroked="t" adj="-9045,34073,39,21034" style="position:absolute;margin-left:343.3pt;margin-top:134.2pt;width:53.84999pt;height:24.849998pt;z-index:402;mso-position-horizontal:absolute;mso-position-vertical:absolute;mso-wrap-style:square;">
                <v:stroke color="#FF0000"/>
                <v:textbox id="1035" inset="2.54mm,1.27mm,2.54mm,1.27mm" o:insetmode="custom" style="layout-flow:horizontal;v-text-anchor:middle;">
                  <w:txbxContent>
                    <w:p>
                      <w:pPr>
                        <w:ind w:left="0" w:firstLineChars="0" w:firstLine="0"/>
                        <w:jc w:val="both"/>
                        <w:rPr>
                          <w:rFonts w:eastAsia="宋体" w:hint="eastAsia"/>
                          <w:b/>
                          <w:bCs/>
                          <w:color w:val="000000"/>
                          <w14:textFill>
                            <w14:solidFill>
                              <w14:srgbClr w14:val="000000"/>
                            </w14:solidFill>
                          </w14:textFill>
                          <w:lang w:val="en-US" w:eastAsia="zh-CN"/>
                        </w:rPr>
                      </w:pPr>
                      <w:r>
                        <w:rPr>
                          <w:rFonts w:hint="eastAsia"/>
                          <w:b/>
                          <w:bCs/>
                          <w:color w:val="000000"/>
                          <w14:textFill>
                            <w14:solidFill>
                              <w14:srgbClr w14:val="000000"/>
                            </w14:solidFill>
                          </w14:textFill>
                          <w:lang w:val="en-US" w:eastAsia="zh-CN"/>
                        </w:rPr>
                        <w:t>本项目</w:t>
                      </w:r>
                    </w:p>
                  </w:txbxContent>
                </v:textbox>
              </v:shape>
            </w:pict>
          </mc:Fallback>
        </mc:AlternateContent>
      </w:r>
      <w:r>
        <w:rPr>
          <w:sz w:val="24"/>
        </w:rPr>
        <mc:AlternateContent>
          <mc:Choice Requires="wps">
            <w:drawing>
              <wp:anchor distT="0" distB="0" distL="114300" distR="114300" simplePos="0" relativeHeight="404" behindDoc="0" locked="0" layoutInCell="1" hidden="0" allowOverlap="1">
                <wp:simplePos x="0" y="0"/>
                <wp:positionH relativeFrom="column">
                  <wp:posOffset>4029075</wp:posOffset>
                </wp:positionH>
                <wp:positionV relativeFrom="paragraph">
                  <wp:posOffset>2194560</wp:posOffset>
                </wp:positionV>
                <wp:extent cx="76200" cy="76200"/>
                <wp:effectExtent l="6350" t="6350" r="12700" b="12700"/>
                <wp:wrapNone/>
                <wp:docPr id="81" name="矩形 81"/>
                <wp:cNvGraphicFramePr>
                  <a:graphicFrameLocks noChangeAspect="0"/>
                </wp:cNvGraphicFramePr>
                <a:graphic>
                  <a:graphicData uri="http://schemas.microsoft.com/office/word/2010/wordprocessingShape">
                    <wps:wsp>
                      <wps:cNvSpPr/>
                      <wps:spPr>
                        <a:xfrm flipH="1" rot="21600000">
                          <a:off x="0" y="0"/>
                          <a:ext cx="76200" cy="76200"/>
                        </a:xfrm>
                        <a:prstGeom prst="rect"/>
                        <a:solidFill>
                          <a:srgbClr val="FF0000"/>
                        </a:solidFill>
                        <a:ln w="12700" cmpd="sng" cap="flat">
                          <a:solidFill>
                            <a:srgbClr val="2E75B6"/>
                          </a:solidFill>
                          <a:prstDash val="solid"/>
                          <a:miter/>
                        </a:ln>
                      </wps:spPr>
                      <wps:bodyPr vert="horz" wrap="square" lIns="91440" tIns="45720" rIns="91440" bIns="45720" anchor="ctr" anchorCtr="0" upright="0">
                        <a:noAutofit/>
                      </wps:bodyPr>
                    </wps:wsp>
                  </a:graphicData>
                </a:graphic>
              </wp:anchor>
            </w:drawing>
          </mc:Choice>
          <mc:Fallback>
            <w:pict>
              <v:rect type="#_x0000_t1" id="矩形 81" o:spid="_x0000_s596" fillcolor="#FF0000" stroked="t" strokeweight="1.0pt" style="position:absolute;margin-left:317.25pt;margin-top:172.8pt;width:6.0pt;height:6.0pt;flip:x;z-index:404;mso-position-horizontal:absolute;mso-position-vertical:absolute;">
                <v:stroke color="#2E75B6"/>
              </v:rect>
            </w:pict>
          </mc:Fallback>
        </mc:AlternateContent>
      </w:r>
      <w:r>
        <w:rPr>
          <w:color w:val="auto"/>
        </w:rPr>
        <w:drawing>
          <wp:inline distT="0" distB="0" distL="114300" distR="114300">
            <wp:extent cx="8978265" cy="4637404"/>
            <wp:effectExtent l="0" t="1" r="0" b="2"/>
            <wp:docPr id="1096" name="图片 6"/>
            <wp:cNvGraphicFramePr>
              <a:graphicFrameLocks noChangeAspect="1"/>
            </wp:cNvGraphicFramePr>
            <a:graphic>
              <a:graphicData uri="http://schemas.openxmlformats.org/drawingml/2006/picture">
                <pic:pic>
                  <pic:nvPicPr>
                    <pic:cNvPr id="598" name="图片 6 598"/>
                    <pic:cNvPicPr/>
                  </pic:nvPicPr>
                  <pic:blipFill>
                    <a:blip r:embed="rId75"/>
                    <a:stretch>
                      <a:fillRect/>
                    </a:stretch>
                  </pic:blipFill>
                  <pic:spPr>
                    <a:xfrm rot="0">
                      <a:off x="0" y="0"/>
                      <a:ext cx="8978265" cy="4637404"/>
                    </a:xfrm>
                    <a:prstGeom prst="rect"/>
                    <a:noFill/>
                    <a:ln cmpd="sng" cap="flat">
                      <a:noFill/>
                      <a:prstDash val="solid"/>
                      <a:round/>
                    </a:ln>
                  </pic:spPr>
                </pic:pic>
              </a:graphicData>
            </a:graphic>
          </wp:inline>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center"/>
        <w:rPr>
          <w:color w:val="auto"/>
        </w:rPr>
      </w:pPr>
      <w:r>
        <w:rPr>
          <w:color w:val="auto"/>
        </w:rPr>
        <w:t>附图</w:t>
      </w:r>
      <w:r>
        <w:rPr>
          <w:rFonts w:hint="eastAsia"/>
          <w:color w:val="auto"/>
          <w:lang w:val="en-US" w:eastAsia="zh-CN"/>
        </w:rPr>
        <w:t>7</w:t>
      </w:r>
      <w:r>
        <w:rPr>
          <w:color w:val="auto"/>
        </w:rPr>
        <w:t xml:space="preserve">  </w:t>
      </w:r>
      <w:r>
        <w:rPr>
          <w:rFonts w:hint="eastAsia"/>
          <w:color w:val="auto"/>
        </w:rPr>
        <w:t>河北省“三线一单”生态保护红线分布图</w: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rFonts w:hint="eastAsia"/>
          <w:color w:val="auto"/>
        </w:rPr>
        <w:drawing>
          <wp:anchor distT="0" distB="0" distL="114300" distR="114300" simplePos="0" relativeHeight="406" behindDoc="0" locked="0" layoutInCell="1" hidden="0" allowOverlap="1">
            <wp:simplePos x="0" y="0"/>
            <wp:positionH relativeFrom="column">
              <wp:posOffset>33655</wp:posOffset>
            </wp:positionH>
            <wp:positionV relativeFrom="paragraph">
              <wp:posOffset>-157479</wp:posOffset>
            </wp:positionV>
            <wp:extent cx="8886190" cy="5769610"/>
            <wp:effectExtent l="0" t="0" r="10160" b="2540"/>
            <wp:wrapNone/>
            <wp:docPr id="1097" name="图片 10"/>
            <wp:cNvGraphicFramePr>
              <a:graphicFrameLocks noChangeAspect="1"/>
            </wp:cNvGraphicFramePr>
            <a:graphic>
              <a:graphicData uri="http://schemas.openxmlformats.org/drawingml/2006/picture">
                <pic:pic>
                  <pic:nvPicPr>
                    <pic:cNvPr id="600" name="图片 10 600"/>
                    <pic:cNvPicPr/>
                  </pic:nvPicPr>
                  <pic:blipFill>
                    <a:blip r:embed="rId76"/>
                    <a:stretch>
                      <a:fillRect/>
                    </a:stretch>
                  </pic:blipFill>
                  <pic:spPr>
                    <a:xfrm rot="0">
                      <a:off x="0" y="0"/>
                      <a:ext cx="8886190" cy="5769610"/>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410" behindDoc="0" locked="0" layoutInCell="1" hidden="0" allowOverlap="1">
                <wp:simplePos x="0" y="0"/>
                <wp:positionH relativeFrom="column">
                  <wp:posOffset>1056640</wp:posOffset>
                </wp:positionH>
                <wp:positionV relativeFrom="paragraph">
                  <wp:posOffset>83185</wp:posOffset>
                </wp:positionV>
                <wp:extent cx="613410" cy="273685"/>
                <wp:effectExtent l="6350" t="6350" r="8889" b="653415"/>
                <wp:wrapNone/>
                <wp:docPr id="85" name="矩形标注 85"/>
                <wp:cNvGraphicFramePr>
                  <a:graphicFrameLocks noChangeAspect="0"/>
                </wp:cNvGraphicFramePr>
                <a:graphic>
                  <a:graphicData uri="http://schemas.microsoft.com/office/word/2010/wordprocessingShape">
                    <wps:wsp>
                      <wps:cNvSpPr/>
                      <wps:spPr>
                        <a:xfrm rot="0">
                          <a:off x="0" y="0"/>
                          <a:ext cx="613410" cy="273685"/>
                        </a:xfrm>
                        <a:prstGeom prst="wedgeRectCallout">
                          <a:avLst>
                            <a:gd name="adj1" fmla="val -44199"/>
                            <a:gd name="adj2" fmla="val 269486"/>
                          </a:avLst>
                        </a:prstGeom>
                        <a:noFill/>
                        <a:ln w="9525" cmpd="sng" cap="flat">
                          <a:solidFill>
                            <a:srgbClr val="000000"/>
                          </a:solidFill>
                          <a:prstDash val="solid"/>
                          <a:round/>
                        </a:ln>
                      </wps:spPr>
                      <wps:txbx id="601">
                        <w:txbxContent>
                          <w:p>
                            <w:pPr>
                              <w:ind w:left="0" w:firstLineChars="0" w:firstLine="0"/>
                              <w:rPr>
                                <w:rFonts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wps:txbx>
                      <wps:bodyPr vert="horz" wrap="square" lIns="91440" tIns="45720" rIns="91440" bIns="45720" anchor="ctr" anchorCtr="0" upright="0">
                        <a:noAutofit/>
                      </wps:bodyPr>
                    </wps:wsp>
                  </a:graphicData>
                </a:graphic>
              </wp:anchor>
            </w:drawing>
          </mc:Choice>
          <mc:Fallback>
            <w:pict>
              <v:shape type="#_x0000_t61" id="矩形标注 85" o:spid="_x0000_s602" filled="f" stroked="t" adj="1253,69009" style="position:absolute;margin-left:83.2pt;margin-top:6.55pt;width:48.300007pt;height:21.55pt;z-index:410;mso-position-horizontal:absolute;mso-position-vertical:absolute;mso-wrap-style:square;">
                <v:stroke color="#000000"/>
                <v:textbox id="1038" inset="2.54mm,1.27mm,2.54mm,1.27mm" o:insetmode="custom" style="layout-flow:horizontal;v-text-anchor:middle;">
                  <w:txbxContent>
                    <w:p>
                      <w:pPr>
                        <w:ind w:left="0" w:firstLineChars="0" w:firstLine="0"/>
                        <w:rPr>
                          <w:rFonts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v:textbox>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sz w:val="24"/>
        </w:rPr>
        <mc:AlternateContent>
          <mc:Choice Requires="wps">
            <w:drawing>
              <wp:anchor distT="0" distB="0" distL="114300" distR="114300" simplePos="0" relativeHeight="408" behindDoc="0" locked="0" layoutInCell="1" hidden="0" allowOverlap="1">
                <wp:simplePos x="0" y="0"/>
                <wp:positionH relativeFrom="column">
                  <wp:posOffset>2473960</wp:posOffset>
                </wp:positionH>
                <wp:positionV relativeFrom="paragraph">
                  <wp:posOffset>151764</wp:posOffset>
                </wp:positionV>
                <wp:extent cx="3916045" cy="306705"/>
                <wp:effectExtent l="0" t="0" r="8255" b="17145"/>
                <wp:wrapNone/>
                <wp:docPr id="142" name="文本框 142"/>
                <wp:cNvGraphicFramePr>
                  <a:graphicFrameLocks noChangeAspect="0"/>
                </wp:cNvGraphicFramePr>
                <a:graphic>
                  <a:graphicData uri="http://schemas.microsoft.com/office/word/2010/wordprocessingShape">
                    <wps:wsp>
                      <wps:cNvSpPr/>
                      <wps:spPr>
                        <a:xfrm rot="0">
                          <a:off x="0" y="0"/>
                          <a:ext cx="3916045" cy="306705"/>
                        </a:xfrm>
                        <a:prstGeom prst="rect"/>
                        <a:solidFill>
                          <a:srgbClr val="FFFFFF"/>
                        </a:solidFill>
                        <a:ln w="6350" cmpd="sng" cap="flat">
                          <a:noFill/>
                          <a:prstDash val="solid"/>
                          <a:round/>
                        </a:ln>
                      </wps:spPr>
                      <wps:txbx id="603">
                        <w:txbxContent>
                          <w:p>
                            <w:pPr>
                              <w:ind w:left="0" w:firstLineChars="0" w:firstLine="0"/>
                              <w:rPr>
                                <w:rFonts w:hint="eastAsia"/>
                                <w:b/>
                                <w:bCs/>
                              </w:rPr>
                            </w:pPr>
                            <w:r>
                              <w:rPr>
                                <w:b/>
                                <w:bCs/>
                              </w:rPr>
                              <w:t>附图</w:t>
                            </w:r>
                            <w:r>
                              <w:rPr>
                                <w:rFonts w:hint="eastAsia"/>
                                <w:b/>
                                <w:bCs/>
                                <w:lang w:val="en-US" w:eastAsia="zh-CN"/>
                              </w:rPr>
                              <w:t>8</w:t>
                            </w:r>
                            <w:r>
                              <w:rPr>
                                <w:b/>
                                <w:bCs/>
                              </w:rPr>
                              <w:t xml:space="preserve">  </w:t>
                            </w:r>
                            <w:r>
                              <w:rPr>
                                <w:rFonts w:hint="eastAsia"/>
                                <w:b/>
                                <w:bCs/>
                                <w:lang w:val="en-US" w:eastAsia="zh-CN"/>
                              </w:rPr>
                              <w:t>石家庄装备制造产业园区域三区三线图</w:t>
                            </w:r>
                          </w:p>
                          <w:p>
                            <w:pPr>
                              <w:ind w:left="0" w:firstLineChars="0" w:firstLine="0"/>
                              <w:rPr>
                                <w:rFonts w:hint="eastAsia"/>
                                <w:b/>
                                <w:bCs/>
                              </w:rPr>
                            </w:pPr>
                          </w:p>
                          <w:p/>
                        </w:txbxContent>
                      </wps:txbx>
                      <wps:bodyPr vert="horz" wrap="square" lIns="91440" tIns="45720" rIns="91440" bIns="45720" anchor="t" anchorCtr="0" upright="0">
                        <a:noAutofit/>
                      </wps:bodyPr>
                    </wps:wsp>
                  </a:graphicData>
                </a:graphic>
              </wp:anchor>
            </w:drawing>
          </mc:Choice>
          <mc:Fallback>
            <w:pict>
              <v:rect type="#_x0000_t1" id="文本框 142" o:spid="_x0000_s604" fillcolor="#FFFFFF" stroked="f" strokeweight="0.5pt" style="position:absolute;margin-left:194.8pt;margin-top:11.95pt;width:308.35pt;height:24.15pt;z-index:408;mso-position-horizontal:absolute;mso-position-vertical:absolute;mso-wrap-style:square;">
                <v:stroke/>
                <v:textbox id="1039" inset="2.54mm,1.27mm,2.54mm,1.27mm" o:insetmode="custom" style="layout-flow:horizontal;v-text-anchor:top;">
                  <w:txbxContent>
                    <w:p>
                      <w:pPr>
                        <w:ind w:left="0" w:firstLineChars="0" w:firstLine="0"/>
                        <w:rPr>
                          <w:rFonts w:hint="eastAsia"/>
                          <w:b/>
                          <w:bCs/>
                        </w:rPr>
                      </w:pPr>
                      <w:r>
                        <w:rPr>
                          <w:b/>
                          <w:bCs/>
                        </w:rPr>
                        <w:t>附图</w:t>
                      </w:r>
                      <w:r>
                        <w:rPr>
                          <w:rFonts w:hint="eastAsia"/>
                          <w:b/>
                          <w:bCs/>
                          <w:lang w:val="en-US" w:eastAsia="zh-CN"/>
                        </w:rPr>
                        <w:t>8</w:t>
                      </w:r>
                      <w:r>
                        <w:rPr>
                          <w:b/>
                          <w:bCs/>
                        </w:rPr>
                        <w:t xml:space="preserve">  </w:t>
                      </w:r>
                      <w:r>
                        <w:rPr>
                          <w:rFonts w:hint="eastAsia"/>
                          <w:b/>
                          <w:bCs/>
                          <w:lang w:val="en-US" w:eastAsia="zh-CN"/>
                        </w:rPr>
                        <w:t>石家庄装备制造产业园区域三区三线图</w:t>
                      </w:r>
                    </w:p>
                    <w:p>
                      <w:pPr>
                        <w:ind w:left="0" w:firstLineChars="0" w:firstLine="0"/>
                        <w:rPr>
                          <w:rFonts w:hint="eastAsia"/>
                          <w:b/>
                          <w:bCs/>
                        </w:rPr>
                      </w:pPr>
                    </w:p>
                    <w:p/>
                  </w:txbxContent>
                </v:textbox>
              </v:rect>
            </w:pict>
          </mc:Fallback>
        </mc:AlternateContent>
      </w:r>
    </w:p>
    <w:p>
      <w:pPr>
        <w:pStyle w:val="40"/>
        <w:ind w:left="0" w:right="0" w:firstLine="0"/>
        <w:jc w:val="both"/>
        <w:rPr>
          <w:color w:val="auto"/>
        </w:rPr>
      </w:pPr>
      <w:r>
        <w:rPr>
          <w:rFonts w:hint="eastAsia"/>
          <w:color w:val="auto"/>
        </w:rPr>
        <w:drawing>
          <wp:anchor distT="0" distB="0" distL="114300" distR="114300" simplePos="0" relativeHeight="412" behindDoc="0" locked="0" layoutInCell="1" hidden="0" allowOverlap="1">
            <wp:simplePos x="0" y="0"/>
            <wp:positionH relativeFrom="column">
              <wp:posOffset>10160</wp:posOffset>
            </wp:positionH>
            <wp:positionV relativeFrom="paragraph">
              <wp:posOffset>-158750</wp:posOffset>
            </wp:positionV>
            <wp:extent cx="8889365" cy="5819775"/>
            <wp:effectExtent l="0" t="0" r="6985" b="9525"/>
            <wp:wrapNone/>
            <wp:docPr id="1098" name="图片 11"/>
            <wp:cNvGraphicFramePr>
              <a:graphicFrameLocks noChangeAspect="1"/>
            </wp:cNvGraphicFramePr>
            <a:graphic>
              <a:graphicData uri="http://schemas.openxmlformats.org/drawingml/2006/picture">
                <pic:pic>
                  <pic:nvPicPr>
                    <pic:cNvPr id="606" name="图片 11 606"/>
                    <pic:cNvPicPr/>
                  </pic:nvPicPr>
                  <pic:blipFill>
                    <a:blip r:embed="rId77"/>
                    <a:stretch>
                      <a:fillRect/>
                    </a:stretch>
                  </pic:blipFill>
                  <pic:spPr>
                    <a:xfrm rot="0">
                      <a:off x="0" y="0"/>
                      <a:ext cx="8889365" cy="5819775"/>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426" behindDoc="0" locked="0" layoutInCell="1" hidden="0" allowOverlap="1">
                <wp:simplePos x="0" y="0"/>
                <wp:positionH relativeFrom="column">
                  <wp:posOffset>1010285</wp:posOffset>
                </wp:positionH>
                <wp:positionV relativeFrom="paragraph">
                  <wp:posOffset>103505</wp:posOffset>
                </wp:positionV>
                <wp:extent cx="613410" cy="273684"/>
                <wp:effectExtent l="6350" t="6350" r="8889" b="672465"/>
                <wp:wrapNone/>
                <wp:docPr id="86" name="矩形标注 86"/>
                <wp:cNvGraphicFramePr>
                  <a:graphicFrameLocks noChangeAspect="0"/>
                </wp:cNvGraphicFramePr>
                <a:graphic>
                  <a:graphicData uri="http://schemas.microsoft.com/office/word/2010/wordprocessingShape">
                    <wps:wsp>
                      <wps:cNvSpPr/>
                      <wps:spPr>
                        <a:xfrm rot="0">
                          <a:off x="0" y="0"/>
                          <a:ext cx="613410" cy="273684"/>
                        </a:xfrm>
                        <a:prstGeom prst="wedgeRectCallout">
                          <a:avLst>
                            <a:gd name="adj1" fmla="val -41509"/>
                            <a:gd name="adj2" fmla="val 272504"/>
                          </a:avLst>
                        </a:prstGeom>
                        <a:noFill/>
                        <a:ln w="9525" cmpd="sng" cap="flat">
                          <a:solidFill>
                            <a:srgbClr val="000000"/>
                          </a:solidFill>
                          <a:prstDash val="solid"/>
                          <a:round/>
                        </a:ln>
                      </wps:spPr>
                      <wps:txbx id="607">
                        <w:txbxContent>
                          <w:p>
                            <w:pPr>
                              <w:ind w:left="0" w:firstLineChars="0" w:firstLine="0"/>
                              <w:jc w:val="both"/>
                              <w:rPr>
                                <w:rFonts w:eastAsia="宋体"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wps:txbx>
                      <wps:bodyPr vert="horz" wrap="square" lIns="91440" tIns="45720" rIns="91440" bIns="45720" anchor="ctr" anchorCtr="0" upright="0">
                        <a:noAutofit/>
                      </wps:bodyPr>
                    </wps:wsp>
                  </a:graphicData>
                </a:graphic>
              </wp:anchor>
            </w:drawing>
          </mc:Choice>
          <mc:Fallback>
            <w:pict>
              <v:shape type="#_x0000_t61" id="矩形标注 86" o:spid="_x0000_s608" filled="f" stroked="t" adj="1834,69661" style="position:absolute;margin-left:79.55pt;margin-top:8.15pt;width:48.3pt;height:21.549997pt;z-index:426;mso-position-horizontal:absolute;mso-position-vertical:absolute;mso-wrap-style:square;">
                <v:stroke color="#000000"/>
                <v:textbox id="1041" inset="2.54mm,1.27mm,2.54mm,1.27mm" o:insetmode="custom" style="layout-flow:horizontal;v-text-anchor:middle;">
                  <w:txbxContent>
                    <w:p>
                      <w:pPr>
                        <w:ind w:left="0" w:firstLineChars="0" w:firstLine="0"/>
                        <w:jc w:val="both"/>
                        <w:rPr>
                          <w:rFonts w:eastAsia="宋体"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v:textbox>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sz w:val="24"/>
        </w:rPr>
        <mc:AlternateContent>
          <mc:Choice Requires="wps">
            <w:drawing>
              <wp:anchor distT="0" distB="0" distL="114300" distR="114300" simplePos="0" relativeHeight="414" behindDoc="0" locked="0" layoutInCell="1" hidden="0" allowOverlap="1">
                <wp:simplePos x="0" y="0"/>
                <wp:positionH relativeFrom="column">
                  <wp:posOffset>3025140</wp:posOffset>
                </wp:positionH>
                <wp:positionV relativeFrom="paragraph">
                  <wp:posOffset>230505</wp:posOffset>
                </wp:positionV>
                <wp:extent cx="3916045" cy="306705"/>
                <wp:wrapNone/>
                <wp:docPr id="153" name="文本框 153"/>
                <wp:cNvGraphicFramePr>
                  <a:graphicFrameLocks noChangeAspect="0"/>
                </wp:cNvGraphicFramePr>
                <a:graphic>
                  <a:graphicData uri="http://schemas.microsoft.com/office/word/2010/wordprocessingShape">
                    <wps:wsp>
                      <wps:cNvSpPr/>
                      <wps:spPr>
                        <a:xfrm rot="0">
                          <a:off x="0" y="0"/>
                          <a:ext cx="3916045" cy="306705"/>
                        </a:xfrm>
                        <a:prstGeom prst="rect"/>
                        <a:noFill/>
                        <a:ln w="6350" cmpd="sng" cap="flat">
                          <a:noFill/>
                          <a:prstDash val="solid"/>
                          <a:round/>
                        </a:ln>
                      </wps:spPr>
                      <wps:txbx id="609">
                        <w:txbxContent>
                          <w:p>
                            <w:pPr>
                              <w:ind w:left="0" w:firstLineChars="0" w:firstLine="0"/>
                              <w:rPr>
                                <w:rFonts w:hint="eastAsia"/>
                                <w:b/>
                                <w:bCs/>
                                <w:lang w:val="en-US" w:eastAsia="zh-CN"/>
                              </w:rPr>
                            </w:pPr>
                            <w:r>
                              <w:rPr>
                                <w:b/>
                                <w:bCs/>
                              </w:rPr>
                              <w:t>附图</w:t>
                            </w:r>
                            <w:r>
                              <w:rPr>
                                <w:rFonts w:hint="eastAsia"/>
                                <w:b/>
                                <w:bCs/>
                                <w:lang w:val="en-US" w:eastAsia="zh-CN"/>
                              </w:rPr>
                              <w:t>9</w:t>
                            </w:r>
                            <w:r>
                              <w:rPr>
                                <w:b/>
                                <w:bCs/>
                              </w:rPr>
                              <w:t xml:space="preserve">  </w:t>
                            </w:r>
                            <w:r>
                              <w:rPr>
                                <w:rFonts w:hint="eastAsia"/>
                                <w:b/>
                                <w:bCs/>
                                <w:lang w:val="en-US" w:eastAsia="zh-CN"/>
                              </w:rPr>
                              <w:t>石家庄装备制造产业园国土空间规划图</w:t>
                            </w:r>
                          </w:p>
                          <w:p>
                            <w:pPr>
                              <w:ind w:left="0" w:firstLineChars="0" w:firstLine="0"/>
                              <w:rPr>
                                <w:rFonts w:hint="eastAsia"/>
                                <w:b/>
                                <w:bCs/>
                              </w:rPr>
                            </w:pPr>
                          </w:p>
                          <w:p>
                            <w:pPr>
                              <w:ind w:left="0" w:firstLineChars="0" w:firstLine="0"/>
                              <w:rPr>
                                <w:rFonts w:hint="eastAsia"/>
                                <w:b/>
                                <w:bCs/>
                              </w:rPr>
                            </w:pPr>
                          </w:p>
                          <w:p/>
                        </w:txbxContent>
                      </wps:txbx>
                      <wps:bodyPr vert="horz" wrap="square" lIns="91440" tIns="45720" rIns="91440" bIns="45720" anchor="t" anchorCtr="0" upright="0">
                        <a:noAutofit/>
                      </wps:bodyPr>
                    </wps:wsp>
                  </a:graphicData>
                </a:graphic>
              </wp:anchor>
            </w:drawing>
          </mc:Choice>
          <mc:Fallback>
            <w:pict>
              <v:rect type="#_x0000_t1" id="文本框 153" o:spid="_x0000_s610" filled="f" stroked="f" strokeweight="0.5pt" style="position:absolute;margin-left:238.2pt;margin-top:18.15pt;width:308.35004pt;height:24.15pt;z-index:414;mso-position-horizontal:absolute;mso-position-vertical:absolute;mso-wrap-style:square;">
                <v:stroke/>
                <v:textbox id="1042" inset="2.54mm,1.27mm,2.54mm,1.27mm" o:insetmode="custom" style="layout-flow:horizontal;v-text-anchor:top;">
                  <w:txbxContent>
                    <w:p>
                      <w:pPr>
                        <w:ind w:left="0" w:firstLineChars="0" w:firstLine="0"/>
                        <w:rPr>
                          <w:rFonts w:hint="eastAsia"/>
                          <w:b/>
                          <w:bCs/>
                          <w:lang w:val="en-US" w:eastAsia="zh-CN"/>
                        </w:rPr>
                      </w:pPr>
                      <w:r>
                        <w:rPr>
                          <w:b/>
                          <w:bCs/>
                        </w:rPr>
                        <w:t>附图</w:t>
                      </w:r>
                      <w:r>
                        <w:rPr>
                          <w:rFonts w:hint="eastAsia"/>
                          <w:b/>
                          <w:bCs/>
                          <w:lang w:val="en-US" w:eastAsia="zh-CN"/>
                        </w:rPr>
                        <w:t>9</w:t>
                      </w:r>
                      <w:r>
                        <w:rPr>
                          <w:b/>
                          <w:bCs/>
                        </w:rPr>
                        <w:t xml:space="preserve">  </w:t>
                      </w:r>
                      <w:r>
                        <w:rPr>
                          <w:rFonts w:hint="eastAsia"/>
                          <w:b/>
                          <w:bCs/>
                          <w:lang w:val="en-US" w:eastAsia="zh-CN"/>
                        </w:rPr>
                        <w:t>石家庄装备制造产业园国土空间规划图</w:t>
                      </w:r>
                    </w:p>
                    <w:p>
                      <w:pPr>
                        <w:ind w:left="0" w:firstLineChars="0" w:firstLine="0"/>
                        <w:rPr>
                          <w:rFonts w:hint="eastAsia"/>
                          <w:b/>
                          <w:bCs/>
                        </w:rPr>
                      </w:pPr>
                    </w:p>
                    <w:p>
                      <w:pPr>
                        <w:ind w:left="0" w:firstLineChars="0" w:firstLine="0"/>
                        <w:rPr>
                          <w:rFonts w:hint="eastAsia"/>
                          <w:b/>
                          <w:bCs/>
                        </w:rPr>
                      </w:pPr>
                    </w:p>
                    <w:p/>
                  </w:txbxContent>
                </v:textbox>
              </v:rect>
            </w:pict>
          </mc:Fallback>
        </mc:AlternateContent>
      </w:r>
    </w:p>
    <w:p>
      <w:pPr>
        <w:pStyle w:val="40"/>
        <w:ind w:left="0" w:right="0" w:firstLine="0"/>
        <w:jc w:val="both"/>
        <w:rPr>
          <w:color w:val="auto"/>
        </w:rPr>
      </w:pPr>
      <w:r>
        <w:rPr>
          <w:rFonts w:hint="eastAsia"/>
          <w:color w:val="auto"/>
        </w:rPr>
        <w:drawing>
          <wp:anchor distT="0" distB="0" distL="114300" distR="114300" simplePos="0" relativeHeight="416" behindDoc="0" locked="0" layoutInCell="1" hidden="0" allowOverlap="1">
            <wp:simplePos x="0" y="0"/>
            <wp:positionH relativeFrom="column">
              <wp:posOffset>-12064</wp:posOffset>
            </wp:positionH>
            <wp:positionV relativeFrom="paragraph">
              <wp:posOffset>-83820</wp:posOffset>
            </wp:positionV>
            <wp:extent cx="8886190" cy="5887084"/>
            <wp:effectExtent l="0" t="0" r="10160" b="18415"/>
            <wp:wrapNone/>
            <wp:docPr id="1099" name="图片 12"/>
            <wp:cNvGraphicFramePr>
              <a:graphicFrameLocks noChangeAspect="1"/>
            </wp:cNvGraphicFramePr>
            <a:graphic>
              <a:graphicData uri="http://schemas.openxmlformats.org/drawingml/2006/picture">
                <pic:pic>
                  <pic:nvPicPr>
                    <pic:cNvPr id="612" name="图片 12 612"/>
                    <pic:cNvPicPr/>
                  </pic:nvPicPr>
                  <pic:blipFill>
                    <a:blip r:embed="rId78"/>
                    <a:stretch>
                      <a:fillRect/>
                    </a:stretch>
                  </pic:blipFill>
                  <pic:spPr>
                    <a:xfrm rot="0">
                      <a:off x="0" y="0"/>
                      <a:ext cx="8886190" cy="5887084"/>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428" behindDoc="0" locked="0" layoutInCell="1" hidden="0" allowOverlap="1">
                <wp:simplePos x="0" y="0"/>
                <wp:positionH relativeFrom="column">
                  <wp:posOffset>1019175</wp:posOffset>
                </wp:positionH>
                <wp:positionV relativeFrom="paragraph">
                  <wp:posOffset>48894</wp:posOffset>
                </wp:positionV>
                <wp:extent cx="613409" cy="273685"/>
                <wp:effectExtent l="6350" t="6350" r="8889" b="653415"/>
                <wp:wrapNone/>
                <wp:docPr id="87" name="矩形标注 87"/>
                <wp:cNvGraphicFramePr>
                  <a:graphicFrameLocks noChangeAspect="0"/>
                </wp:cNvGraphicFramePr>
                <a:graphic>
                  <a:graphicData uri="http://schemas.microsoft.com/office/word/2010/wordprocessingShape">
                    <wps:wsp>
                      <wps:cNvSpPr/>
                      <wps:spPr>
                        <a:xfrm rot="0">
                          <a:off x="0" y="0"/>
                          <a:ext cx="613409" cy="273685"/>
                        </a:xfrm>
                        <a:prstGeom prst="wedgeRectCallout">
                          <a:avLst>
                            <a:gd name="adj1" fmla="val -41921"/>
                            <a:gd name="adj2" fmla="val 265773"/>
                          </a:avLst>
                        </a:prstGeom>
                        <a:noFill/>
                        <a:ln w="9525" cmpd="sng" cap="flat">
                          <a:solidFill>
                            <a:srgbClr val="000000"/>
                          </a:solidFill>
                          <a:prstDash val="solid"/>
                          <a:round/>
                        </a:ln>
                      </wps:spPr>
                      <wps:txbx id="613">
                        <w:txbxContent>
                          <w:p>
                            <w:pPr>
                              <w:ind w:left="0" w:firstLineChars="0" w:firstLine="0"/>
                              <w:jc w:val="both"/>
                              <w:rPr>
                                <w:rFonts w:eastAsia="宋体"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wps:txbx>
                      <wps:bodyPr vert="horz" wrap="square" lIns="91440" tIns="45720" rIns="91440" bIns="45720" anchor="ctr" anchorCtr="0" upright="0">
                        <a:noAutofit/>
                      </wps:bodyPr>
                    </wps:wsp>
                  </a:graphicData>
                </a:graphic>
              </wp:anchor>
            </w:drawing>
          </mc:Choice>
          <mc:Fallback>
            <w:pict>
              <v:shape type="#_x0000_t61" id="矩形标注 87" o:spid="_x0000_s614" filled="f" stroked="t" adj="1745,68207" style="position:absolute;margin-left:80.25pt;margin-top:3.85pt;width:48.299995pt;height:21.550001pt;z-index:428;mso-position-horizontal:absolute;mso-position-vertical:absolute;mso-wrap-style:square;">
                <v:stroke color="#000000"/>
                <v:textbox id="1044" inset="2.54mm,1.27mm,2.54mm,1.27mm" o:insetmode="custom" style="layout-flow:horizontal;v-text-anchor:middle;">
                  <w:txbxContent>
                    <w:p>
                      <w:pPr>
                        <w:ind w:left="0" w:firstLineChars="0" w:firstLine="0"/>
                        <w:jc w:val="both"/>
                        <w:rPr>
                          <w:rFonts w:eastAsia="宋体"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v:textbox>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rPr>
        <mc:AlternateContent>
          <mc:Choice Requires="wps">
            <w:drawing>
              <wp:anchor distT="0" distB="0" distL="114300" distR="114300" simplePos="0" relativeHeight="418" behindDoc="0" locked="0" layoutInCell="1" hidden="0" allowOverlap="1">
                <wp:simplePos x="0" y="0"/>
                <wp:positionH relativeFrom="column">
                  <wp:posOffset>2384425</wp:posOffset>
                </wp:positionH>
                <wp:positionV relativeFrom="paragraph">
                  <wp:posOffset>361315</wp:posOffset>
                </wp:positionV>
                <wp:extent cx="3916045" cy="306704"/>
                <wp:wrapNone/>
                <wp:docPr id="204" name="文本框 204"/>
                <wp:cNvGraphicFramePr>
                  <a:graphicFrameLocks noChangeAspect="0"/>
                </wp:cNvGraphicFramePr>
                <a:graphic>
                  <a:graphicData uri="http://schemas.microsoft.com/office/word/2010/wordprocessingShape">
                    <wps:wsp>
                      <wps:cNvSpPr/>
                      <wps:spPr>
                        <a:xfrm rot="0">
                          <a:off x="0" y="0"/>
                          <a:ext cx="3916045" cy="306704"/>
                        </a:xfrm>
                        <a:prstGeom prst="rect"/>
                        <a:noFill/>
                        <a:ln w="6350" cmpd="sng" cap="flat">
                          <a:noFill/>
                          <a:prstDash val="solid"/>
                          <a:round/>
                        </a:ln>
                      </wps:spPr>
                      <wps:txbx id="615">
                        <w:txbxContent>
                          <w:p>
                            <w:pPr>
                              <w:ind w:left="0" w:firstLineChars="0" w:firstLine="0"/>
                              <w:rPr>
                                <w:rFonts w:hint="eastAsia"/>
                                <w:b/>
                                <w:bCs/>
                                <w:lang w:val="en-US" w:eastAsia="zh-CN"/>
                              </w:rPr>
                            </w:pPr>
                            <w:r>
                              <w:rPr>
                                <w:b/>
                                <w:bCs/>
                              </w:rPr>
                              <w:t>附图</w:t>
                            </w:r>
                            <w:r>
                              <w:rPr>
                                <w:rFonts w:hint="eastAsia"/>
                                <w:b/>
                                <w:bCs/>
                                <w:lang w:val="en-US" w:eastAsia="zh-CN"/>
                              </w:rPr>
                              <w:t>10</w:t>
                            </w:r>
                            <w:r>
                              <w:rPr>
                                <w:b/>
                                <w:bCs/>
                              </w:rPr>
                              <w:t xml:space="preserve">  </w:t>
                            </w:r>
                            <w:r>
                              <w:rPr>
                                <w:rFonts w:hint="eastAsia"/>
                                <w:b/>
                                <w:bCs/>
                                <w:lang w:val="en-US" w:eastAsia="zh-CN"/>
                              </w:rPr>
                              <w:t>石家庄装备制造产业园用地布局规划图</w:t>
                            </w:r>
                          </w:p>
                          <w:p>
                            <w:pPr>
                              <w:ind w:left="0" w:firstLineChars="0" w:firstLine="0"/>
                              <w:rPr>
                                <w:rFonts w:hint="eastAsia"/>
                                <w:b/>
                                <w:bCs/>
                                <w:lang w:val="en-US" w:eastAsia="zh-CN"/>
                              </w:rPr>
                            </w:pPr>
                          </w:p>
                          <w:p>
                            <w:pPr>
                              <w:ind w:left="0" w:firstLineChars="0" w:firstLine="0"/>
                              <w:rPr>
                                <w:rFonts w:hint="eastAsia"/>
                                <w:b/>
                                <w:bCs/>
                              </w:rPr>
                            </w:pPr>
                          </w:p>
                          <w:p>
                            <w:pPr>
                              <w:ind w:left="0" w:firstLineChars="0" w:firstLine="0"/>
                              <w:rPr>
                                <w:rFonts w:hint="eastAsia"/>
                                <w:b/>
                                <w:bCs/>
                              </w:rPr>
                            </w:pPr>
                          </w:p>
                          <w:p/>
                        </w:txbxContent>
                      </wps:txbx>
                      <wps:bodyPr vert="horz" wrap="square" lIns="91440" tIns="45720" rIns="91440" bIns="45720" anchor="t" anchorCtr="0" upright="0">
                        <a:noAutofit/>
                      </wps:bodyPr>
                    </wps:wsp>
                  </a:graphicData>
                </a:graphic>
              </wp:anchor>
            </w:drawing>
          </mc:Choice>
          <mc:Fallback>
            <w:pict>
              <v:rect type="#_x0000_t1" id="文本框 204" o:spid="_x0000_s616" filled="f" stroked="f" strokeweight="0.5pt" style="position:absolute;margin-left:187.75pt;margin-top:28.45pt;width:308.34998pt;height:24.149998pt;z-index:418;mso-position-horizontal:absolute;mso-position-vertical:absolute;mso-wrap-style:square;">
                <v:stroke/>
                <v:textbox id="1045" inset="2.54mm,1.27mm,2.54mm,1.27mm" o:insetmode="custom" style="layout-flow:horizontal;v-text-anchor:top;">
                  <w:txbxContent>
                    <w:p>
                      <w:pPr>
                        <w:ind w:left="0" w:firstLineChars="0" w:firstLine="0"/>
                        <w:rPr>
                          <w:rFonts w:hint="eastAsia"/>
                          <w:b/>
                          <w:bCs/>
                          <w:lang w:val="en-US" w:eastAsia="zh-CN"/>
                        </w:rPr>
                      </w:pPr>
                      <w:r>
                        <w:rPr>
                          <w:b/>
                          <w:bCs/>
                        </w:rPr>
                        <w:t>附图</w:t>
                      </w:r>
                      <w:r>
                        <w:rPr>
                          <w:rFonts w:hint="eastAsia"/>
                          <w:b/>
                          <w:bCs/>
                          <w:lang w:val="en-US" w:eastAsia="zh-CN"/>
                        </w:rPr>
                        <w:t>10</w:t>
                      </w:r>
                      <w:r>
                        <w:rPr>
                          <w:b/>
                          <w:bCs/>
                        </w:rPr>
                        <w:t xml:space="preserve">  </w:t>
                      </w:r>
                      <w:r>
                        <w:rPr>
                          <w:rFonts w:hint="eastAsia"/>
                          <w:b/>
                          <w:bCs/>
                          <w:lang w:val="en-US" w:eastAsia="zh-CN"/>
                        </w:rPr>
                        <w:t>石家庄装备制造产业园用地布局规划图</w:t>
                      </w:r>
                    </w:p>
                    <w:p>
                      <w:pPr>
                        <w:ind w:left="0" w:firstLineChars="0" w:firstLine="0"/>
                        <w:rPr>
                          <w:rFonts w:hint="eastAsia"/>
                          <w:b/>
                          <w:bCs/>
                          <w:lang w:val="en-US" w:eastAsia="zh-CN"/>
                        </w:rPr>
                      </w:pPr>
                    </w:p>
                    <w:p>
                      <w:pPr>
                        <w:ind w:left="0" w:firstLineChars="0" w:firstLine="0"/>
                        <w:rPr>
                          <w:rFonts w:hint="eastAsia"/>
                          <w:b/>
                          <w:bCs/>
                        </w:rPr>
                      </w:pPr>
                    </w:p>
                    <w:p>
                      <w:pPr>
                        <w:ind w:left="0" w:firstLineChars="0" w:firstLine="0"/>
                        <w:rPr>
                          <w:rFonts w:hint="eastAsia"/>
                          <w:b/>
                          <w:bCs/>
                        </w:rPr>
                      </w:pPr>
                    </w:p>
                    <w:p/>
                  </w:txbxContent>
                </v:textbox>
              </v:rect>
            </w:pict>
          </mc:Fallback>
        </mc:AlternateContent>
      </w:r>
    </w:p>
    <w:p>
      <w:pPr>
        <w:pStyle w:val="40"/>
        <w:ind w:left="0" w:right="0" w:firstLine="0"/>
        <w:jc w:val="both"/>
        <w:rPr>
          <w:color w:val="auto"/>
        </w:rPr>
      </w:pPr>
      <w:r>
        <w:rPr>
          <w:rFonts w:hint="eastAsia"/>
          <w:color w:val="auto"/>
        </w:rPr>
        <w:drawing>
          <wp:anchor distT="0" distB="0" distL="114300" distR="114300" simplePos="0" relativeHeight="420" behindDoc="0" locked="0" layoutInCell="1" hidden="0" allowOverlap="1">
            <wp:simplePos x="0" y="0"/>
            <wp:positionH relativeFrom="column">
              <wp:posOffset>7620</wp:posOffset>
            </wp:positionH>
            <wp:positionV relativeFrom="paragraph">
              <wp:posOffset>-116205</wp:posOffset>
            </wp:positionV>
            <wp:extent cx="8869680" cy="5827395"/>
            <wp:effectExtent l="0" t="0" r="7620" b="1905"/>
            <wp:wrapNone/>
            <wp:docPr id="1100" name="图片 13"/>
            <wp:cNvGraphicFramePr>
              <a:graphicFrameLocks noChangeAspect="1"/>
            </wp:cNvGraphicFramePr>
            <a:graphic>
              <a:graphicData uri="http://schemas.openxmlformats.org/drawingml/2006/picture">
                <pic:pic>
                  <pic:nvPicPr>
                    <pic:cNvPr id="618" name="图片 13 618"/>
                    <pic:cNvPicPr/>
                  </pic:nvPicPr>
                  <pic:blipFill>
                    <a:blip r:embed="rId79"/>
                    <a:stretch>
                      <a:fillRect/>
                    </a:stretch>
                  </pic:blipFill>
                  <pic:spPr>
                    <a:xfrm rot="0">
                      <a:off x="0" y="0"/>
                      <a:ext cx="8869680" cy="5827395"/>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sz w:val="24"/>
        </w:rPr>
        <mc:AlternateContent>
          <mc:Choice Requires="wps">
            <w:drawing>
              <wp:anchor distT="0" distB="0" distL="114300" distR="114300" simplePos="0" relativeHeight="430" behindDoc="0" locked="0" layoutInCell="1" hidden="0" allowOverlap="1">
                <wp:simplePos x="0" y="0"/>
                <wp:positionH relativeFrom="column">
                  <wp:posOffset>1089025</wp:posOffset>
                </wp:positionH>
                <wp:positionV relativeFrom="paragraph">
                  <wp:posOffset>108585</wp:posOffset>
                </wp:positionV>
                <wp:extent cx="613410" cy="273685"/>
                <wp:effectExtent l="6350" t="6350" r="8889" b="653415"/>
                <wp:wrapNone/>
                <wp:docPr id="88" name="矩形标注 88"/>
                <wp:cNvGraphicFramePr>
                  <a:graphicFrameLocks noChangeAspect="0"/>
                </wp:cNvGraphicFramePr>
                <a:graphic>
                  <a:graphicData uri="http://schemas.microsoft.com/office/word/2010/wordprocessingShape">
                    <wps:wsp>
                      <wps:cNvSpPr/>
                      <wps:spPr>
                        <a:xfrm rot="0">
                          <a:off x="0" y="0"/>
                          <a:ext cx="613410" cy="273685"/>
                        </a:xfrm>
                        <a:prstGeom prst="wedgeRectCallout">
                          <a:avLst>
                            <a:gd name="adj1" fmla="val -41921"/>
                            <a:gd name="adj2" fmla="val 265773"/>
                          </a:avLst>
                        </a:prstGeom>
                        <a:noFill/>
                        <a:ln w="9525" cmpd="sng" cap="flat">
                          <a:solidFill>
                            <a:srgbClr val="000000"/>
                          </a:solidFill>
                          <a:prstDash val="solid"/>
                          <a:round/>
                        </a:ln>
                      </wps:spPr>
                      <wps:txbx id="619">
                        <w:txbxContent>
                          <w:p>
                            <w:pPr>
                              <w:ind w:left="0" w:firstLineChars="0" w:firstLine="0"/>
                              <w:jc w:val="both"/>
                              <w:rPr>
                                <w:rFonts w:eastAsia="宋体"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wps:txbx>
                      <wps:bodyPr vert="horz" wrap="square" lIns="91440" tIns="45720" rIns="91440" bIns="45720" anchor="ctr" anchorCtr="0" upright="0">
                        <a:noAutofit/>
                      </wps:bodyPr>
                    </wps:wsp>
                  </a:graphicData>
                </a:graphic>
              </wp:anchor>
            </w:drawing>
          </mc:Choice>
          <mc:Fallback>
            <w:pict>
              <v:shape type="#_x0000_t61" id="矩形标注 88" o:spid="_x0000_s620" filled="f" stroked="t" adj="1745,68207" style="position:absolute;margin-left:85.75pt;margin-top:8.55pt;width:48.3pt;height:21.55pt;z-index:430;mso-position-horizontal:absolute;mso-position-vertical:absolute;mso-wrap-style:square;">
                <v:stroke color="#000000"/>
                <v:textbox id="1047" inset="2.54mm,1.27mm,2.54mm,1.27mm" o:insetmode="custom" style="layout-flow:horizontal;v-text-anchor:middle;">
                  <w:txbxContent>
                    <w:p>
                      <w:pPr>
                        <w:ind w:left="0" w:firstLineChars="0" w:firstLine="0"/>
                        <w:jc w:val="both"/>
                        <w:rPr>
                          <w:rFonts w:eastAsia="宋体" w:hint="eastAsia"/>
                          <w:b/>
                          <w:bCs/>
                          <w:color w:val="000000"/>
                          <w:sz w:val="21"/>
                          <w:szCs w:val="21"/>
                          <w14:textFill>
                            <w14:solidFill>
                              <w14:srgbClr w14:val="000000"/>
                            </w14:solidFill>
                          </w14:textFill>
                          <w:lang w:val="en-US" w:eastAsia="zh-CN"/>
                        </w:rPr>
                      </w:pPr>
                      <w:r>
                        <w:rPr>
                          <w:rFonts w:hint="eastAsia"/>
                          <w:b/>
                          <w:bCs/>
                          <w:color w:val="000000"/>
                          <w:sz w:val="21"/>
                          <w:szCs w:val="21"/>
                          <w14:textFill>
                            <w14:solidFill>
                              <w14:srgbClr w14:val="000000"/>
                            </w14:solidFill>
                          </w14:textFill>
                          <w:lang w:val="en-US" w:eastAsia="zh-CN"/>
                        </w:rPr>
                        <w:t>本项目</w:t>
                      </w:r>
                    </w:p>
                  </w:txbxContent>
                </v:textbox>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sz w:val="24"/>
        </w:rPr>
        <mc:AlternateContent>
          <mc:Choice Requires="wps">
            <w:drawing>
              <wp:anchor distT="0" distB="0" distL="114300" distR="114300" simplePos="0" relativeHeight="422" behindDoc="0" locked="0" layoutInCell="1" hidden="0" allowOverlap="1">
                <wp:simplePos x="0" y="0"/>
                <wp:positionH relativeFrom="column">
                  <wp:posOffset>2501900</wp:posOffset>
                </wp:positionH>
                <wp:positionV relativeFrom="paragraph">
                  <wp:posOffset>285750</wp:posOffset>
                </wp:positionV>
                <wp:extent cx="3916045" cy="306705"/>
                <wp:wrapNone/>
                <wp:docPr id="214" name="文本框 214"/>
                <wp:cNvGraphicFramePr>
                  <a:graphicFrameLocks noChangeAspect="0"/>
                </wp:cNvGraphicFramePr>
                <a:graphic>
                  <a:graphicData uri="http://schemas.microsoft.com/office/word/2010/wordprocessingShape">
                    <wps:wsp>
                      <wps:cNvSpPr/>
                      <wps:spPr>
                        <a:xfrm rot="0">
                          <a:off x="0" y="0"/>
                          <a:ext cx="3916045" cy="306705"/>
                        </a:xfrm>
                        <a:prstGeom prst="rect"/>
                        <a:noFill/>
                        <a:ln w="6350" cmpd="sng" cap="flat">
                          <a:noFill/>
                          <a:prstDash val="solid"/>
                          <a:round/>
                        </a:ln>
                      </wps:spPr>
                      <wps:txbx id="621">
                        <w:txbxContent>
                          <w:p>
                            <w:pPr>
                              <w:ind w:left="0" w:firstLineChars="0" w:firstLine="0"/>
                              <w:rPr>
                                <w:rFonts w:hint="eastAsia"/>
                                <w:b/>
                                <w:bCs/>
                                <w:lang w:val="en-US" w:eastAsia="zh-CN"/>
                              </w:rPr>
                            </w:pPr>
                            <w:r>
                              <w:rPr>
                                <w:b/>
                                <w:bCs/>
                              </w:rPr>
                              <w:t>附图</w:t>
                            </w:r>
                            <w:r>
                              <w:rPr>
                                <w:rFonts w:hint="eastAsia"/>
                                <w:b/>
                                <w:bCs/>
                                <w:lang w:val="en-US" w:eastAsia="zh-CN"/>
                              </w:rPr>
                              <w:t>11</w:t>
                            </w:r>
                            <w:r>
                              <w:rPr>
                                <w:b/>
                                <w:bCs/>
                              </w:rPr>
                              <w:t xml:space="preserve">  </w:t>
                            </w:r>
                            <w:r>
                              <w:rPr>
                                <w:rFonts w:hint="eastAsia"/>
                                <w:b/>
                                <w:bCs/>
                                <w:lang w:val="en-US" w:eastAsia="zh-CN"/>
                              </w:rPr>
                              <w:t>石家庄装备制造产业园产业布局指引图</w:t>
                            </w:r>
                          </w:p>
                          <w:p>
                            <w:pPr>
                              <w:ind w:left="0" w:firstLineChars="0" w:firstLine="0"/>
                              <w:rPr>
                                <w:rFonts w:hint="eastAsia"/>
                                <w:b/>
                                <w:bCs/>
                                <w:lang w:val="en-US" w:eastAsia="zh-CN"/>
                              </w:rPr>
                            </w:pPr>
                          </w:p>
                          <w:p>
                            <w:pPr>
                              <w:ind w:left="0" w:firstLineChars="0" w:firstLine="0"/>
                              <w:rPr>
                                <w:rFonts w:hint="eastAsia"/>
                                <w:b/>
                                <w:bCs/>
                                <w:lang w:val="en-US" w:eastAsia="zh-CN"/>
                              </w:rPr>
                            </w:pPr>
                          </w:p>
                          <w:p>
                            <w:pPr>
                              <w:ind w:left="0" w:firstLineChars="0" w:firstLine="0"/>
                              <w:rPr>
                                <w:rFonts w:hint="eastAsia"/>
                                <w:b/>
                                <w:bCs/>
                              </w:rPr>
                            </w:pPr>
                          </w:p>
                          <w:p>
                            <w:pPr>
                              <w:ind w:left="0" w:firstLineChars="0" w:firstLine="0"/>
                              <w:rPr>
                                <w:rFonts w:hint="eastAsia"/>
                                <w:b/>
                                <w:bCs/>
                              </w:rPr>
                            </w:pPr>
                          </w:p>
                          <w:p/>
                        </w:txbxContent>
                      </wps:txbx>
                      <wps:bodyPr vert="horz" wrap="square" lIns="91440" tIns="45720" rIns="91440" bIns="45720" anchor="t" anchorCtr="0" upright="0">
                        <a:noAutofit/>
                      </wps:bodyPr>
                    </wps:wsp>
                  </a:graphicData>
                </a:graphic>
              </wp:anchor>
            </w:drawing>
          </mc:Choice>
          <mc:Fallback>
            <w:pict>
              <v:rect type="#_x0000_t1" id="文本框 214" o:spid="_x0000_s622" filled="f" stroked="f" strokeweight="0.5pt" style="position:absolute;margin-left:197.00002pt;margin-top:22.5pt;width:308.35pt;height:24.15pt;z-index:422;mso-position-horizontal:absolute;mso-position-vertical:absolute;mso-wrap-style:square;">
                <v:stroke/>
                <v:textbox id="1048" inset="2.54mm,1.27mm,2.54mm,1.27mm" o:insetmode="custom" style="layout-flow:horizontal;v-text-anchor:top;">
                  <w:txbxContent>
                    <w:p>
                      <w:pPr>
                        <w:ind w:left="0" w:firstLineChars="0" w:firstLine="0"/>
                        <w:rPr>
                          <w:rFonts w:hint="eastAsia"/>
                          <w:b/>
                          <w:bCs/>
                          <w:lang w:val="en-US" w:eastAsia="zh-CN"/>
                        </w:rPr>
                      </w:pPr>
                      <w:r>
                        <w:rPr>
                          <w:b/>
                          <w:bCs/>
                        </w:rPr>
                        <w:t>附图</w:t>
                      </w:r>
                      <w:r>
                        <w:rPr>
                          <w:rFonts w:hint="eastAsia"/>
                          <w:b/>
                          <w:bCs/>
                          <w:lang w:val="en-US" w:eastAsia="zh-CN"/>
                        </w:rPr>
                        <w:t>11</w:t>
                      </w:r>
                      <w:r>
                        <w:rPr>
                          <w:b/>
                          <w:bCs/>
                        </w:rPr>
                        <w:t xml:space="preserve">  </w:t>
                      </w:r>
                      <w:r>
                        <w:rPr>
                          <w:rFonts w:hint="eastAsia"/>
                          <w:b/>
                          <w:bCs/>
                          <w:lang w:val="en-US" w:eastAsia="zh-CN"/>
                        </w:rPr>
                        <w:t>石家庄装备制造产业园产业布局指引图</w:t>
                      </w:r>
                    </w:p>
                    <w:p>
                      <w:pPr>
                        <w:ind w:left="0" w:firstLineChars="0" w:firstLine="0"/>
                        <w:rPr>
                          <w:rFonts w:hint="eastAsia"/>
                          <w:b/>
                          <w:bCs/>
                          <w:lang w:val="en-US" w:eastAsia="zh-CN"/>
                        </w:rPr>
                      </w:pPr>
                    </w:p>
                    <w:p>
                      <w:pPr>
                        <w:ind w:left="0" w:firstLineChars="0" w:firstLine="0"/>
                        <w:rPr>
                          <w:rFonts w:hint="eastAsia"/>
                          <w:b/>
                          <w:bCs/>
                          <w:lang w:val="en-US" w:eastAsia="zh-CN"/>
                        </w:rPr>
                      </w:pPr>
                    </w:p>
                    <w:p>
                      <w:pPr>
                        <w:ind w:left="0" w:firstLineChars="0" w:firstLine="0"/>
                        <w:rPr>
                          <w:rFonts w:hint="eastAsia"/>
                          <w:b/>
                          <w:bCs/>
                        </w:rPr>
                      </w:pPr>
                    </w:p>
                    <w:p>
                      <w:pPr>
                        <w:ind w:left="0" w:firstLineChars="0" w:firstLine="0"/>
                        <w:rPr>
                          <w:rFonts w:hint="eastAsia"/>
                          <w:b/>
                          <w:bCs/>
                        </w:rPr>
                      </w:pPr>
                    </w:p>
                    <w:p/>
                  </w:txbxContent>
                </v:textbox>
              </v:rect>
            </w:pict>
          </mc:Fallback>
        </mc:AlternateContent>
      </w:r>
    </w:p>
    <w:p>
      <w:pPr>
        <w:pStyle w:val="40"/>
        <w:ind w:left="0" w:right="0" w:firstLine="0"/>
        <w:jc w:val="both"/>
        <w:rPr>
          <w:color w:val="auto"/>
        </w:rPr>
      </w:pPr>
      <w:r>
        <w:rPr>
          <w:rFonts w:hint="eastAsia"/>
          <w:color w:val="auto"/>
          <w:lang w:val="en-US" w:eastAsia="zh-CN"/>
        </w:rPr>
        <w:drawing>
          <wp:anchor distT="0" distB="0" distL="114300" distR="114300" simplePos="0" relativeHeight="424" behindDoc="0" locked="0" layoutInCell="1" hidden="0" allowOverlap="1">
            <wp:simplePos x="0" y="0"/>
            <wp:positionH relativeFrom="column">
              <wp:posOffset>-120650</wp:posOffset>
            </wp:positionH>
            <wp:positionV relativeFrom="paragraph">
              <wp:posOffset>85725</wp:posOffset>
            </wp:positionV>
            <wp:extent cx="9111615" cy="5146040"/>
            <wp:effectExtent l="0" t="0" r="13335" b="16510"/>
            <wp:wrapNone/>
            <wp:docPr id="1101" name="图片 1101" descr="栾城沙化区"/>
            <wp:cNvGraphicFramePr>
              <a:graphicFrameLocks noChangeAspect="1"/>
            </wp:cNvGraphicFramePr>
            <a:graphic>
              <a:graphicData uri="http://schemas.openxmlformats.org/drawingml/2006/picture">
                <pic:pic>
                  <pic:nvPicPr>
                    <pic:cNvPr id="624" name="图片 624"/>
                    <pic:cNvPicPr/>
                  </pic:nvPicPr>
                  <pic:blipFill>
                    <a:blip r:embed="rId80"/>
                    <a:stretch>
                      <a:fillRect/>
                    </a:stretch>
                  </pic:blipFill>
                  <pic:spPr>
                    <a:xfrm rot="0">
                      <a:off x="0" y="0"/>
                      <a:ext cx="9111615" cy="5146040"/>
                    </a:xfrm>
                    <a:prstGeom prst="rect"/>
                    <a:noFill/>
                    <a:ln w="9525" cmpd="sng" cap="flat">
                      <a:noFill/>
                      <a:prstDash val="solid"/>
                      <a:miter/>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highlight w:val="none"/>
        </w:rPr>
        <mc:AlternateContent>
          <mc:Choice Requires="wps">
            <w:drawing>
              <wp:anchor distT="0" distB="0" distL="114300" distR="114300" simplePos="0" relativeHeight="434" behindDoc="0" locked="0" layoutInCell="1" hidden="0" allowOverlap="1">
                <wp:simplePos x="0" y="0"/>
                <wp:positionH relativeFrom="column">
                  <wp:posOffset>3296920</wp:posOffset>
                </wp:positionH>
                <wp:positionV relativeFrom="paragraph">
                  <wp:posOffset>132714</wp:posOffset>
                </wp:positionV>
                <wp:extent cx="80645" cy="91439"/>
                <wp:effectExtent l="12700" t="18415" r="20955" b="23495"/>
                <wp:wrapNone/>
                <wp:docPr id="162" name="五角星 291"/>
                <wp:cNvGraphicFramePr>
                  <a:graphicFrameLocks noChangeAspect="0"/>
                </wp:cNvGraphicFramePr>
                <a:graphic>
                  <a:graphicData uri="http://schemas.microsoft.com/office/word/2010/wordprocessingShape">
                    <wps:wsp>
                      <wps:cNvSpPr/>
                      <wps:spPr>
                        <a:xfrm rot="0">
                          <a:off x="0" y="0"/>
                          <a:ext cx="80645" cy="91439"/>
                        </a:xfrm>
                        <a:prstGeom prst="star5">
                          <a:avLst>
                            <a:gd name="adj" fmla="val 19100"/>
                            <a:gd name="hf" fmla="val 105146"/>
                            <a:gd name="vf" fmla="val 110557"/>
                          </a:avLst>
                        </a:prstGeom>
                        <a:solidFill>
                          <a:srgbClr val="FF0000"/>
                        </a:solidFill>
                        <a:ln w="9525" cmpd="sng" cap="flat">
                          <a:solidFill>
                            <a:srgbClr val="FF0000"/>
                          </a:solidFill>
                          <a:prstDash val="solid"/>
                          <a:miter/>
                        </a:ln>
                      </wps:spPr>
                      <wps:bodyPr vert="horz" wrap="square" lIns="91440" tIns="45720" rIns="91440" bIns="45720" anchor="t" anchorCtr="0" upright="1">
                        <a:noAutofit/>
                      </wps:bodyPr>
                    </wps:wsp>
                  </a:graphicData>
                </a:graphic>
              </wp:anchor>
            </w:drawing>
          </mc:Choice>
          <mc:Fallback>
            <w:pict>
              <v:shape type="#_x0000_t12" id="五角星 291" o:spid="_x0000_s625" fillcolor="#FF0000" stroked="t" adj="1910" style="position:absolute;margin-left:259.6pt;margin-top:10.45pt;width:6.350006pt;height:7.1999993pt;z-index:434;mso-position-horizontal:absolute;mso-position-vertical:absolute;">
                <v:stroke color="#FF0000"/>
              </v:shape>
            </w:pict>
          </mc:Fallback>
        </mc:AlternateContent>
      </w:r>
    </w:p>
    <w:p>
      <w:pPr>
        <w:pStyle w:val="40"/>
        <w:ind w:left="0" w:right="0" w:firstLine="0"/>
        <w:jc w:val="both"/>
        <w:rPr>
          <w:color w:val="auto"/>
        </w:rPr>
      </w:pPr>
    </w:p>
    <w:p>
      <w:pPr>
        <w:pStyle w:val="40"/>
        <w:ind w:left="0" w:right="0" w:firstLine="0"/>
        <w:jc w:val="both"/>
        <w:rPr>
          <w:color w:val="auto"/>
        </w:rPr>
      </w:pPr>
      <w:r>
        <w:rPr>
          <w:color w:val="auto"/>
          <w:highlight w:val="none"/>
        </w:rPr>
        <mc:AlternateContent>
          <mc:Choice Requires="wps">
            <w:drawing>
              <wp:anchor distT="0" distB="0" distL="114300" distR="114300" simplePos="0" relativeHeight="432" behindDoc="0" locked="0" layoutInCell="1" hidden="0" allowOverlap="1">
                <wp:simplePos x="0" y="0"/>
                <wp:positionH relativeFrom="column">
                  <wp:posOffset>2004060</wp:posOffset>
                </wp:positionH>
                <wp:positionV relativeFrom="paragraph">
                  <wp:posOffset>80645</wp:posOffset>
                </wp:positionV>
                <wp:extent cx="1009650" cy="298450"/>
                <wp:effectExtent l="9525" t="236220" r="295275" b="17779"/>
                <wp:wrapNone/>
                <wp:docPr id="161" name="矩形标注 292"/>
                <wp:cNvGraphicFramePr>
                  <a:graphicFrameLocks noChangeAspect="0"/>
                </wp:cNvGraphicFramePr>
                <a:graphic>
                  <a:graphicData uri="http://schemas.microsoft.com/office/word/2010/wordprocessingShape">
                    <wps:wsp>
                      <wps:cNvSpPr/>
                      <wps:spPr>
                        <a:xfrm rot="0">
                          <a:off x="0" y="0"/>
                          <a:ext cx="1009650" cy="298450"/>
                        </a:xfrm>
                        <a:prstGeom prst="wedgeRectCallout">
                          <a:avLst>
                            <a:gd name="adj1" fmla="val 72134"/>
                            <a:gd name="adj2" fmla="val -118509"/>
                          </a:avLst>
                        </a:prstGeom>
                        <a:solidFill>
                          <a:srgbClr val="FFFF00"/>
                        </a:solidFill>
                        <a:ln w="19050" cmpd="sng" cap="flat">
                          <a:solidFill>
                            <a:srgbClr val="000000"/>
                          </a:solidFill>
                          <a:prstDash val="solid"/>
                          <a:miter/>
                        </a:ln>
                      </wps:spPr>
                      <wps:txbx id="626">
                        <w:txbxContent>
                          <w:p>
                            <w:pPr>
                              <w:ind w:left="0" w:firstLineChars="0" w:firstLine="0"/>
                              <w:rPr>
                                <w:rFonts w:hint="eastAsia"/>
                                <w:b/>
                                <w:bCs/>
                                <w:sz w:val="21"/>
                                <w:szCs w:val="21"/>
                              </w:rPr>
                            </w:pPr>
                            <w:r>
                              <w:rPr>
                                <w:rFonts w:ascii="宋体" w:eastAsia="宋体" w:cs="宋体" w:hAnsi="宋体" w:hint="eastAsia"/>
                                <w:b/>
                                <w:bCs/>
                                <w:color w:val="FF0000"/>
                                <w:sz w:val="21"/>
                                <w:szCs w:val="21"/>
                              </w:rPr>
                              <w:t>本项目所在地</w:t>
                            </w:r>
                          </w:p>
                        </w:txbxContent>
                      </wps:txbx>
                      <wps:bodyPr vert="horz" wrap="square" lIns="91440" tIns="45720" rIns="91440" bIns="45720" anchor="t" anchorCtr="0" upright="1">
                        <a:noAutofit/>
                      </wps:bodyPr>
                    </wps:wsp>
                  </a:graphicData>
                </a:graphic>
              </wp:anchor>
            </w:drawing>
          </mc:Choice>
          <mc:Fallback>
            <w:pict>
              <v:shape type="#_x0000_t61" id="矩形标注 292" o:spid="_x0000_s627" fillcolor="#FFFF00" stroked="t" strokeweight="1.5pt" adj="26381,-14798" style="position:absolute;margin-left:157.8pt;margin-top:6.3500004pt;width:79.50001pt;height:23.500002pt;z-index:432;mso-position-horizontal:absolute;mso-position-vertical:absolute;mso-wrap-style:square;">
                <v:stroke color="#000000"/>
                <v:textbox id="1050" inset="2.54mm,1.27mm,2.54mm,1.27mm" o:insetmode="custom" style="layout-flow:horizontal;v-text-anchor:top;">
                  <w:txbxContent>
                    <w:p>
                      <w:pPr>
                        <w:ind w:left="0" w:firstLineChars="0" w:firstLine="0"/>
                        <w:rPr>
                          <w:rFonts w:hint="eastAsia"/>
                          <w:b/>
                          <w:bCs/>
                          <w:sz w:val="21"/>
                          <w:szCs w:val="21"/>
                        </w:rPr>
                      </w:pPr>
                      <w:r>
                        <w:rPr>
                          <w:rFonts w:ascii="宋体" w:eastAsia="宋体" w:cs="宋体" w:hAnsi="宋体" w:hint="eastAsia"/>
                          <w:b/>
                          <w:bCs/>
                          <w:color w:val="FF0000"/>
                          <w:sz w:val="21"/>
                          <w:szCs w:val="21"/>
                        </w:rPr>
                        <w:t>本项目所在地</w:t>
                      </w:r>
                    </w:p>
                  </w:txbxContent>
                </v:textbox>
              </v:shape>
            </w:pict>
          </mc:Fallback>
        </mc:AlternateContent>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center"/>
        <w:rPr>
          <w:rFonts w:hint="eastAsia"/>
          <w:color w:val="auto"/>
          <w:lang w:val="en-US" w:eastAsia="zh-CN"/>
        </w:rPr>
      </w:pPr>
      <w:r>
        <w:rPr>
          <w:rFonts w:hint="eastAsia"/>
          <w:color w:val="auto"/>
          <w:lang w:val="en-US" w:eastAsia="zh-CN"/>
        </w:rPr>
        <w:t>附图12  栾城区沙化土地分布图</w:t>
      </w:r>
    </w:p>
    <w:p>
      <w:pPr>
        <w:pStyle w:val="40"/>
        <w:ind w:left="0" w:right="0" w:firstLine="0"/>
        <w:jc w:val="center"/>
        <w:rPr>
          <w:color w:val="auto"/>
        </w:rPr>
      </w:pPr>
    </w:p>
    <w:p>
      <w:pPr>
        <w:pStyle w:val="40"/>
        <w:ind w:left="0" w:right="0" w:firstLine="0"/>
        <w:jc w:val="both"/>
        <w:rPr>
          <w:color w:val="auto"/>
        </w:rPr>
      </w:pPr>
      <w:r>
        <w:rPr>
          <w:rFonts w:hint="eastAsia"/>
          <w:color w:val="auto"/>
          <w:lang w:val="zh-CN"/>
        </w:rPr>
        <w:drawing>
          <wp:inline distT="0" distB="0" distL="114300" distR="114300">
            <wp:extent cx="9147810" cy="5477509"/>
            <wp:effectExtent l="0" t="1" r="0" b="2"/>
            <wp:docPr id="1102" name="图片 1102" descr="加南车路区划修改定稿 20200922"/>
            <wp:cNvGraphicFramePr>
              <a:graphicFrameLocks noChangeAspect="1"/>
            </wp:cNvGraphicFramePr>
            <a:graphic>
              <a:graphicData uri="http://schemas.openxmlformats.org/drawingml/2006/picture">
                <pic:pic>
                  <pic:nvPicPr>
                    <pic:cNvPr id="629" name="图片 629"/>
                    <pic:cNvPicPr/>
                  </pic:nvPicPr>
                  <pic:blipFill>
                    <a:blip r:embed="rId81"/>
                    <a:stretch>
                      <a:fillRect/>
                    </a:stretch>
                  </pic:blipFill>
                  <pic:spPr>
                    <a:xfrm rot="0">
                      <a:off x="0" y="0"/>
                      <a:ext cx="9147810" cy="5477509"/>
                    </a:xfrm>
                    <a:prstGeom prst="rect"/>
                    <a:solidFill>
                      <a:srgbClr val="FF0000"/>
                    </a:solidFill>
                    <a:ln cmpd="sng" cap="flat">
                      <a:noFill/>
                      <a:prstDash val="solid"/>
                      <a:round/>
                    </a:ln>
                  </pic:spPr>
                </pic:pic>
              </a:graphicData>
            </a:graphic>
          </wp:inline>
        </w:drawing>
      </w:r>
      <w:r>
        <w:rPr>
          <w:rFonts w:hint="eastAsia"/>
          <w:color w:val="auto"/>
          <w:lang w:val="zh-CN"/>
        </w:rPr>
        <mc:AlternateContent>
          <mc:Choice Requires="wps">
            <w:drawing>
              <wp:anchor distT="0" distB="0" distL="114300" distR="114300" simplePos="0" relativeHeight="436" behindDoc="0" locked="0" layoutInCell="1" hidden="0" allowOverlap="1">
                <wp:simplePos x="0" y="0"/>
                <wp:positionH relativeFrom="column">
                  <wp:posOffset>1555750</wp:posOffset>
                </wp:positionH>
                <wp:positionV relativeFrom="paragraph">
                  <wp:posOffset>1998345</wp:posOffset>
                </wp:positionV>
                <wp:extent cx="874395" cy="299084"/>
                <wp:effectExtent l="24129" t="4444" r="15875" b="477519"/>
                <wp:wrapNone/>
                <wp:docPr id="166" name="矩形标注 166"/>
                <wp:cNvGraphicFramePr>
                  <a:graphicFrameLocks noChangeAspect="0"/>
                </wp:cNvGraphicFramePr>
                <a:graphic>
                  <a:graphicData uri="http://schemas.microsoft.com/office/word/2010/wordprocessingShape">
                    <wps:wsp>
                      <wps:cNvSpPr/>
                      <wps:spPr>
                        <a:xfrm rot="0">
                          <a:off x="0" y="0"/>
                          <a:ext cx="874395" cy="299084"/>
                        </a:xfrm>
                        <a:prstGeom prst="wedgeRectCallout">
                          <a:avLst>
                            <a:gd name="adj1" fmla="val -51231"/>
                            <a:gd name="adj2" fmla="val 195856"/>
                          </a:avLst>
                        </a:prstGeom>
                        <a:solidFill>
                          <a:srgbClr val="FFFFFF"/>
                        </a:solidFill>
                        <a:ln w="9525" cmpd="sng" cap="flat">
                          <a:solidFill>
                            <a:srgbClr val="000000"/>
                          </a:solidFill>
                          <a:prstDash val="solid"/>
                          <a:miter/>
                        </a:ln>
                      </wps:spPr>
                      <wps:txbx id="630">
                        <w:txbxContent>
                          <w:p>
                            <w:pPr>
                              <w:ind w:left="0" w:firstLineChars="0" w:firstLine="0"/>
                              <w:rPr>
                                <w:rFonts w:eastAsia="微软雅黑" w:hint="eastAsia"/>
                                <w:lang w:eastAsia="zh-CN"/>
                              </w:rPr>
                            </w:pPr>
                            <w:r>
                              <w:rPr>
                                <w:rFonts w:hint="eastAsia"/>
                                <w:lang w:eastAsia="zh-CN"/>
                              </w:rPr>
                              <w:t>项目位置</w:t>
                            </w:r>
                          </w:p>
                        </w:txbxContent>
                      </wps:txbx>
                      <wps:bodyPr vert="horz" wrap="square" lIns="91440" tIns="45720" rIns="91440" bIns="45720" anchor="t" anchorCtr="0" upright="1">
                        <a:noAutofit/>
                      </wps:bodyPr>
                    </wps:wsp>
                  </a:graphicData>
                </a:graphic>
              </wp:anchor>
            </w:drawing>
          </mc:Choice>
          <mc:Fallback>
            <w:pict>
              <v:shape type="#_x0000_t61" id="矩形标注 166" o:spid="_x0000_s631" fillcolor="#FFFFFF" stroked="t" adj="-266,53105" style="position:absolute;margin-left:122.50001pt;margin-top:157.35pt;width:68.85pt;height:23.549995pt;z-index:436;mso-position-horizontal:absolute;mso-position-vertical:absolute;mso-wrap-style:square;">
                <v:stroke color="#000000"/>
                <v:textbox id="1052" inset="2.54mm,1.27mm,2.54mm,1.27mm" o:insetmode="custom" style="layout-flow:horizontal;v-text-anchor:top;">
                  <w:txbxContent>
                    <w:p>
                      <w:pPr>
                        <w:ind w:left="0" w:firstLineChars="0" w:firstLine="0"/>
                        <w:rPr>
                          <w:rFonts w:eastAsia="微软雅黑" w:hint="eastAsia"/>
                          <w:lang w:eastAsia="zh-CN"/>
                        </w:rPr>
                      </w:pPr>
                      <w:r>
                        <w:rPr>
                          <w:rFonts w:hint="eastAsia"/>
                          <w:lang w:eastAsia="zh-CN"/>
                        </w:rPr>
                        <w:t>项目位置</w:t>
                      </w:r>
                    </w:p>
                  </w:txbxContent>
                </v:textbox>
              </v:shape>
            </w:pict>
          </mc:Fallback>
        </mc:AlternateContent>
      </w:r>
    </w:p>
    <w:p>
      <w:pPr>
        <w:pStyle w:val="40"/>
        <w:ind w:left="0" w:right="0" w:firstLine="0"/>
        <w:jc w:val="center"/>
        <w:rPr>
          <w:rFonts w:ascii="Times New Roman" w:eastAsia="宋体" w:cs="Times New Roman" w:hAnsi="Times New Roman" w:hint="eastAsia"/>
          <w:b/>
          <w:color w:val="auto"/>
          <w:kern w:val="2"/>
          <w:sz w:val="24"/>
          <w:szCs w:val="21"/>
          <w:lang w:val="en-US" w:eastAsia="zh-CN" w:bidi="ar-SA"/>
        </w:rPr>
      </w:pPr>
      <w:r>
        <w:rPr>
          <w:rFonts w:ascii="Times New Roman" w:eastAsia="宋体" w:cs="Times New Roman" w:hAnsi="Times New Roman" w:hint="eastAsia"/>
          <w:b/>
          <w:color w:val="auto"/>
          <w:kern w:val="2"/>
          <w:sz w:val="24"/>
          <w:szCs w:val="21"/>
          <w:lang w:val="en-US" w:eastAsia="zh-CN" w:bidi="ar-SA"/>
        </w:rPr>
        <w:t>附图1</w:t>
      </w:r>
      <w:r>
        <w:rPr>
          <w:rFonts w:eastAsia="宋体" w:cs="Times New Roman" w:hint="eastAsia"/>
          <w:b/>
          <w:color w:val="auto"/>
          <w:kern w:val="2"/>
          <w:sz w:val="24"/>
          <w:szCs w:val="21"/>
          <w:lang w:val="en-US" w:eastAsia="zh-CN" w:bidi="ar-SA"/>
        </w:rPr>
        <w:t>3</w:t>
      </w:r>
      <w:r>
        <w:rPr>
          <w:rFonts w:ascii="Times New Roman" w:eastAsia="宋体" w:cs="Times New Roman" w:hAnsi="Times New Roman" w:hint="eastAsia"/>
          <w:b/>
          <w:color w:val="auto"/>
          <w:kern w:val="2"/>
          <w:sz w:val="24"/>
          <w:szCs w:val="21"/>
          <w:lang w:val="en-US" w:eastAsia="zh-CN" w:bidi="ar-SA"/>
        </w:rPr>
        <w:t xml:space="preserve">  石家庄市栾城区声环境功能区划图</w:t>
      </w:r>
    </w:p>
    <w:p>
      <w:pPr>
        <w:pStyle w:val="40"/>
        <w:ind w:left="0" w:right="0" w:firstLine="0"/>
        <w:jc w:val="both"/>
        <w:rPr>
          <w:color w:val="auto"/>
        </w:rPr>
      </w:pPr>
      <w:r>
        <w:rPr>
          <w:rFonts w:hint="eastAsia"/>
          <w:color w:val="auto"/>
          <w:lang w:eastAsia="zh-CN"/>
        </w:rPr>
        <w:drawing>
          <wp:anchor distT="0" distB="0" distL="114300" distR="114300" simplePos="0" relativeHeight="438" behindDoc="0" locked="0" layoutInCell="1" hidden="0" allowOverlap="1">
            <wp:simplePos x="0" y="0"/>
            <wp:positionH relativeFrom="column">
              <wp:posOffset>-447675</wp:posOffset>
            </wp:positionH>
            <wp:positionV relativeFrom="paragraph">
              <wp:posOffset>-800100</wp:posOffset>
            </wp:positionV>
            <wp:extent cx="9761855" cy="6843395"/>
            <wp:effectExtent l="0" t="0" r="10795" b="14604"/>
            <wp:wrapNone/>
            <wp:docPr id="1103" name="图片 1103" descr="12营业执照"/>
            <wp:cNvGraphicFramePr>
              <a:graphicFrameLocks noChangeAspect="1"/>
            </wp:cNvGraphicFramePr>
            <a:graphic>
              <a:graphicData uri="http://schemas.openxmlformats.org/drawingml/2006/picture">
                <pic:pic>
                  <pic:nvPicPr>
                    <pic:cNvPr id="633" name="图片 633"/>
                    <pic:cNvPicPr/>
                  </pic:nvPicPr>
                  <pic:blipFill>
                    <a:blip r:embed="rId82"/>
                    <a:stretch>
                      <a:fillRect/>
                    </a:stretch>
                  </pic:blipFill>
                  <pic:spPr>
                    <a:xfrm rot="0">
                      <a:off x="0" y="0"/>
                      <a:ext cx="9761855" cy="6843395"/>
                    </a:xfrm>
                    <a:prstGeom prst="rect"/>
                    <a:noFill/>
                    <a:ln w="9525" cmpd="sng" cap="flat">
                      <a:noFill/>
                      <a:prstDash val="solid"/>
                      <a:miter/>
                    </a:ln>
                  </pic:spPr>
                </pic:pic>
              </a:graphicData>
            </a:graphic>
          </wp:anchor>
        </w:drawing>
      </w:r>
    </w:p>
    <w:p>
      <w:pPr>
        <w:pStyle w:val="40"/>
        <w:ind w:left="0" w:right="0" w:firstLine="0"/>
        <w:jc w:val="both"/>
        <w:rPr>
          <w:rFonts w:eastAsia="宋体" w:hint="eastAsia"/>
          <w:color w:val="auto"/>
          <w:lang w:eastAsia="zh-CN"/>
        </w:rPr>
        <w:sectPr>
          <w:pgSz w:w="16838" w:h="11906" w:orient="landscape"/>
          <w:pgMar w:top="1417" w:right="1417" w:bottom="1417" w:left="1417" w:header="851" w:footer="850" w:gutter="0"/>
          <w:cols w:num="1" w:space="0"/>
          <w:rtlGutter/>
          <w:docGrid w:linePitch="312" w:charSpace="0"/>
        </w:sectPr>
      </w:pPr>
    </w:p>
    <w:p>
      <w:pPr>
        <w:pStyle w:val="40"/>
        <w:ind w:left="0" w:right="0" w:firstLine="0"/>
        <w:jc w:val="both"/>
        <w:rPr>
          <w:color w:val="auto"/>
        </w:rPr>
      </w:pPr>
      <w:r>
        <w:rPr>
          <w:color w:val="auto"/>
        </w:rPr>
        <w:drawing>
          <wp:anchor distT="0" distB="0" distL="114300" distR="114300" simplePos="0" relativeHeight="440" behindDoc="0" locked="0" layoutInCell="1" hidden="0" allowOverlap="1">
            <wp:simplePos x="0" y="0"/>
            <wp:positionH relativeFrom="column">
              <wp:posOffset>-561975</wp:posOffset>
            </wp:positionH>
            <wp:positionV relativeFrom="paragraph">
              <wp:posOffset>-657225</wp:posOffset>
            </wp:positionV>
            <wp:extent cx="7040880" cy="9535159"/>
            <wp:effectExtent l="0" t="0" r="7620" b="8889"/>
            <wp:wrapNone/>
            <wp:docPr id="1104" name="图片 12"/>
            <wp:cNvGraphicFramePr>
              <a:graphicFrameLocks noChangeAspect="1"/>
            </wp:cNvGraphicFramePr>
            <a:graphic>
              <a:graphicData uri="http://schemas.openxmlformats.org/drawingml/2006/picture">
                <pic:pic>
                  <pic:nvPicPr>
                    <pic:cNvPr id="635" name="图片 12 635"/>
                    <pic:cNvPicPr/>
                  </pic:nvPicPr>
                  <pic:blipFill>
                    <a:blip r:embed="rId83"/>
                    <a:stretch>
                      <a:fillRect/>
                    </a:stretch>
                  </pic:blipFill>
                  <pic:spPr>
                    <a:xfrm rot="0">
                      <a:off x="0" y="0"/>
                      <a:ext cx="7040880" cy="9535159"/>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rPr>
        <w:drawing>
          <wp:anchor distT="0" distB="0" distL="114300" distR="114300" simplePos="0" relativeHeight="442" behindDoc="0" locked="0" layoutInCell="1" hidden="0" allowOverlap="1">
            <wp:simplePos x="0" y="0"/>
            <wp:positionH relativeFrom="column">
              <wp:posOffset>-762000</wp:posOffset>
            </wp:positionH>
            <wp:positionV relativeFrom="paragraph">
              <wp:posOffset>-819150</wp:posOffset>
            </wp:positionV>
            <wp:extent cx="7128510" cy="10067925"/>
            <wp:effectExtent l="0" t="0" r="15240" b="9525"/>
            <wp:wrapNone/>
            <wp:docPr id="1105" name="图片 13"/>
            <wp:cNvGraphicFramePr>
              <a:graphicFrameLocks noChangeAspect="1"/>
            </wp:cNvGraphicFramePr>
            <a:graphic>
              <a:graphicData uri="http://schemas.openxmlformats.org/drawingml/2006/picture">
                <pic:pic>
                  <pic:nvPicPr>
                    <pic:cNvPr id="637" name="图片 13 637"/>
                    <pic:cNvPicPr/>
                  </pic:nvPicPr>
                  <pic:blipFill>
                    <a:blip r:embed="rId84"/>
                    <a:stretch>
                      <a:fillRect/>
                    </a:stretch>
                  </pic:blipFill>
                  <pic:spPr>
                    <a:xfrm rot="0">
                      <a:off x="0" y="0"/>
                      <a:ext cx="7128510" cy="10067925"/>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rPr>
        <w:drawing>
          <wp:anchor distT="0" distB="0" distL="114300" distR="114300" simplePos="0" relativeHeight="444" behindDoc="0" locked="0" layoutInCell="1" hidden="0" allowOverlap="1">
            <wp:simplePos x="0" y="0"/>
            <wp:positionH relativeFrom="column">
              <wp:posOffset>-733425</wp:posOffset>
            </wp:positionH>
            <wp:positionV relativeFrom="paragraph">
              <wp:posOffset>-714375</wp:posOffset>
            </wp:positionV>
            <wp:extent cx="7188834" cy="10106025"/>
            <wp:effectExtent l="0" t="0" r="12064" b="9525"/>
            <wp:wrapNone/>
            <wp:docPr id="1106" name="图片 15"/>
            <wp:cNvGraphicFramePr>
              <a:graphicFrameLocks noChangeAspect="1"/>
            </wp:cNvGraphicFramePr>
            <a:graphic>
              <a:graphicData uri="http://schemas.openxmlformats.org/drawingml/2006/picture">
                <pic:pic>
                  <pic:nvPicPr>
                    <pic:cNvPr id="639" name="图片 15 639"/>
                    <pic:cNvPicPr/>
                  </pic:nvPicPr>
                  <pic:blipFill>
                    <a:blip r:embed="rId85"/>
                    <a:stretch>
                      <a:fillRect/>
                    </a:stretch>
                  </pic:blipFill>
                  <pic:spPr>
                    <a:xfrm rot="0">
                      <a:off x="0" y="0"/>
                      <a:ext cx="7188834" cy="10106025"/>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rPr>
        <w:drawing>
          <wp:anchor distT="0" distB="0" distL="114300" distR="114300" simplePos="0" relativeHeight="446" behindDoc="0" locked="0" layoutInCell="1" hidden="0" allowOverlap="1">
            <wp:simplePos x="0" y="0"/>
            <wp:positionH relativeFrom="column">
              <wp:posOffset>-771525</wp:posOffset>
            </wp:positionH>
            <wp:positionV relativeFrom="paragraph">
              <wp:posOffset>-742950</wp:posOffset>
            </wp:positionV>
            <wp:extent cx="7259319" cy="10306050"/>
            <wp:effectExtent l="0" t="0" r="17779" b="0"/>
            <wp:wrapNone/>
            <wp:docPr id="1107" name="图片 16"/>
            <wp:cNvGraphicFramePr>
              <a:graphicFrameLocks noChangeAspect="1"/>
            </wp:cNvGraphicFramePr>
            <a:graphic>
              <a:graphicData uri="http://schemas.openxmlformats.org/drawingml/2006/picture">
                <pic:pic>
                  <pic:nvPicPr>
                    <pic:cNvPr id="641" name="图片 16 641"/>
                    <pic:cNvPicPr/>
                  </pic:nvPicPr>
                  <pic:blipFill>
                    <a:blip r:embed="rId86"/>
                    <a:stretch>
                      <a:fillRect/>
                    </a:stretch>
                  </pic:blipFill>
                  <pic:spPr>
                    <a:xfrm rot="0">
                      <a:off x="0" y="0"/>
                      <a:ext cx="7259319" cy="10306050"/>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r>
        <w:rPr>
          <w:color w:val="auto"/>
        </w:rPr>
        <w:drawing>
          <wp:anchor distT="0" distB="0" distL="114300" distR="114300" simplePos="0" relativeHeight="448" behindDoc="0" locked="0" layoutInCell="1" hidden="0" allowOverlap="1">
            <wp:simplePos x="0" y="0"/>
            <wp:positionH relativeFrom="column">
              <wp:posOffset>-847725</wp:posOffset>
            </wp:positionH>
            <wp:positionV relativeFrom="paragraph">
              <wp:posOffset>-771525</wp:posOffset>
            </wp:positionV>
            <wp:extent cx="7239000" cy="10252075"/>
            <wp:effectExtent l="0" t="0" r="0" b="15875"/>
            <wp:wrapNone/>
            <wp:docPr id="1108" name="图片 17"/>
            <wp:cNvGraphicFramePr>
              <a:graphicFrameLocks noChangeAspect="1"/>
            </wp:cNvGraphicFramePr>
            <a:graphic>
              <a:graphicData uri="http://schemas.openxmlformats.org/drawingml/2006/picture">
                <pic:pic>
                  <pic:nvPicPr>
                    <pic:cNvPr id="643" name="图片 17 643"/>
                    <pic:cNvPicPr/>
                  </pic:nvPicPr>
                  <pic:blipFill>
                    <a:blip r:embed="rId87"/>
                    <a:stretch>
                      <a:fillRect/>
                    </a:stretch>
                  </pic:blipFill>
                  <pic:spPr>
                    <a:xfrm rot="0">
                      <a:off x="0" y="0"/>
                      <a:ext cx="7239000" cy="10252075"/>
                    </a:xfrm>
                    <a:prstGeom prst="rect"/>
                    <a:noFill/>
                    <a:ln cmpd="sng" cap="flat">
                      <a:noFill/>
                      <a:prstDash val="solid"/>
                      <a:round/>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rFonts w:eastAsia="宋体"/>
          <w:color w:val="auto"/>
          <w:lang w:val="en-US" w:eastAsia="zh-CN"/>
        </w:rPr>
      </w:pPr>
      <w:r>
        <w:rPr>
          <w:rFonts w:eastAsia="宋体"/>
          <w:color w:val="auto"/>
          <w:lang w:val="en-US" w:eastAsia="zh-CN"/>
        </w:rPr>
        <w:drawing>
          <wp:anchor distT="0" distB="0" distL="114300" distR="114300" simplePos="0" relativeHeight="774" behindDoc="0" locked="0" layoutInCell="1" hidden="0" allowOverlap="1">
            <wp:simplePos x="0" y="0"/>
            <wp:positionH relativeFrom="column">
              <wp:posOffset>-781050</wp:posOffset>
            </wp:positionH>
            <wp:positionV relativeFrom="paragraph">
              <wp:posOffset>-847725</wp:posOffset>
            </wp:positionV>
            <wp:extent cx="7350759" cy="10435590"/>
            <wp:effectExtent l="0" t="0" r="2540" b="3810"/>
            <wp:wrapNone/>
            <wp:docPr id="1109" name="图片 1109" descr="62d84742bbf2c3bd2ed6dd09899404b"/>
            <wp:cNvGraphicFramePr>
              <a:graphicFrameLocks noChangeAspect="1"/>
            </wp:cNvGraphicFramePr>
            <a:graphic>
              <a:graphicData uri="http://schemas.openxmlformats.org/drawingml/2006/picture">
                <pic:pic>
                  <pic:nvPicPr>
                    <pic:cNvPr id="645" name="图片 645"/>
                    <pic:cNvPicPr/>
                  </pic:nvPicPr>
                  <pic:blipFill>
                    <a:blip r:embed="rId88"/>
                    <a:stretch>
                      <a:fillRect/>
                    </a:stretch>
                  </pic:blipFill>
                  <pic:spPr>
                    <a:xfrm rot="0">
                      <a:off x="0" y="0"/>
                      <a:ext cx="7350759" cy="10435590"/>
                    </a:xfrm>
                    <a:prstGeom prst="rect"/>
                    <a:noFill/>
                    <a:ln w="9525" cmpd="sng" cap="flat">
                      <a:noFill/>
                      <a:prstDash val="solid"/>
                      <a:miter/>
                    </a:ln>
                  </pic:spPr>
                </pic:pic>
              </a:graphicData>
            </a:graphic>
          </wp:anchor>
        </w:drawing>
      </w: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color w:val="auto"/>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hint="eastAsia"/>
          <w:b w:val="0"/>
          <w:bCs/>
          <w:color w:val="auto"/>
          <w:sz w:val="28"/>
          <w:szCs w:val="28"/>
          <w:lang w:eastAsia="zh-CN"/>
          <w:highlight w:val="none"/>
        </w:rPr>
      </w:pPr>
      <w:r>
        <w:rPr>
          <w:rFonts w:ascii="Times New Roman" w:eastAsia="宋体" w:cs="Times New Roman" w:hAnsi="Times New Roman" w:hint="eastAsia"/>
          <w:b w:val="0"/>
          <w:bCs/>
          <w:color w:val="auto"/>
          <w:sz w:val="28"/>
          <w:szCs w:val="28"/>
          <w:lang w:eastAsia="zh-CN"/>
          <w:highlight w:val="none"/>
        </w:rPr>
        <w:drawing>
          <wp:anchor distT="0" distB="0" distL="114300" distR="114300" simplePos="0" relativeHeight="766" behindDoc="0" locked="0" layoutInCell="1" hidden="0" allowOverlap="1">
            <wp:simplePos x="0" y="0"/>
            <wp:positionH relativeFrom="column">
              <wp:posOffset>-822325</wp:posOffset>
            </wp:positionH>
            <wp:positionV relativeFrom="paragraph">
              <wp:posOffset>-823594</wp:posOffset>
            </wp:positionV>
            <wp:extent cx="7399655" cy="10568306"/>
            <wp:effectExtent l="0" t="0" r="10795" b="4444"/>
            <wp:wrapNone/>
            <wp:docPr id="1110" name="图片 1110" descr="2a0e9c897562bbd8afb48ac03235559"/>
            <wp:cNvGraphicFramePr>
              <a:graphicFrameLocks noChangeAspect="1"/>
            </wp:cNvGraphicFramePr>
            <a:graphic>
              <a:graphicData uri="http://schemas.openxmlformats.org/drawingml/2006/picture">
                <pic:pic>
                  <pic:nvPicPr>
                    <pic:cNvPr id="647" name="图片 647"/>
                    <pic:cNvPicPr/>
                  </pic:nvPicPr>
                  <pic:blipFill>
                    <a:blip r:embed="rId89"/>
                    <a:stretch>
                      <a:fillRect/>
                    </a:stretch>
                  </pic:blipFill>
                  <pic:spPr>
                    <a:xfrm rot="0">
                      <a:off x="0" y="0"/>
                      <a:ext cx="7399655" cy="10568306"/>
                    </a:xfrm>
                    <a:prstGeom prst="rect"/>
                    <a:noFill/>
                    <a:ln w="9525" cmpd="sng" cap="flat">
                      <a:noFill/>
                      <a:prstDash val="solid"/>
                      <a:miter/>
                    </a:ln>
                  </pic:spPr>
                </pic:pic>
              </a:graphicData>
            </a:graphic>
          </wp:anchor>
        </w:drawing>
      </w:r>
    </w:p>
    <w:p>
      <w:pPr>
        <w:pStyle w:val="40"/>
        <w:ind w:left="0" w:right="0" w:firstLine="0"/>
        <w:jc w:val="both"/>
        <w:rPr>
          <w:rFonts w:ascii="Times New Roman" w:eastAsia="宋体" w:cs="Times New Roman" w:hAnsi="Times New Roman" w:hint="eastAsia"/>
          <w:b w:val="0"/>
          <w:bCs/>
          <w:color w:val="auto"/>
          <w:sz w:val="28"/>
          <w:szCs w:val="28"/>
          <w:lang w:eastAsia="zh-CN"/>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hint="eastAsia"/>
          <w:b w:val="0"/>
          <w:bCs/>
          <w:color w:val="auto"/>
          <w:sz w:val="28"/>
          <w:szCs w:val="28"/>
          <w:lang w:eastAsia="zh-CN"/>
          <w:highlight w:val="none"/>
        </w:rPr>
      </w:pPr>
      <w:r>
        <w:rPr>
          <w:rFonts w:ascii="Times New Roman" w:eastAsia="宋体" w:cs="Times New Roman" w:hAnsi="Times New Roman" w:hint="eastAsia"/>
          <w:b w:val="0"/>
          <w:bCs/>
          <w:color w:val="auto"/>
          <w:sz w:val="28"/>
          <w:szCs w:val="28"/>
          <w:lang w:eastAsia="zh-CN"/>
          <w:highlight w:val="none"/>
        </w:rPr>
        <w:drawing>
          <wp:anchor distT="0" distB="0" distL="114300" distR="114300" simplePos="0" relativeHeight="768" behindDoc="0" locked="0" layoutInCell="1" hidden="0" allowOverlap="1">
            <wp:simplePos x="0" y="0"/>
            <wp:positionH relativeFrom="column">
              <wp:posOffset>-787400</wp:posOffset>
            </wp:positionH>
            <wp:positionV relativeFrom="paragraph">
              <wp:posOffset>-805815</wp:posOffset>
            </wp:positionV>
            <wp:extent cx="7338695" cy="10423525"/>
            <wp:effectExtent l="0" t="0" r="14604" b="15875"/>
            <wp:wrapNone/>
            <wp:docPr id="1111" name="图片 1111" descr="dabc689dc95a81caa0bb1e480d7cf09"/>
            <wp:cNvGraphicFramePr>
              <a:graphicFrameLocks noChangeAspect="1"/>
            </wp:cNvGraphicFramePr>
            <a:graphic>
              <a:graphicData uri="http://schemas.openxmlformats.org/drawingml/2006/picture">
                <pic:pic>
                  <pic:nvPicPr>
                    <pic:cNvPr id="649" name="图片 649"/>
                    <pic:cNvPicPr/>
                  </pic:nvPicPr>
                  <pic:blipFill>
                    <a:blip r:embed="rId90"/>
                    <a:stretch>
                      <a:fillRect/>
                    </a:stretch>
                  </pic:blipFill>
                  <pic:spPr>
                    <a:xfrm rot="0">
                      <a:off x="0" y="0"/>
                      <a:ext cx="7338695" cy="10423525"/>
                    </a:xfrm>
                    <a:prstGeom prst="rect"/>
                    <a:noFill/>
                    <a:ln w="9525" cmpd="sng" cap="flat">
                      <a:noFill/>
                      <a:prstDash val="solid"/>
                      <a:miter/>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786" behindDoc="0" locked="0" layoutInCell="1" hidden="0" allowOverlap="1">
            <wp:simplePos x="0" y="0"/>
            <wp:positionH relativeFrom="column">
              <wp:posOffset>-719455</wp:posOffset>
            </wp:positionH>
            <wp:positionV relativeFrom="paragraph">
              <wp:posOffset>-719455</wp:posOffset>
            </wp:positionV>
            <wp:extent cx="7277734" cy="10342880"/>
            <wp:effectExtent l="0" t="0" r="18415" b="1270"/>
            <wp:wrapNone/>
            <wp:docPr id="1112" name="图片 4"/>
            <wp:cNvGraphicFramePr>
              <a:graphicFrameLocks noChangeAspect="1"/>
            </wp:cNvGraphicFramePr>
            <a:graphic>
              <a:graphicData uri="http://schemas.openxmlformats.org/drawingml/2006/picture">
                <pic:pic>
                  <pic:nvPicPr>
                    <pic:cNvPr id="651" name="图片 4 651"/>
                    <pic:cNvPicPr/>
                  </pic:nvPicPr>
                  <pic:blipFill>
                    <a:blip r:embed="rId91"/>
                    <a:stretch>
                      <a:fillRect/>
                    </a:stretch>
                  </pic:blipFill>
                  <pic:spPr>
                    <a:xfrm rot="0">
                      <a:off x="0" y="0"/>
                      <a:ext cx="7277734" cy="1034288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788" behindDoc="0" locked="0" layoutInCell="1" hidden="0" allowOverlap="1">
            <wp:simplePos x="0" y="0"/>
            <wp:positionH relativeFrom="column">
              <wp:posOffset>-751205</wp:posOffset>
            </wp:positionH>
            <wp:positionV relativeFrom="paragraph">
              <wp:posOffset>-801369</wp:posOffset>
            </wp:positionV>
            <wp:extent cx="7361555" cy="10419080"/>
            <wp:effectExtent l="0" t="0" r="10795" b="1270"/>
            <wp:wrapNone/>
            <wp:docPr id="1113" name="图片 5"/>
            <wp:cNvGraphicFramePr>
              <a:graphicFrameLocks noChangeAspect="1"/>
            </wp:cNvGraphicFramePr>
            <a:graphic>
              <a:graphicData uri="http://schemas.openxmlformats.org/drawingml/2006/picture">
                <pic:pic>
                  <pic:nvPicPr>
                    <pic:cNvPr id="653" name="图片 5 653"/>
                    <pic:cNvPicPr/>
                  </pic:nvPicPr>
                  <pic:blipFill>
                    <a:blip r:embed="rId92"/>
                    <a:stretch>
                      <a:fillRect/>
                    </a:stretch>
                  </pic:blipFill>
                  <pic:spPr>
                    <a:xfrm rot="0">
                      <a:off x="0" y="0"/>
                      <a:ext cx="7361555" cy="1041908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790" behindDoc="0" locked="0" layoutInCell="1" hidden="0" allowOverlap="1">
            <wp:simplePos x="0" y="0"/>
            <wp:positionH relativeFrom="column">
              <wp:posOffset>-803910</wp:posOffset>
            </wp:positionH>
            <wp:positionV relativeFrom="paragraph">
              <wp:posOffset>-815340</wp:posOffset>
            </wp:positionV>
            <wp:extent cx="7381240" cy="10459719"/>
            <wp:effectExtent l="0" t="0" r="10160" b="17779"/>
            <wp:wrapNone/>
            <wp:docPr id="1114" name="图片 7"/>
            <wp:cNvGraphicFramePr>
              <a:graphicFrameLocks noChangeAspect="1"/>
            </wp:cNvGraphicFramePr>
            <a:graphic>
              <a:graphicData uri="http://schemas.openxmlformats.org/drawingml/2006/picture">
                <pic:pic>
                  <pic:nvPicPr>
                    <pic:cNvPr id="655" name="图片 7 655"/>
                    <pic:cNvPicPr/>
                  </pic:nvPicPr>
                  <pic:blipFill>
                    <a:blip r:embed="rId93"/>
                    <a:stretch>
                      <a:fillRect/>
                    </a:stretch>
                  </pic:blipFill>
                  <pic:spPr>
                    <a:xfrm rot="0">
                      <a:off x="0" y="0"/>
                      <a:ext cx="7381240" cy="10459719"/>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lang w:val="en-US" w:eastAsia="zh-CN"/>
          <w:highlight w:val="none"/>
        </w:rPr>
      </w:pPr>
      <w:r>
        <w:rPr>
          <w:rFonts w:ascii="Times New Roman" w:eastAsia="宋体" w:cs="Times New Roman" w:hAnsi="Times New Roman"/>
          <w:b w:val="0"/>
          <w:bCs/>
          <w:color w:val="auto"/>
          <w:sz w:val="28"/>
          <w:szCs w:val="28"/>
          <w:lang w:val="en-US" w:eastAsia="zh-CN"/>
          <w:highlight w:val="none"/>
        </w:rPr>
        <w:drawing>
          <wp:anchor distT="0" distB="0" distL="114300" distR="114300" simplePos="0" relativeHeight="782" behindDoc="0" locked="0" layoutInCell="1" hidden="0" allowOverlap="1">
            <wp:simplePos x="0" y="0"/>
            <wp:positionH relativeFrom="column">
              <wp:posOffset>-819150</wp:posOffset>
            </wp:positionH>
            <wp:positionV relativeFrom="paragraph">
              <wp:posOffset>-809625</wp:posOffset>
            </wp:positionV>
            <wp:extent cx="7456170" cy="10340340"/>
            <wp:effectExtent l="0" t="0" r="11430" b="3810"/>
            <wp:wrapNone/>
            <wp:docPr id="1115" name="图片 1115" descr="84354bc2c474a904f61c44a64729ee8"/>
            <wp:cNvGraphicFramePr>
              <a:graphicFrameLocks noChangeAspect="1"/>
            </wp:cNvGraphicFramePr>
            <a:graphic>
              <a:graphicData uri="http://schemas.openxmlformats.org/drawingml/2006/picture">
                <pic:pic>
                  <pic:nvPicPr>
                    <pic:cNvPr id="657" name="图片 657"/>
                    <pic:cNvPicPr/>
                  </pic:nvPicPr>
                  <pic:blipFill>
                    <a:blip r:embed="rId94"/>
                    <a:stretch>
                      <a:fillRect/>
                    </a:stretch>
                  </pic:blipFill>
                  <pic:spPr>
                    <a:xfrm rot="0">
                      <a:off x="0" y="0"/>
                      <a:ext cx="7456170" cy="10340340"/>
                    </a:xfrm>
                    <a:prstGeom prst="rect"/>
                    <a:noFill/>
                    <a:ln w="9525" cmpd="sng" cap="flat">
                      <a:noFill/>
                      <a:prstDash val="solid"/>
                      <a:miter/>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784" behindDoc="0" locked="0" layoutInCell="1" hidden="0" allowOverlap="1">
            <wp:simplePos x="0" y="0"/>
            <wp:positionH relativeFrom="column">
              <wp:posOffset>-744219</wp:posOffset>
            </wp:positionH>
            <wp:positionV relativeFrom="paragraph">
              <wp:posOffset>-774700</wp:posOffset>
            </wp:positionV>
            <wp:extent cx="7246619" cy="10260330"/>
            <wp:effectExtent l="0" t="0" r="11430" b="7620"/>
            <wp:wrapNone/>
            <wp:docPr id="1116" name="图片 4"/>
            <wp:cNvGraphicFramePr>
              <a:graphicFrameLocks noChangeAspect="1"/>
            </wp:cNvGraphicFramePr>
            <a:graphic>
              <a:graphicData uri="http://schemas.openxmlformats.org/drawingml/2006/picture">
                <pic:pic>
                  <pic:nvPicPr>
                    <pic:cNvPr id="659" name="图片 4 659"/>
                    <pic:cNvPicPr/>
                  </pic:nvPicPr>
                  <pic:blipFill>
                    <a:blip r:embed="rId95"/>
                    <a:stretch>
                      <a:fillRect/>
                    </a:stretch>
                  </pic:blipFill>
                  <pic:spPr>
                    <a:xfrm rot="0">
                      <a:off x="0" y="0"/>
                      <a:ext cx="7246619" cy="1026033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792" behindDoc="0" locked="0" layoutInCell="1" hidden="0" allowOverlap="1">
            <wp:simplePos x="0" y="0"/>
            <wp:positionH relativeFrom="column">
              <wp:posOffset>-803910</wp:posOffset>
            </wp:positionH>
            <wp:positionV relativeFrom="paragraph">
              <wp:posOffset>-847090</wp:posOffset>
            </wp:positionV>
            <wp:extent cx="7479665" cy="10514330"/>
            <wp:effectExtent l="0" t="0" r="6985" b="1270"/>
            <wp:wrapNone/>
            <wp:docPr id="1117" name="图片 4"/>
            <wp:cNvGraphicFramePr>
              <a:graphicFrameLocks noChangeAspect="1"/>
            </wp:cNvGraphicFramePr>
            <a:graphic>
              <a:graphicData uri="http://schemas.openxmlformats.org/drawingml/2006/picture">
                <pic:pic>
                  <pic:nvPicPr>
                    <pic:cNvPr id="661" name="图片 4 661"/>
                    <pic:cNvPicPr/>
                  </pic:nvPicPr>
                  <pic:blipFill>
                    <a:blip r:embed="rId96"/>
                    <a:stretch>
                      <a:fillRect/>
                    </a:stretch>
                  </pic:blipFill>
                  <pic:spPr>
                    <a:xfrm rot="0">
                      <a:off x="0" y="0"/>
                      <a:ext cx="7479665" cy="1051433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50" behindDoc="0" locked="0" layoutInCell="1" hidden="0" allowOverlap="1">
            <wp:simplePos x="0" y="0"/>
            <wp:positionH relativeFrom="column">
              <wp:posOffset>-698500</wp:posOffset>
            </wp:positionH>
            <wp:positionV relativeFrom="paragraph">
              <wp:posOffset>-778510</wp:posOffset>
            </wp:positionV>
            <wp:extent cx="7125969" cy="10038715"/>
            <wp:effectExtent l="0" t="0" r="17779" b="635"/>
            <wp:wrapNone/>
            <wp:docPr id="1118" name="图片 25"/>
            <wp:cNvGraphicFramePr>
              <a:graphicFrameLocks noChangeAspect="1"/>
            </wp:cNvGraphicFramePr>
            <a:graphic>
              <a:graphicData uri="http://schemas.openxmlformats.org/drawingml/2006/picture">
                <pic:pic>
                  <pic:nvPicPr>
                    <pic:cNvPr id="663" name="图片 25 663"/>
                    <pic:cNvPicPr/>
                  </pic:nvPicPr>
                  <pic:blipFill>
                    <a:blip r:embed="rId97"/>
                    <a:stretch>
                      <a:fillRect/>
                    </a:stretch>
                  </pic:blipFill>
                  <pic:spPr>
                    <a:xfrm rot="0">
                      <a:off x="0" y="0"/>
                      <a:ext cx="7125969" cy="100387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52" behindDoc="0" locked="0" layoutInCell="1" hidden="0" allowOverlap="1">
            <wp:simplePos x="0" y="0"/>
            <wp:positionH relativeFrom="column">
              <wp:posOffset>-733425</wp:posOffset>
            </wp:positionH>
            <wp:positionV relativeFrom="paragraph">
              <wp:posOffset>-714375</wp:posOffset>
            </wp:positionV>
            <wp:extent cx="7308215" cy="10344150"/>
            <wp:effectExtent l="0" t="0" r="6985" b="0"/>
            <wp:wrapNone/>
            <wp:docPr id="1119" name="图片 26"/>
            <wp:cNvGraphicFramePr>
              <a:graphicFrameLocks noChangeAspect="1"/>
            </wp:cNvGraphicFramePr>
            <a:graphic>
              <a:graphicData uri="http://schemas.openxmlformats.org/drawingml/2006/picture">
                <pic:pic>
                  <pic:nvPicPr>
                    <pic:cNvPr id="665" name="图片 26 665"/>
                    <pic:cNvPicPr/>
                  </pic:nvPicPr>
                  <pic:blipFill>
                    <a:blip r:embed="rId98"/>
                    <a:stretch>
                      <a:fillRect/>
                    </a:stretch>
                  </pic:blipFill>
                  <pic:spPr>
                    <a:xfrm rot="0">
                      <a:off x="0" y="0"/>
                      <a:ext cx="7308215" cy="103441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54" behindDoc="0" locked="0" layoutInCell="1" hidden="0" allowOverlap="1">
            <wp:simplePos x="0" y="0"/>
            <wp:positionH relativeFrom="column">
              <wp:posOffset>-771525</wp:posOffset>
            </wp:positionH>
            <wp:positionV relativeFrom="paragraph">
              <wp:posOffset>-742950</wp:posOffset>
            </wp:positionV>
            <wp:extent cx="6943090" cy="9901556"/>
            <wp:effectExtent l="0" t="0" r="10160" b="4444"/>
            <wp:wrapNone/>
            <wp:docPr id="1120" name="图片 27"/>
            <wp:cNvGraphicFramePr>
              <a:graphicFrameLocks noChangeAspect="1"/>
            </wp:cNvGraphicFramePr>
            <a:graphic>
              <a:graphicData uri="http://schemas.openxmlformats.org/drawingml/2006/picture">
                <pic:pic>
                  <pic:nvPicPr>
                    <pic:cNvPr id="667" name="图片 27 667"/>
                    <pic:cNvPicPr/>
                  </pic:nvPicPr>
                  <pic:blipFill>
                    <a:blip r:embed="rId99"/>
                    <a:stretch>
                      <a:fillRect/>
                    </a:stretch>
                  </pic:blipFill>
                  <pic:spPr>
                    <a:xfrm rot="0">
                      <a:off x="0" y="0"/>
                      <a:ext cx="6943090" cy="9901556"/>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56" behindDoc="0" locked="0" layoutInCell="1" hidden="0" allowOverlap="1">
            <wp:simplePos x="0" y="0"/>
            <wp:positionH relativeFrom="column">
              <wp:posOffset>-847725</wp:posOffset>
            </wp:positionH>
            <wp:positionV relativeFrom="paragraph">
              <wp:posOffset>-790575</wp:posOffset>
            </wp:positionV>
            <wp:extent cx="7303770" cy="10220325"/>
            <wp:effectExtent l="0" t="0" r="11430" b="9525"/>
            <wp:wrapNone/>
            <wp:docPr id="1121" name="图片 28"/>
            <wp:cNvGraphicFramePr>
              <a:graphicFrameLocks noChangeAspect="1"/>
            </wp:cNvGraphicFramePr>
            <a:graphic>
              <a:graphicData uri="http://schemas.openxmlformats.org/drawingml/2006/picture">
                <pic:pic>
                  <pic:nvPicPr>
                    <pic:cNvPr id="669" name="图片 28 669"/>
                    <pic:cNvPicPr/>
                  </pic:nvPicPr>
                  <pic:blipFill>
                    <a:blip r:embed="rId100"/>
                    <a:stretch>
                      <a:fillRect/>
                    </a:stretch>
                  </pic:blipFill>
                  <pic:spPr>
                    <a:xfrm rot="0">
                      <a:off x="0" y="0"/>
                      <a:ext cx="7303770" cy="102203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58" behindDoc="0" locked="0" layoutInCell="1" hidden="0" allowOverlap="1">
            <wp:simplePos x="0" y="0"/>
            <wp:positionH relativeFrom="column">
              <wp:posOffset>-866775</wp:posOffset>
            </wp:positionH>
            <wp:positionV relativeFrom="paragraph">
              <wp:posOffset>-819150</wp:posOffset>
            </wp:positionV>
            <wp:extent cx="7430134" cy="10191115"/>
            <wp:effectExtent l="0" t="0" r="18415" b="635"/>
            <wp:wrapNone/>
            <wp:docPr id="1122" name="图片 29"/>
            <wp:cNvGraphicFramePr>
              <a:graphicFrameLocks noChangeAspect="1"/>
            </wp:cNvGraphicFramePr>
            <a:graphic>
              <a:graphicData uri="http://schemas.openxmlformats.org/drawingml/2006/picture">
                <pic:pic>
                  <pic:nvPicPr>
                    <pic:cNvPr id="671" name="图片 29 671"/>
                    <pic:cNvPicPr/>
                  </pic:nvPicPr>
                  <pic:blipFill>
                    <a:blip r:embed="rId101"/>
                    <a:stretch>
                      <a:fillRect/>
                    </a:stretch>
                  </pic:blipFill>
                  <pic:spPr>
                    <a:xfrm rot="0">
                      <a:off x="0" y="0"/>
                      <a:ext cx="7430134" cy="101911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60" behindDoc="0" locked="0" layoutInCell="1" hidden="0" allowOverlap="1">
            <wp:simplePos x="0" y="0"/>
            <wp:positionH relativeFrom="column">
              <wp:posOffset>-752475</wp:posOffset>
            </wp:positionH>
            <wp:positionV relativeFrom="paragraph">
              <wp:posOffset>-786765</wp:posOffset>
            </wp:positionV>
            <wp:extent cx="7251700" cy="10172700"/>
            <wp:effectExtent l="0" t="0" r="6350" b="0"/>
            <wp:wrapNone/>
            <wp:docPr id="1123" name="图片 30"/>
            <wp:cNvGraphicFramePr>
              <a:graphicFrameLocks noChangeAspect="1"/>
            </wp:cNvGraphicFramePr>
            <a:graphic>
              <a:graphicData uri="http://schemas.openxmlformats.org/drawingml/2006/picture">
                <pic:pic>
                  <pic:nvPicPr>
                    <pic:cNvPr id="673" name="图片 30 673"/>
                    <pic:cNvPicPr/>
                  </pic:nvPicPr>
                  <pic:blipFill>
                    <a:blip r:embed="rId102"/>
                    <a:stretch>
                      <a:fillRect/>
                    </a:stretch>
                  </pic:blipFill>
                  <pic:spPr>
                    <a:xfrm rot="0">
                      <a:off x="0" y="0"/>
                      <a:ext cx="7251700" cy="101727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62" behindDoc="0" locked="0" layoutInCell="1" hidden="0" allowOverlap="1">
            <wp:simplePos x="0" y="0"/>
            <wp:positionH relativeFrom="column">
              <wp:posOffset>-723900</wp:posOffset>
            </wp:positionH>
            <wp:positionV relativeFrom="paragraph">
              <wp:posOffset>-781050</wp:posOffset>
            </wp:positionV>
            <wp:extent cx="7146290" cy="9829800"/>
            <wp:effectExtent l="0" t="0" r="16510" b="0"/>
            <wp:wrapNone/>
            <wp:docPr id="1124" name="图片 31"/>
            <wp:cNvGraphicFramePr>
              <a:graphicFrameLocks noChangeAspect="1"/>
            </wp:cNvGraphicFramePr>
            <a:graphic>
              <a:graphicData uri="http://schemas.openxmlformats.org/drawingml/2006/picture">
                <pic:pic>
                  <pic:nvPicPr>
                    <pic:cNvPr id="675" name="图片 31 675"/>
                    <pic:cNvPicPr/>
                  </pic:nvPicPr>
                  <pic:blipFill>
                    <a:blip r:embed="rId103"/>
                    <a:stretch>
                      <a:fillRect/>
                    </a:stretch>
                  </pic:blipFill>
                  <pic:spPr>
                    <a:xfrm rot="0">
                      <a:off x="0" y="0"/>
                      <a:ext cx="7146290" cy="98298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64" behindDoc="0" locked="0" layoutInCell="1" hidden="0" allowOverlap="1">
            <wp:simplePos x="0" y="0"/>
            <wp:positionH relativeFrom="column">
              <wp:posOffset>-771525</wp:posOffset>
            </wp:positionH>
            <wp:positionV relativeFrom="paragraph">
              <wp:posOffset>-662940</wp:posOffset>
            </wp:positionV>
            <wp:extent cx="7392034" cy="9621519"/>
            <wp:effectExtent l="0" t="0" r="18415" b="17779"/>
            <wp:wrapNone/>
            <wp:docPr id="1125" name="图片 32"/>
            <wp:cNvGraphicFramePr>
              <a:graphicFrameLocks noChangeAspect="1"/>
            </wp:cNvGraphicFramePr>
            <a:graphic>
              <a:graphicData uri="http://schemas.openxmlformats.org/drawingml/2006/picture">
                <pic:pic>
                  <pic:nvPicPr>
                    <pic:cNvPr id="677" name="图片 32 677"/>
                    <pic:cNvPicPr/>
                  </pic:nvPicPr>
                  <pic:blipFill>
                    <a:blip r:embed="rId104"/>
                    <a:stretch>
                      <a:fillRect/>
                    </a:stretch>
                  </pic:blipFill>
                  <pic:spPr>
                    <a:xfrm rot="0">
                      <a:off x="0" y="0"/>
                      <a:ext cx="7392034" cy="9621519"/>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66" behindDoc="0" locked="0" layoutInCell="1" hidden="0" allowOverlap="1">
            <wp:simplePos x="0" y="0"/>
            <wp:positionH relativeFrom="column">
              <wp:posOffset>-495300</wp:posOffset>
            </wp:positionH>
            <wp:positionV relativeFrom="paragraph">
              <wp:posOffset>-581025</wp:posOffset>
            </wp:positionV>
            <wp:extent cx="7126605" cy="9962515"/>
            <wp:effectExtent l="0" t="0" r="17145" b="635"/>
            <wp:wrapNone/>
            <wp:docPr id="1126" name="图片 33"/>
            <wp:cNvGraphicFramePr>
              <a:graphicFrameLocks noChangeAspect="1"/>
            </wp:cNvGraphicFramePr>
            <a:graphic>
              <a:graphicData uri="http://schemas.openxmlformats.org/drawingml/2006/picture">
                <pic:pic>
                  <pic:nvPicPr>
                    <pic:cNvPr id="679" name="图片 33 679"/>
                    <pic:cNvPicPr/>
                  </pic:nvPicPr>
                  <pic:blipFill>
                    <a:blip r:embed="rId105"/>
                    <a:stretch>
                      <a:fillRect/>
                    </a:stretch>
                  </pic:blipFill>
                  <pic:spPr>
                    <a:xfrm rot="0">
                      <a:off x="0" y="0"/>
                      <a:ext cx="7126605" cy="99625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68" behindDoc="0" locked="0" layoutInCell="1" hidden="0" allowOverlap="1">
            <wp:simplePos x="0" y="0"/>
            <wp:positionH relativeFrom="column">
              <wp:posOffset>-666750</wp:posOffset>
            </wp:positionH>
            <wp:positionV relativeFrom="paragraph">
              <wp:posOffset>-361950</wp:posOffset>
            </wp:positionV>
            <wp:extent cx="7152640" cy="9152890"/>
            <wp:effectExtent l="0" t="0" r="10160" b="10160"/>
            <wp:wrapNone/>
            <wp:docPr id="1127" name="图片 34"/>
            <wp:cNvGraphicFramePr>
              <a:graphicFrameLocks noChangeAspect="1"/>
            </wp:cNvGraphicFramePr>
            <a:graphic>
              <a:graphicData uri="http://schemas.openxmlformats.org/drawingml/2006/picture">
                <pic:pic>
                  <pic:nvPicPr>
                    <pic:cNvPr id="681" name="图片 34 681"/>
                    <pic:cNvPicPr/>
                  </pic:nvPicPr>
                  <pic:blipFill>
                    <a:blip r:embed="rId106"/>
                    <a:stretch>
                      <a:fillRect/>
                    </a:stretch>
                  </pic:blipFill>
                  <pic:spPr>
                    <a:xfrm rot="0">
                      <a:off x="0" y="0"/>
                      <a:ext cx="7152640" cy="91528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70" behindDoc="0" locked="0" layoutInCell="1" hidden="0" allowOverlap="1">
            <wp:simplePos x="0" y="0"/>
            <wp:positionH relativeFrom="column">
              <wp:posOffset>-704850</wp:posOffset>
            </wp:positionH>
            <wp:positionV relativeFrom="paragraph">
              <wp:posOffset>-676275</wp:posOffset>
            </wp:positionV>
            <wp:extent cx="7108825" cy="9677400"/>
            <wp:effectExtent l="0" t="0" r="15875" b="0"/>
            <wp:wrapNone/>
            <wp:docPr id="1128" name="图片 35"/>
            <wp:cNvGraphicFramePr>
              <a:graphicFrameLocks noChangeAspect="1"/>
            </wp:cNvGraphicFramePr>
            <a:graphic>
              <a:graphicData uri="http://schemas.openxmlformats.org/drawingml/2006/picture">
                <pic:pic>
                  <pic:nvPicPr>
                    <pic:cNvPr id="683" name="图片 35 683"/>
                    <pic:cNvPicPr/>
                  </pic:nvPicPr>
                  <pic:blipFill>
                    <a:blip r:embed="rId107"/>
                    <a:stretch>
                      <a:fillRect/>
                    </a:stretch>
                  </pic:blipFill>
                  <pic:spPr>
                    <a:xfrm rot="0">
                      <a:off x="0" y="0"/>
                      <a:ext cx="7108825" cy="96774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72" behindDoc="0" locked="0" layoutInCell="1" hidden="0" allowOverlap="1">
            <wp:simplePos x="0" y="0"/>
            <wp:positionH relativeFrom="column">
              <wp:posOffset>-742950</wp:posOffset>
            </wp:positionH>
            <wp:positionV relativeFrom="paragraph">
              <wp:posOffset>-723900</wp:posOffset>
            </wp:positionV>
            <wp:extent cx="7152005" cy="10010775"/>
            <wp:effectExtent l="0" t="0" r="10795" b="9525"/>
            <wp:wrapNone/>
            <wp:docPr id="1129" name="图片 36"/>
            <wp:cNvGraphicFramePr>
              <a:graphicFrameLocks noChangeAspect="1"/>
            </wp:cNvGraphicFramePr>
            <a:graphic>
              <a:graphicData uri="http://schemas.openxmlformats.org/drawingml/2006/picture">
                <pic:pic>
                  <pic:nvPicPr>
                    <pic:cNvPr id="685" name="图片 36 685"/>
                    <pic:cNvPicPr/>
                  </pic:nvPicPr>
                  <pic:blipFill>
                    <a:blip r:embed="rId108"/>
                    <a:stretch>
                      <a:fillRect/>
                    </a:stretch>
                  </pic:blipFill>
                  <pic:spPr>
                    <a:xfrm rot="0">
                      <a:off x="0" y="0"/>
                      <a:ext cx="7152005" cy="100107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74" behindDoc="0" locked="0" layoutInCell="1" hidden="0" allowOverlap="1">
            <wp:simplePos x="0" y="0"/>
            <wp:positionH relativeFrom="column">
              <wp:posOffset>-695325</wp:posOffset>
            </wp:positionH>
            <wp:positionV relativeFrom="paragraph">
              <wp:posOffset>-714375</wp:posOffset>
            </wp:positionV>
            <wp:extent cx="7192644" cy="10219055"/>
            <wp:effectExtent l="0" t="0" r="8255" b="10795"/>
            <wp:wrapNone/>
            <wp:docPr id="1130" name="图片 37"/>
            <wp:cNvGraphicFramePr>
              <a:graphicFrameLocks noChangeAspect="1"/>
            </wp:cNvGraphicFramePr>
            <a:graphic>
              <a:graphicData uri="http://schemas.openxmlformats.org/drawingml/2006/picture">
                <pic:pic>
                  <pic:nvPicPr>
                    <pic:cNvPr id="687" name="图片 37 687"/>
                    <pic:cNvPicPr/>
                  </pic:nvPicPr>
                  <pic:blipFill>
                    <a:blip r:embed="rId109"/>
                    <a:stretch>
                      <a:fillRect/>
                    </a:stretch>
                  </pic:blipFill>
                  <pic:spPr>
                    <a:xfrm rot="0">
                      <a:off x="0" y="0"/>
                      <a:ext cx="7192644" cy="1021905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76" behindDoc="0" locked="0" layoutInCell="1" hidden="0" allowOverlap="1">
            <wp:simplePos x="0" y="0"/>
            <wp:positionH relativeFrom="column">
              <wp:posOffset>-790575</wp:posOffset>
            </wp:positionH>
            <wp:positionV relativeFrom="paragraph">
              <wp:posOffset>-777240</wp:posOffset>
            </wp:positionV>
            <wp:extent cx="7264400" cy="10258425"/>
            <wp:effectExtent l="0" t="0" r="12700" b="9525"/>
            <wp:wrapNone/>
            <wp:docPr id="1131" name="图片 38"/>
            <wp:cNvGraphicFramePr>
              <a:graphicFrameLocks noChangeAspect="1"/>
            </wp:cNvGraphicFramePr>
            <a:graphic>
              <a:graphicData uri="http://schemas.openxmlformats.org/drawingml/2006/picture">
                <pic:pic>
                  <pic:nvPicPr>
                    <pic:cNvPr id="689" name="图片 38 689"/>
                    <pic:cNvPicPr/>
                  </pic:nvPicPr>
                  <pic:blipFill>
                    <a:blip r:embed="rId110"/>
                    <a:stretch>
                      <a:fillRect/>
                    </a:stretch>
                  </pic:blipFill>
                  <pic:spPr>
                    <a:xfrm rot="0">
                      <a:off x="0" y="0"/>
                      <a:ext cx="7264400" cy="102584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sectPr>
          <w:pgSz w:w="11906" w:h="16838"/>
          <w:pgMar w:top="1417" w:right="1417" w:bottom="1417" w:left="1417" w:header="851" w:footer="850" w:gutter="0"/>
          <w:cols w:num="1" w:space="0"/>
          <w:rtlGutter/>
          <w:docGrid w:linePitch="312" w:charSpace="0"/>
        </w:sect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78" behindDoc="0" locked="0" layoutInCell="1" hidden="0" allowOverlap="1">
            <wp:simplePos x="0" y="0"/>
            <wp:positionH relativeFrom="column">
              <wp:posOffset>-161925</wp:posOffset>
            </wp:positionH>
            <wp:positionV relativeFrom="paragraph">
              <wp:posOffset>-466725</wp:posOffset>
            </wp:positionV>
            <wp:extent cx="9237980" cy="6766560"/>
            <wp:effectExtent l="0" t="0" r="1270" b="15240"/>
            <wp:wrapNone/>
            <wp:docPr id="1132" name="图片 39"/>
            <wp:cNvGraphicFramePr>
              <a:graphicFrameLocks noChangeAspect="1"/>
            </wp:cNvGraphicFramePr>
            <a:graphic>
              <a:graphicData uri="http://schemas.openxmlformats.org/drawingml/2006/picture">
                <pic:pic>
                  <pic:nvPicPr>
                    <pic:cNvPr id="691" name="图片 39 691"/>
                    <pic:cNvPicPr/>
                  </pic:nvPicPr>
                  <pic:blipFill>
                    <a:blip r:embed="rId111"/>
                    <a:stretch>
                      <a:fillRect/>
                    </a:stretch>
                  </pic:blipFill>
                  <pic:spPr>
                    <a:xfrm rot="0">
                      <a:off x="0" y="0"/>
                      <a:ext cx="9237980" cy="676656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sectPr>
          <w:pgSz w:w="16838" w:h="11906" w:orient="landscape"/>
          <w:pgMar w:top="1417" w:right="1417" w:bottom="1417" w:left="1417" w:header="851" w:footer="850" w:gutter="0"/>
          <w:cols w:num="1" w:space="0"/>
          <w:rtlGutter/>
          <w:docGrid w:linePitch="312" w:charSpace="0"/>
        </w:sect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80" behindDoc="0" locked="0" layoutInCell="1" hidden="0" allowOverlap="1">
            <wp:simplePos x="0" y="0"/>
            <wp:positionH relativeFrom="column">
              <wp:posOffset>-723900</wp:posOffset>
            </wp:positionH>
            <wp:positionV relativeFrom="paragraph">
              <wp:posOffset>-657225</wp:posOffset>
            </wp:positionV>
            <wp:extent cx="7296784" cy="9915525"/>
            <wp:effectExtent l="0" t="0" r="18415" b="9525"/>
            <wp:wrapNone/>
            <wp:docPr id="1133" name="图片 40"/>
            <wp:cNvGraphicFramePr>
              <a:graphicFrameLocks noChangeAspect="1"/>
            </wp:cNvGraphicFramePr>
            <a:graphic>
              <a:graphicData uri="http://schemas.openxmlformats.org/drawingml/2006/picture">
                <pic:pic>
                  <pic:nvPicPr>
                    <pic:cNvPr id="693" name="图片 40 693"/>
                    <pic:cNvPicPr/>
                  </pic:nvPicPr>
                  <pic:blipFill>
                    <a:blip r:embed="rId112"/>
                    <a:stretch>
                      <a:fillRect/>
                    </a:stretch>
                  </pic:blipFill>
                  <pic:spPr>
                    <a:xfrm rot="0">
                      <a:off x="0" y="0"/>
                      <a:ext cx="7296784" cy="99155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82" behindDoc="0" locked="0" layoutInCell="1" hidden="0" allowOverlap="1">
            <wp:simplePos x="0" y="0"/>
            <wp:positionH relativeFrom="column">
              <wp:posOffset>-752475</wp:posOffset>
            </wp:positionH>
            <wp:positionV relativeFrom="paragraph">
              <wp:posOffset>-752475</wp:posOffset>
            </wp:positionV>
            <wp:extent cx="7058659" cy="10077450"/>
            <wp:effectExtent l="0" t="0" r="8889" b="0"/>
            <wp:wrapNone/>
            <wp:docPr id="1134" name="图片 41"/>
            <wp:cNvGraphicFramePr>
              <a:graphicFrameLocks noChangeAspect="1"/>
            </wp:cNvGraphicFramePr>
            <a:graphic>
              <a:graphicData uri="http://schemas.openxmlformats.org/drawingml/2006/picture">
                <pic:pic>
                  <pic:nvPicPr>
                    <pic:cNvPr id="695" name="图片 41 695"/>
                    <pic:cNvPicPr/>
                  </pic:nvPicPr>
                  <pic:blipFill>
                    <a:blip r:embed="rId113"/>
                    <a:stretch>
                      <a:fillRect/>
                    </a:stretch>
                  </pic:blipFill>
                  <pic:spPr>
                    <a:xfrm rot="0">
                      <a:off x="0" y="0"/>
                      <a:ext cx="7058659" cy="100774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36" behindDoc="0" locked="0" layoutInCell="1" hidden="0" allowOverlap="1">
            <wp:simplePos x="0" y="0"/>
            <wp:positionH relativeFrom="column">
              <wp:posOffset>-822960</wp:posOffset>
            </wp:positionH>
            <wp:positionV relativeFrom="paragraph">
              <wp:posOffset>-857885</wp:posOffset>
            </wp:positionV>
            <wp:extent cx="7364094" cy="10480675"/>
            <wp:effectExtent l="0" t="0" r="8255" b="15875"/>
            <wp:wrapNone/>
            <wp:docPr id="1135" name="图片 4"/>
            <wp:cNvGraphicFramePr>
              <a:graphicFrameLocks noChangeAspect="1"/>
            </wp:cNvGraphicFramePr>
            <a:graphic>
              <a:graphicData uri="http://schemas.openxmlformats.org/drawingml/2006/picture">
                <pic:pic>
                  <pic:nvPicPr>
                    <pic:cNvPr id="697" name="图片 4 697"/>
                    <pic:cNvPicPr/>
                  </pic:nvPicPr>
                  <pic:blipFill>
                    <a:blip r:embed="rId114"/>
                    <a:stretch>
                      <a:fillRect/>
                    </a:stretch>
                  </pic:blipFill>
                  <pic:spPr>
                    <a:xfrm rot="0">
                      <a:off x="0" y="0"/>
                      <a:ext cx="7364094" cy="104806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84" behindDoc="0" locked="0" layoutInCell="1" hidden="0" allowOverlap="1">
            <wp:simplePos x="0" y="0"/>
            <wp:positionH relativeFrom="column">
              <wp:posOffset>-866775</wp:posOffset>
            </wp:positionH>
            <wp:positionV relativeFrom="paragraph">
              <wp:posOffset>-800100</wp:posOffset>
            </wp:positionV>
            <wp:extent cx="7363459" cy="10353675"/>
            <wp:effectExtent l="0" t="0" r="8889" b="9525"/>
            <wp:wrapNone/>
            <wp:docPr id="1136" name="图片 43"/>
            <wp:cNvGraphicFramePr>
              <a:graphicFrameLocks noChangeAspect="1"/>
            </wp:cNvGraphicFramePr>
            <a:graphic>
              <a:graphicData uri="http://schemas.openxmlformats.org/drawingml/2006/picture">
                <pic:pic>
                  <pic:nvPicPr>
                    <pic:cNvPr id="699" name="图片 43 699"/>
                    <pic:cNvPicPr/>
                  </pic:nvPicPr>
                  <pic:blipFill>
                    <a:blip r:embed="rId115"/>
                    <a:stretch>
                      <a:fillRect/>
                    </a:stretch>
                  </pic:blipFill>
                  <pic:spPr>
                    <a:xfrm rot="0">
                      <a:off x="0" y="0"/>
                      <a:ext cx="7363459" cy="103536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86" behindDoc="0" locked="0" layoutInCell="1" hidden="0" allowOverlap="1">
            <wp:simplePos x="0" y="0"/>
            <wp:positionH relativeFrom="column">
              <wp:posOffset>-819150</wp:posOffset>
            </wp:positionH>
            <wp:positionV relativeFrom="paragraph">
              <wp:posOffset>-809625</wp:posOffset>
            </wp:positionV>
            <wp:extent cx="7358380" cy="10391140"/>
            <wp:effectExtent l="0" t="0" r="13970" b="10160"/>
            <wp:wrapNone/>
            <wp:docPr id="1137" name="图片 44"/>
            <wp:cNvGraphicFramePr>
              <a:graphicFrameLocks noChangeAspect="1"/>
            </wp:cNvGraphicFramePr>
            <a:graphic>
              <a:graphicData uri="http://schemas.openxmlformats.org/drawingml/2006/picture">
                <pic:pic>
                  <pic:nvPicPr>
                    <pic:cNvPr id="701" name="图片 44 701"/>
                    <pic:cNvPicPr/>
                  </pic:nvPicPr>
                  <pic:blipFill>
                    <a:blip r:embed="rId116"/>
                    <a:stretch>
                      <a:fillRect/>
                    </a:stretch>
                  </pic:blipFill>
                  <pic:spPr>
                    <a:xfrm rot="0">
                      <a:off x="0" y="0"/>
                      <a:ext cx="7358380" cy="103911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88" behindDoc="0" locked="0" layoutInCell="1" hidden="0" allowOverlap="1">
            <wp:simplePos x="0" y="0"/>
            <wp:positionH relativeFrom="column">
              <wp:posOffset>-781050</wp:posOffset>
            </wp:positionH>
            <wp:positionV relativeFrom="paragraph">
              <wp:posOffset>-748665</wp:posOffset>
            </wp:positionV>
            <wp:extent cx="7267575" cy="10258425"/>
            <wp:effectExtent l="0" t="0" r="9525" b="9525"/>
            <wp:wrapNone/>
            <wp:docPr id="1138" name="图片 45"/>
            <wp:cNvGraphicFramePr>
              <a:graphicFrameLocks noChangeAspect="1"/>
            </wp:cNvGraphicFramePr>
            <a:graphic>
              <a:graphicData uri="http://schemas.openxmlformats.org/drawingml/2006/picture">
                <pic:pic>
                  <pic:nvPicPr>
                    <pic:cNvPr id="703" name="图片 45 703"/>
                    <pic:cNvPicPr/>
                  </pic:nvPicPr>
                  <pic:blipFill>
                    <a:blip r:embed="rId117"/>
                    <a:stretch>
                      <a:fillRect/>
                    </a:stretch>
                  </pic:blipFill>
                  <pic:spPr>
                    <a:xfrm rot="0">
                      <a:off x="0" y="0"/>
                      <a:ext cx="7267575" cy="102584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90" behindDoc="0" locked="0" layoutInCell="1" hidden="0" allowOverlap="1">
            <wp:simplePos x="0" y="0"/>
            <wp:positionH relativeFrom="column">
              <wp:posOffset>-800100</wp:posOffset>
            </wp:positionH>
            <wp:positionV relativeFrom="paragraph">
              <wp:posOffset>-762000</wp:posOffset>
            </wp:positionV>
            <wp:extent cx="7197090" cy="10229850"/>
            <wp:effectExtent l="0" t="0" r="3810" b="0"/>
            <wp:wrapNone/>
            <wp:docPr id="1139" name="图片 46"/>
            <wp:cNvGraphicFramePr>
              <a:graphicFrameLocks noChangeAspect="1"/>
            </wp:cNvGraphicFramePr>
            <a:graphic>
              <a:graphicData uri="http://schemas.openxmlformats.org/drawingml/2006/picture">
                <pic:pic>
                  <pic:nvPicPr>
                    <pic:cNvPr id="705" name="图片 46 705"/>
                    <pic:cNvPicPr/>
                  </pic:nvPicPr>
                  <pic:blipFill>
                    <a:blip r:embed="rId118"/>
                    <a:stretch>
                      <a:fillRect/>
                    </a:stretch>
                  </pic:blipFill>
                  <pic:spPr>
                    <a:xfrm rot="0">
                      <a:off x="0" y="0"/>
                      <a:ext cx="7197090" cy="102298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92" behindDoc="0" locked="0" layoutInCell="1" hidden="0" allowOverlap="1">
            <wp:simplePos x="0" y="0"/>
            <wp:positionH relativeFrom="column">
              <wp:posOffset>-847725</wp:posOffset>
            </wp:positionH>
            <wp:positionV relativeFrom="paragraph">
              <wp:posOffset>-819150</wp:posOffset>
            </wp:positionV>
            <wp:extent cx="7385050" cy="10295890"/>
            <wp:effectExtent l="0" t="0" r="6350" b="10160"/>
            <wp:wrapNone/>
            <wp:docPr id="1140" name="图片 47"/>
            <wp:cNvGraphicFramePr>
              <a:graphicFrameLocks noChangeAspect="1"/>
            </wp:cNvGraphicFramePr>
            <a:graphic>
              <a:graphicData uri="http://schemas.openxmlformats.org/drawingml/2006/picture">
                <pic:pic>
                  <pic:nvPicPr>
                    <pic:cNvPr id="707" name="图片 47 707"/>
                    <pic:cNvPicPr/>
                  </pic:nvPicPr>
                  <pic:blipFill>
                    <a:blip r:embed="rId119"/>
                    <a:stretch>
                      <a:fillRect/>
                    </a:stretch>
                  </pic:blipFill>
                  <pic:spPr>
                    <a:xfrm rot="0">
                      <a:off x="0" y="0"/>
                      <a:ext cx="7385050" cy="102958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94" behindDoc="0" locked="0" layoutInCell="1" hidden="0" allowOverlap="1">
            <wp:simplePos x="0" y="0"/>
            <wp:positionH relativeFrom="column">
              <wp:posOffset>-838200</wp:posOffset>
            </wp:positionH>
            <wp:positionV relativeFrom="paragraph">
              <wp:posOffset>-819150</wp:posOffset>
            </wp:positionV>
            <wp:extent cx="7430134" cy="10391775"/>
            <wp:effectExtent l="0" t="0" r="18415" b="9525"/>
            <wp:wrapNone/>
            <wp:docPr id="1141" name="图片 49"/>
            <wp:cNvGraphicFramePr>
              <a:graphicFrameLocks noChangeAspect="1"/>
            </wp:cNvGraphicFramePr>
            <a:graphic>
              <a:graphicData uri="http://schemas.openxmlformats.org/drawingml/2006/picture">
                <pic:pic>
                  <pic:nvPicPr>
                    <pic:cNvPr id="709" name="图片 49 709"/>
                    <pic:cNvPicPr/>
                  </pic:nvPicPr>
                  <pic:blipFill>
                    <a:blip r:embed="rId120"/>
                    <a:stretch>
                      <a:fillRect/>
                    </a:stretch>
                  </pic:blipFill>
                  <pic:spPr>
                    <a:xfrm rot="0">
                      <a:off x="0" y="0"/>
                      <a:ext cx="7430134" cy="103917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96" behindDoc="0" locked="0" layoutInCell="1" hidden="0" allowOverlap="1">
            <wp:simplePos x="0" y="0"/>
            <wp:positionH relativeFrom="column">
              <wp:posOffset>-857250</wp:posOffset>
            </wp:positionH>
            <wp:positionV relativeFrom="paragraph">
              <wp:posOffset>-828675</wp:posOffset>
            </wp:positionV>
            <wp:extent cx="7477759" cy="10448290"/>
            <wp:effectExtent l="0" t="0" r="8889" b="10160"/>
            <wp:wrapNone/>
            <wp:docPr id="1142" name="图片 50"/>
            <wp:cNvGraphicFramePr>
              <a:graphicFrameLocks noChangeAspect="1"/>
            </wp:cNvGraphicFramePr>
            <a:graphic>
              <a:graphicData uri="http://schemas.openxmlformats.org/drawingml/2006/picture">
                <pic:pic>
                  <pic:nvPicPr>
                    <pic:cNvPr id="711" name="图片 50 711"/>
                    <pic:cNvPicPr/>
                  </pic:nvPicPr>
                  <pic:blipFill>
                    <a:blip r:embed="rId121"/>
                    <a:stretch>
                      <a:fillRect/>
                    </a:stretch>
                  </pic:blipFill>
                  <pic:spPr>
                    <a:xfrm rot="0">
                      <a:off x="0" y="0"/>
                      <a:ext cx="7477759" cy="104482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498" behindDoc="0" locked="0" layoutInCell="1" hidden="0" allowOverlap="1">
            <wp:simplePos x="0" y="0"/>
            <wp:positionH relativeFrom="column">
              <wp:posOffset>-838200</wp:posOffset>
            </wp:positionH>
            <wp:positionV relativeFrom="paragraph">
              <wp:posOffset>-790575</wp:posOffset>
            </wp:positionV>
            <wp:extent cx="7453630" cy="10382250"/>
            <wp:effectExtent l="0" t="0" r="13970" b="0"/>
            <wp:wrapNone/>
            <wp:docPr id="1143" name="图片 51"/>
            <wp:cNvGraphicFramePr>
              <a:graphicFrameLocks noChangeAspect="1"/>
            </wp:cNvGraphicFramePr>
            <a:graphic>
              <a:graphicData uri="http://schemas.openxmlformats.org/drawingml/2006/picture">
                <pic:pic>
                  <pic:nvPicPr>
                    <pic:cNvPr id="713" name="图片 51 713"/>
                    <pic:cNvPicPr/>
                  </pic:nvPicPr>
                  <pic:blipFill>
                    <a:blip r:embed="rId122"/>
                    <a:stretch>
                      <a:fillRect/>
                    </a:stretch>
                  </pic:blipFill>
                  <pic:spPr>
                    <a:xfrm rot="0">
                      <a:off x="0" y="0"/>
                      <a:ext cx="7453630" cy="103822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00" behindDoc="0" locked="0" layoutInCell="1" hidden="0" allowOverlap="1">
            <wp:simplePos x="0" y="0"/>
            <wp:positionH relativeFrom="column">
              <wp:posOffset>-828040</wp:posOffset>
            </wp:positionH>
            <wp:positionV relativeFrom="paragraph">
              <wp:posOffset>-803275</wp:posOffset>
            </wp:positionV>
            <wp:extent cx="7407909" cy="10451465"/>
            <wp:effectExtent l="0" t="0" r="2540" b="6985"/>
            <wp:wrapNone/>
            <wp:docPr id="1144" name="图片 52"/>
            <wp:cNvGraphicFramePr>
              <a:graphicFrameLocks noChangeAspect="1"/>
            </wp:cNvGraphicFramePr>
            <a:graphic>
              <a:graphicData uri="http://schemas.openxmlformats.org/drawingml/2006/picture">
                <pic:pic>
                  <pic:nvPicPr>
                    <pic:cNvPr id="715" name="图片 52 715"/>
                    <pic:cNvPicPr/>
                  </pic:nvPicPr>
                  <pic:blipFill>
                    <a:blip r:embed="rId123"/>
                    <a:stretch>
                      <a:fillRect/>
                    </a:stretch>
                  </pic:blipFill>
                  <pic:spPr>
                    <a:xfrm rot="0">
                      <a:off x="0" y="0"/>
                      <a:ext cx="7407909" cy="1045146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02" behindDoc="0" locked="0" layoutInCell="1" hidden="0" allowOverlap="1">
            <wp:simplePos x="0" y="0"/>
            <wp:positionH relativeFrom="column">
              <wp:posOffset>-828675</wp:posOffset>
            </wp:positionH>
            <wp:positionV relativeFrom="paragraph">
              <wp:posOffset>-742950</wp:posOffset>
            </wp:positionV>
            <wp:extent cx="7499985" cy="10106025"/>
            <wp:effectExtent l="0" t="0" r="5715" b="9525"/>
            <wp:wrapNone/>
            <wp:docPr id="1145" name="图片 53"/>
            <wp:cNvGraphicFramePr>
              <a:graphicFrameLocks noChangeAspect="1"/>
            </wp:cNvGraphicFramePr>
            <a:graphic>
              <a:graphicData uri="http://schemas.openxmlformats.org/drawingml/2006/picture">
                <pic:pic>
                  <pic:nvPicPr>
                    <pic:cNvPr id="717" name="图片 53 717"/>
                    <pic:cNvPicPr/>
                  </pic:nvPicPr>
                  <pic:blipFill>
                    <a:blip r:embed="rId124"/>
                    <a:stretch>
                      <a:fillRect/>
                    </a:stretch>
                  </pic:blipFill>
                  <pic:spPr>
                    <a:xfrm rot="0">
                      <a:off x="0" y="0"/>
                      <a:ext cx="7499985" cy="101060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04" behindDoc="0" locked="0" layoutInCell="1" hidden="0" allowOverlap="1">
            <wp:simplePos x="0" y="0"/>
            <wp:positionH relativeFrom="column">
              <wp:posOffset>-828675</wp:posOffset>
            </wp:positionH>
            <wp:positionV relativeFrom="paragraph">
              <wp:posOffset>-796290</wp:posOffset>
            </wp:positionV>
            <wp:extent cx="7303770" cy="10296525"/>
            <wp:effectExtent l="0" t="0" r="11430" b="9525"/>
            <wp:wrapNone/>
            <wp:docPr id="1146" name="图片 54"/>
            <wp:cNvGraphicFramePr>
              <a:graphicFrameLocks noChangeAspect="1"/>
            </wp:cNvGraphicFramePr>
            <a:graphic>
              <a:graphicData uri="http://schemas.openxmlformats.org/drawingml/2006/picture">
                <pic:pic>
                  <pic:nvPicPr>
                    <pic:cNvPr id="719" name="图片 54 719"/>
                    <pic:cNvPicPr/>
                  </pic:nvPicPr>
                  <pic:blipFill>
                    <a:blip r:embed="rId125"/>
                    <a:stretch>
                      <a:fillRect/>
                    </a:stretch>
                  </pic:blipFill>
                  <pic:spPr>
                    <a:xfrm rot="0">
                      <a:off x="0" y="0"/>
                      <a:ext cx="7303770" cy="102965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06" behindDoc="0" locked="0" layoutInCell="1" hidden="0" allowOverlap="1">
            <wp:simplePos x="0" y="0"/>
            <wp:positionH relativeFrom="column">
              <wp:posOffset>-723900</wp:posOffset>
            </wp:positionH>
            <wp:positionV relativeFrom="paragraph">
              <wp:posOffset>-790575</wp:posOffset>
            </wp:positionV>
            <wp:extent cx="7262495" cy="10276840"/>
            <wp:effectExtent l="0" t="0" r="14604" b="10160"/>
            <wp:wrapNone/>
            <wp:docPr id="1147" name="图片 55"/>
            <wp:cNvGraphicFramePr>
              <a:graphicFrameLocks noChangeAspect="1"/>
            </wp:cNvGraphicFramePr>
            <a:graphic>
              <a:graphicData uri="http://schemas.openxmlformats.org/drawingml/2006/picture">
                <pic:pic>
                  <pic:nvPicPr>
                    <pic:cNvPr id="721" name="图片 55 721"/>
                    <pic:cNvPicPr/>
                  </pic:nvPicPr>
                  <pic:blipFill>
                    <a:blip r:embed="rId126"/>
                    <a:stretch>
                      <a:fillRect/>
                    </a:stretch>
                  </pic:blipFill>
                  <pic:spPr>
                    <a:xfrm rot="0">
                      <a:off x="0" y="0"/>
                      <a:ext cx="7262495" cy="102768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08" behindDoc="0" locked="0" layoutInCell="1" hidden="0" allowOverlap="1">
            <wp:simplePos x="0" y="0"/>
            <wp:positionH relativeFrom="column">
              <wp:posOffset>-790575</wp:posOffset>
            </wp:positionH>
            <wp:positionV relativeFrom="paragraph">
              <wp:posOffset>-819150</wp:posOffset>
            </wp:positionV>
            <wp:extent cx="7454265" cy="10334625"/>
            <wp:effectExtent l="0" t="0" r="13335" b="9525"/>
            <wp:wrapNone/>
            <wp:docPr id="1148" name="图片 56"/>
            <wp:cNvGraphicFramePr>
              <a:graphicFrameLocks noChangeAspect="1"/>
            </wp:cNvGraphicFramePr>
            <a:graphic>
              <a:graphicData uri="http://schemas.openxmlformats.org/drawingml/2006/picture">
                <pic:pic>
                  <pic:nvPicPr>
                    <pic:cNvPr id="723" name="图片 56 723"/>
                    <pic:cNvPicPr/>
                  </pic:nvPicPr>
                  <pic:blipFill>
                    <a:blip r:embed="rId127"/>
                    <a:stretch>
                      <a:fillRect/>
                    </a:stretch>
                  </pic:blipFill>
                  <pic:spPr>
                    <a:xfrm rot="0">
                      <a:off x="0" y="0"/>
                      <a:ext cx="7454265" cy="103346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10" behindDoc="0" locked="0" layoutInCell="1" hidden="0" allowOverlap="1">
            <wp:simplePos x="0" y="0"/>
            <wp:positionH relativeFrom="column">
              <wp:posOffset>-828675</wp:posOffset>
            </wp:positionH>
            <wp:positionV relativeFrom="paragraph">
              <wp:posOffset>-800100</wp:posOffset>
            </wp:positionV>
            <wp:extent cx="7451090" cy="10506075"/>
            <wp:effectExtent l="0" t="0" r="16510" b="9525"/>
            <wp:wrapNone/>
            <wp:docPr id="1149" name="图片 57"/>
            <wp:cNvGraphicFramePr>
              <a:graphicFrameLocks noChangeAspect="1"/>
            </wp:cNvGraphicFramePr>
            <a:graphic>
              <a:graphicData uri="http://schemas.openxmlformats.org/drawingml/2006/picture">
                <pic:pic>
                  <pic:nvPicPr>
                    <pic:cNvPr id="725" name="图片 57 725"/>
                    <pic:cNvPicPr/>
                  </pic:nvPicPr>
                  <pic:blipFill>
                    <a:blip r:embed="rId128"/>
                    <a:stretch>
                      <a:fillRect/>
                    </a:stretch>
                  </pic:blipFill>
                  <pic:spPr>
                    <a:xfrm rot="0">
                      <a:off x="0" y="0"/>
                      <a:ext cx="7451090" cy="105060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12" behindDoc="0" locked="0" layoutInCell="1" hidden="0" allowOverlap="1">
            <wp:simplePos x="0" y="0"/>
            <wp:positionH relativeFrom="column">
              <wp:posOffset>-809625</wp:posOffset>
            </wp:positionH>
            <wp:positionV relativeFrom="paragraph">
              <wp:posOffset>-733425</wp:posOffset>
            </wp:positionV>
            <wp:extent cx="7451725" cy="9639300"/>
            <wp:effectExtent l="0" t="0" r="15875" b="0"/>
            <wp:wrapNone/>
            <wp:docPr id="1150" name="图片 58"/>
            <wp:cNvGraphicFramePr>
              <a:graphicFrameLocks noChangeAspect="1"/>
            </wp:cNvGraphicFramePr>
            <a:graphic>
              <a:graphicData uri="http://schemas.openxmlformats.org/drawingml/2006/picture">
                <pic:pic>
                  <pic:nvPicPr>
                    <pic:cNvPr id="727" name="图片 58 727"/>
                    <pic:cNvPicPr/>
                  </pic:nvPicPr>
                  <pic:blipFill>
                    <a:blip r:embed="rId129"/>
                    <a:stretch>
                      <a:fillRect/>
                    </a:stretch>
                  </pic:blipFill>
                  <pic:spPr>
                    <a:xfrm rot="0">
                      <a:off x="0" y="0"/>
                      <a:ext cx="7451725" cy="96393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14" behindDoc="0" locked="0" layoutInCell="1" hidden="0" allowOverlap="1">
            <wp:simplePos x="0" y="0"/>
            <wp:positionH relativeFrom="column">
              <wp:posOffset>-828675</wp:posOffset>
            </wp:positionH>
            <wp:positionV relativeFrom="paragraph">
              <wp:posOffset>-828675</wp:posOffset>
            </wp:positionV>
            <wp:extent cx="7423150" cy="10182225"/>
            <wp:effectExtent l="0" t="0" r="6350" b="9525"/>
            <wp:wrapNone/>
            <wp:docPr id="1151" name="图片 59"/>
            <wp:cNvGraphicFramePr>
              <a:graphicFrameLocks noChangeAspect="1"/>
            </wp:cNvGraphicFramePr>
            <a:graphic>
              <a:graphicData uri="http://schemas.openxmlformats.org/drawingml/2006/picture">
                <pic:pic>
                  <pic:nvPicPr>
                    <pic:cNvPr id="729" name="图片 59 729"/>
                    <pic:cNvPicPr/>
                  </pic:nvPicPr>
                  <pic:blipFill>
                    <a:blip r:embed="rId130"/>
                    <a:stretch>
                      <a:fillRect/>
                    </a:stretch>
                  </pic:blipFill>
                  <pic:spPr>
                    <a:xfrm rot="0">
                      <a:off x="0" y="0"/>
                      <a:ext cx="7423150" cy="101822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16" behindDoc="0" locked="0" layoutInCell="1" hidden="0" allowOverlap="1">
            <wp:simplePos x="0" y="0"/>
            <wp:positionH relativeFrom="column">
              <wp:posOffset>-847725</wp:posOffset>
            </wp:positionH>
            <wp:positionV relativeFrom="paragraph">
              <wp:posOffset>-786765</wp:posOffset>
            </wp:positionV>
            <wp:extent cx="7425055" cy="10258425"/>
            <wp:effectExtent l="0" t="0" r="4444" b="9525"/>
            <wp:wrapNone/>
            <wp:docPr id="1152" name="图片 60"/>
            <wp:cNvGraphicFramePr>
              <a:graphicFrameLocks noChangeAspect="1"/>
            </wp:cNvGraphicFramePr>
            <a:graphic>
              <a:graphicData uri="http://schemas.openxmlformats.org/drawingml/2006/picture">
                <pic:pic>
                  <pic:nvPicPr>
                    <pic:cNvPr id="731" name="图片 60 731"/>
                    <pic:cNvPicPr/>
                  </pic:nvPicPr>
                  <pic:blipFill>
                    <a:blip r:embed="rId131"/>
                    <a:stretch>
                      <a:fillRect/>
                    </a:stretch>
                  </pic:blipFill>
                  <pic:spPr>
                    <a:xfrm rot="0">
                      <a:off x="0" y="0"/>
                      <a:ext cx="7425055" cy="102584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18" behindDoc="0" locked="0" layoutInCell="1" hidden="0" allowOverlap="1">
            <wp:simplePos x="0" y="0"/>
            <wp:positionH relativeFrom="column">
              <wp:posOffset>-838200</wp:posOffset>
            </wp:positionH>
            <wp:positionV relativeFrom="paragraph">
              <wp:posOffset>-809625</wp:posOffset>
            </wp:positionV>
            <wp:extent cx="7488555" cy="9964419"/>
            <wp:effectExtent l="0" t="0" r="17145" b="17779"/>
            <wp:wrapNone/>
            <wp:docPr id="1153" name="图片 61"/>
            <wp:cNvGraphicFramePr>
              <a:graphicFrameLocks noChangeAspect="1"/>
            </wp:cNvGraphicFramePr>
            <a:graphic>
              <a:graphicData uri="http://schemas.openxmlformats.org/drawingml/2006/picture">
                <pic:pic>
                  <pic:nvPicPr>
                    <pic:cNvPr id="733" name="图片 61 733"/>
                    <pic:cNvPicPr/>
                  </pic:nvPicPr>
                  <pic:blipFill>
                    <a:blip r:embed="rId132"/>
                    <a:stretch>
                      <a:fillRect/>
                    </a:stretch>
                  </pic:blipFill>
                  <pic:spPr>
                    <a:xfrm rot="0">
                      <a:off x="0" y="0"/>
                      <a:ext cx="7488555" cy="9964419"/>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20" behindDoc="0" locked="0" layoutInCell="1" hidden="0" allowOverlap="1">
            <wp:simplePos x="0" y="0"/>
            <wp:positionH relativeFrom="column">
              <wp:posOffset>-819150</wp:posOffset>
            </wp:positionH>
            <wp:positionV relativeFrom="paragraph">
              <wp:posOffset>-815340</wp:posOffset>
            </wp:positionV>
            <wp:extent cx="7455534" cy="10137140"/>
            <wp:effectExtent l="0" t="0" r="12064" b="16510"/>
            <wp:wrapNone/>
            <wp:docPr id="1154" name="图片 62"/>
            <wp:cNvGraphicFramePr>
              <a:graphicFrameLocks noChangeAspect="1"/>
            </wp:cNvGraphicFramePr>
            <a:graphic>
              <a:graphicData uri="http://schemas.openxmlformats.org/drawingml/2006/picture">
                <pic:pic>
                  <pic:nvPicPr>
                    <pic:cNvPr id="735" name="图片 62 735"/>
                    <pic:cNvPicPr/>
                  </pic:nvPicPr>
                  <pic:blipFill>
                    <a:blip r:embed="rId133"/>
                    <a:stretch>
                      <a:fillRect/>
                    </a:stretch>
                  </pic:blipFill>
                  <pic:spPr>
                    <a:xfrm rot="0">
                      <a:off x="0" y="0"/>
                      <a:ext cx="7455534" cy="101371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22" behindDoc="0" locked="0" layoutInCell="1" hidden="0" allowOverlap="1">
            <wp:simplePos x="0" y="0"/>
            <wp:positionH relativeFrom="column">
              <wp:posOffset>-838200</wp:posOffset>
            </wp:positionH>
            <wp:positionV relativeFrom="paragraph">
              <wp:posOffset>-781050</wp:posOffset>
            </wp:positionV>
            <wp:extent cx="7397115" cy="10162540"/>
            <wp:effectExtent l="0" t="0" r="13335" b="10160"/>
            <wp:wrapNone/>
            <wp:docPr id="1155" name="图片 63"/>
            <wp:cNvGraphicFramePr>
              <a:graphicFrameLocks noChangeAspect="1"/>
            </wp:cNvGraphicFramePr>
            <a:graphic>
              <a:graphicData uri="http://schemas.openxmlformats.org/drawingml/2006/picture">
                <pic:pic>
                  <pic:nvPicPr>
                    <pic:cNvPr id="737" name="图片 63 737"/>
                    <pic:cNvPicPr/>
                  </pic:nvPicPr>
                  <pic:blipFill>
                    <a:blip r:embed="rId134"/>
                    <a:stretch>
                      <a:fillRect/>
                    </a:stretch>
                  </pic:blipFill>
                  <pic:spPr>
                    <a:xfrm rot="0">
                      <a:off x="0" y="0"/>
                      <a:ext cx="7397115" cy="101625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24" behindDoc="0" locked="0" layoutInCell="1" hidden="0" allowOverlap="1">
            <wp:simplePos x="0" y="0"/>
            <wp:positionH relativeFrom="column">
              <wp:posOffset>-809625</wp:posOffset>
            </wp:positionH>
            <wp:positionV relativeFrom="paragraph">
              <wp:posOffset>-800100</wp:posOffset>
            </wp:positionV>
            <wp:extent cx="7535544" cy="10164444"/>
            <wp:effectExtent l="0" t="0" r="8255" b="8255"/>
            <wp:wrapNone/>
            <wp:docPr id="1156" name="图片 64"/>
            <wp:cNvGraphicFramePr>
              <a:graphicFrameLocks noChangeAspect="1"/>
            </wp:cNvGraphicFramePr>
            <a:graphic>
              <a:graphicData uri="http://schemas.openxmlformats.org/drawingml/2006/picture">
                <pic:pic>
                  <pic:nvPicPr>
                    <pic:cNvPr id="739" name="图片 64 739"/>
                    <pic:cNvPicPr/>
                  </pic:nvPicPr>
                  <pic:blipFill>
                    <a:blip r:embed="rId135"/>
                    <a:stretch>
                      <a:fillRect/>
                    </a:stretch>
                  </pic:blipFill>
                  <pic:spPr>
                    <a:xfrm rot="0">
                      <a:off x="0" y="0"/>
                      <a:ext cx="7535544" cy="10164444"/>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26" behindDoc="0" locked="0" layoutInCell="1" hidden="0" allowOverlap="1">
            <wp:simplePos x="0" y="0"/>
            <wp:positionH relativeFrom="column">
              <wp:posOffset>-800100</wp:posOffset>
            </wp:positionH>
            <wp:positionV relativeFrom="paragraph">
              <wp:posOffset>-752475</wp:posOffset>
            </wp:positionV>
            <wp:extent cx="7332345" cy="10048875"/>
            <wp:effectExtent l="0" t="0" r="1905" b="9525"/>
            <wp:wrapNone/>
            <wp:docPr id="1157" name="图片 65"/>
            <wp:cNvGraphicFramePr>
              <a:graphicFrameLocks noChangeAspect="1"/>
            </wp:cNvGraphicFramePr>
            <a:graphic>
              <a:graphicData uri="http://schemas.openxmlformats.org/drawingml/2006/picture">
                <pic:pic>
                  <pic:nvPicPr>
                    <pic:cNvPr id="741" name="图片 65 741"/>
                    <pic:cNvPicPr/>
                  </pic:nvPicPr>
                  <pic:blipFill>
                    <a:blip r:embed="rId136"/>
                    <a:stretch>
                      <a:fillRect/>
                    </a:stretch>
                  </pic:blipFill>
                  <pic:spPr>
                    <a:xfrm rot="0">
                      <a:off x="0" y="0"/>
                      <a:ext cx="7332345" cy="100488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28" behindDoc="0" locked="0" layoutInCell="1" hidden="0" allowOverlap="1">
            <wp:simplePos x="0" y="0"/>
            <wp:positionH relativeFrom="column">
              <wp:posOffset>-742950</wp:posOffset>
            </wp:positionH>
            <wp:positionV relativeFrom="paragraph">
              <wp:posOffset>-777240</wp:posOffset>
            </wp:positionV>
            <wp:extent cx="7381240" cy="10057765"/>
            <wp:effectExtent l="0" t="0" r="10160" b="635"/>
            <wp:wrapNone/>
            <wp:docPr id="1158" name="图片 66"/>
            <wp:cNvGraphicFramePr>
              <a:graphicFrameLocks noChangeAspect="1"/>
            </wp:cNvGraphicFramePr>
            <a:graphic>
              <a:graphicData uri="http://schemas.openxmlformats.org/drawingml/2006/picture">
                <pic:pic>
                  <pic:nvPicPr>
                    <pic:cNvPr id="743" name="图片 66 743"/>
                    <pic:cNvPicPr/>
                  </pic:nvPicPr>
                  <pic:blipFill>
                    <a:blip r:embed="rId137"/>
                    <a:stretch>
                      <a:fillRect/>
                    </a:stretch>
                  </pic:blipFill>
                  <pic:spPr>
                    <a:xfrm rot="0">
                      <a:off x="0" y="0"/>
                      <a:ext cx="7381240" cy="1005776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30" behindDoc="0" locked="0" layoutInCell="1" hidden="0" allowOverlap="1">
            <wp:simplePos x="0" y="0"/>
            <wp:positionH relativeFrom="column">
              <wp:posOffset>-781050</wp:posOffset>
            </wp:positionH>
            <wp:positionV relativeFrom="paragraph">
              <wp:posOffset>-781050</wp:posOffset>
            </wp:positionV>
            <wp:extent cx="7480935" cy="10191115"/>
            <wp:effectExtent l="0" t="0" r="5715" b="635"/>
            <wp:wrapNone/>
            <wp:docPr id="1159" name="图片 67"/>
            <wp:cNvGraphicFramePr>
              <a:graphicFrameLocks noChangeAspect="1"/>
            </wp:cNvGraphicFramePr>
            <a:graphic>
              <a:graphicData uri="http://schemas.openxmlformats.org/drawingml/2006/picture">
                <pic:pic>
                  <pic:nvPicPr>
                    <pic:cNvPr id="745" name="图片 67 745"/>
                    <pic:cNvPicPr/>
                  </pic:nvPicPr>
                  <pic:blipFill>
                    <a:blip r:embed="rId138"/>
                    <a:stretch>
                      <a:fillRect/>
                    </a:stretch>
                  </pic:blipFill>
                  <pic:spPr>
                    <a:xfrm rot="0">
                      <a:off x="0" y="0"/>
                      <a:ext cx="7480935" cy="101911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32" behindDoc="0" locked="0" layoutInCell="1" hidden="0" allowOverlap="1">
            <wp:simplePos x="0" y="0"/>
            <wp:positionH relativeFrom="column">
              <wp:posOffset>-742950</wp:posOffset>
            </wp:positionH>
            <wp:positionV relativeFrom="paragraph">
              <wp:posOffset>-762000</wp:posOffset>
            </wp:positionV>
            <wp:extent cx="7407909" cy="9972040"/>
            <wp:effectExtent l="0" t="0" r="2540" b="10160"/>
            <wp:wrapNone/>
            <wp:docPr id="1160" name="图片 68"/>
            <wp:cNvGraphicFramePr>
              <a:graphicFrameLocks noChangeAspect="1"/>
            </wp:cNvGraphicFramePr>
            <a:graphic>
              <a:graphicData uri="http://schemas.openxmlformats.org/drawingml/2006/picture">
                <pic:pic>
                  <pic:nvPicPr>
                    <pic:cNvPr id="747" name="图片 68 747"/>
                    <pic:cNvPicPr/>
                  </pic:nvPicPr>
                  <pic:blipFill>
                    <a:blip r:embed="rId139"/>
                    <a:stretch>
                      <a:fillRect/>
                    </a:stretch>
                  </pic:blipFill>
                  <pic:spPr>
                    <a:xfrm rot="0">
                      <a:off x="0" y="0"/>
                      <a:ext cx="7407909" cy="99720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34" behindDoc="0" locked="0" layoutInCell="1" hidden="0" allowOverlap="1">
            <wp:simplePos x="0" y="0"/>
            <wp:positionH relativeFrom="column">
              <wp:posOffset>-809625</wp:posOffset>
            </wp:positionH>
            <wp:positionV relativeFrom="paragraph">
              <wp:posOffset>-767715</wp:posOffset>
            </wp:positionV>
            <wp:extent cx="7359015" cy="10105390"/>
            <wp:effectExtent l="0" t="0" r="13335" b="10160"/>
            <wp:wrapNone/>
            <wp:docPr id="1161" name="图片 69"/>
            <wp:cNvGraphicFramePr>
              <a:graphicFrameLocks noChangeAspect="1"/>
            </wp:cNvGraphicFramePr>
            <a:graphic>
              <a:graphicData uri="http://schemas.openxmlformats.org/drawingml/2006/picture">
                <pic:pic>
                  <pic:nvPicPr>
                    <pic:cNvPr id="749" name="图片 69 749"/>
                    <pic:cNvPicPr/>
                  </pic:nvPicPr>
                  <pic:blipFill>
                    <a:blip r:embed="rId140"/>
                    <a:stretch>
                      <a:fillRect/>
                    </a:stretch>
                  </pic:blipFill>
                  <pic:spPr>
                    <a:xfrm rot="0">
                      <a:off x="0" y="0"/>
                      <a:ext cx="7359015" cy="101053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36" behindDoc="0" locked="0" layoutInCell="1" hidden="0" allowOverlap="1">
            <wp:simplePos x="0" y="0"/>
            <wp:positionH relativeFrom="column">
              <wp:posOffset>-762000</wp:posOffset>
            </wp:positionH>
            <wp:positionV relativeFrom="paragraph">
              <wp:posOffset>-520065</wp:posOffset>
            </wp:positionV>
            <wp:extent cx="7288530" cy="9772015"/>
            <wp:effectExtent l="0" t="0" r="7620" b="635"/>
            <wp:wrapNone/>
            <wp:docPr id="1162" name="图片 70"/>
            <wp:cNvGraphicFramePr>
              <a:graphicFrameLocks noChangeAspect="1"/>
            </wp:cNvGraphicFramePr>
            <a:graphic>
              <a:graphicData uri="http://schemas.openxmlformats.org/drawingml/2006/picture">
                <pic:pic>
                  <pic:nvPicPr>
                    <pic:cNvPr id="751" name="图片 70 751"/>
                    <pic:cNvPicPr/>
                  </pic:nvPicPr>
                  <pic:blipFill>
                    <a:blip r:embed="rId141"/>
                    <a:stretch>
                      <a:fillRect/>
                    </a:stretch>
                  </pic:blipFill>
                  <pic:spPr>
                    <a:xfrm rot="0">
                      <a:off x="0" y="0"/>
                      <a:ext cx="7288530" cy="97720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38" behindDoc="0" locked="0" layoutInCell="1" hidden="0" allowOverlap="1">
            <wp:simplePos x="0" y="0"/>
            <wp:positionH relativeFrom="column">
              <wp:posOffset>-790575</wp:posOffset>
            </wp:positionH>
            <wp:positionV relativeFrom="paragraph">
              <wp:posOffset>-723900</wp:posOffset>
            </wp:positionV>
            <wp:extent cx="7341870" cy="10258425"/>
            <wp:effectExtent l="0" t="0" r="11430" b="9525"/>
            <wp:wrapNone/>
            <wp:docPr id="1163" name="图片 71"/>
            <wp:cNvGraphicFramePr>
              <a:graphicFrameLocks noChangeAspect="1"/>
            </wp:cNvGraphicFramePr>
            <a:graphic>
              <a:graphicData uri="http://schemas.openxmlformats.org/drawingml/2006/picture">
                <pic:pic>
                  <pic:nvPicPr>
                    <pic:cNvPr id="753" name="图片 71 753"/>
                    <pic:cNvPicPr/>
                  </pic:nvPicPr>
                  <pic:blipFill>
                    <a:blip r:embed="rId142"/>
                    <a:stretch>
                      <a:fillRect/>
                    </a:stretch>
                  </pic:blipFill>
                  <pic:spPr>
                    <a:xfrm rot="0">
                      <a:off x="0" y="0"/>
                      <a:ext cx="7341870" cy="102584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40" behindDoc="0" locked="0" layoutInCell="1" hidden="0" allowOverlap="1">
            <wp:simplePos x="0" y="0"/>
            <wp:positionH relativeFrom="column">
              <wp:posOffset>-704850</wp:posOffset>
            </wp:positionH>
            <wp:positionV relativeFrom="paragraph">
              <wp:posOffset>-723900</wp:posOffset>
            </wp:positionV>
            <wp:extent cx="7338060" cy="10076815"/>
            <wp:effectExtent l="0" t="0" r="15240" b="635"/>
            <wp:wrapNone/>
            <wp:docPr id="1164" name="图片 72"/>
            <wp:cNvGraphicFramePr>
              <a:graphicFrameLocks noChangeAspect="1"/>
            </wp:cNvGraphicFramePr>
            <a:graphic>
              <a:graphicData uri="http://schemas.openxmlformats.org/drawingml/2006/picture">
                <pic:pic>
                  <pic:nvPicPr>
                    <pic:cNvPr id="755" name="图片 72 755"/>
                    <pic:cNvPicPr/>
                  </pic:nvPicPr>
                  <pic:blipFill>
                    <a:blip r:embed="rId143"/>
                    <a:stretch>
                      <a:fillRect/>
                    </a:stretch>
                  </pic:blipFill>
                  <pic:spPr>
                    <a:xfrm rot="0">
                      <a:off x="0" y="0"/>
                      <a:ext cx="7338060" cy="100768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42" behindDoc="0" locked="0" layoutInCell="1" hidden="0" allowOverlap="1">
            <wp:simplePos x="0" y="0"/>
            <wp:positionH relativeFrom="column">
              <wp:posOffset>-790575</wp:posOffset>
            </wp:positionH>
            <wp:positionV relativeFrom="paragraph">
              <wp:posOffset>-781050</wp:posOffset>
            </wp:positionV>
            <wp:extent cx="7412990" cy="10363200"/>
            <wp:effectExtent l="0" t="0" r="16510" b="0"/>
            <wp:wrapNone/>
            <wp:docPr id="1165" name="图片 73"/>
            <wp:cNvGraphicFramePr>
              <a:graphicFrameLocks noChangeAspect="1"/>
            </wp:cNvGraphicFramePr>
            <a:graphic>
              <a:graphicData uri="http://schemas.openxmlformats.org/drawingml/2006/picture">
                <pic:pic>
                  <pic:nvPicPr>
                    <pic:cNvPr id="757" name="图片 73 757"/>
                    <pic:cNvPicPr/>
                  </pic:nvPicPr>
                  <pic:blipFill>
                    <a:blip r:embed="rId144"/>
                    <a:stretch>
                      <a:fillRect/>
                    </a:stretch>
                  </pic:blipFill>
                  <pic:spPr>
                    <a:xfrm rot="0">
                      <a:off x="0" y="0"/>
                      <a:ext cx="7412990" cy="103632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44" behindDoc="0" locked="0" layoutInCell="1" hidden="0" allowOverlap="1">
            <wp:simplePos x="0" y="0"/>
            <wp:positionH relativeFrom="column">
              <wp:posOffset>-800100</wp:posOffset>
            </wp:positionH>
            <wp:positionV relativeFrom="paragraph">
              <wp:posOffset>-777240</wp:posOffset>
            </wp:positionV>
            <wp:extent cx="7402194" cy="10353040"/>
            <wp:effectExtent l="0" t="0" r="8255" b="10160"/>
            <wp:wrapNone/>
            <wp:docPr id="1166" name="图片 74"/>
            <wp:cNvGraphicFramePr>
              <a:graphicFrameLocks noChangeAspect="1"/>
            </wp:cNvGraphicFramePr>
            <a:graphic>
              <a:graphicData uri="http://schemas.openxmlformats.org/drawingml/2006/picture">
                <pic:pic>
                  <pic:nvPicPr>
                    <pic:cNvPr id="759" name="图片 74 759"/>
                    <pic:cNvPicPr/>
                  </pic:nvPicPr>
                  <pic:blipFill>
                    <a:blip r:embed="rId145"/>
                    <a:stretch>
                      <a:fillRect/>
                    </a:stretch>
                  </pic:blipFill>
                  <pic:spPr>
                    <a:xfrm rot="0">
                      <a:off x="0" y="0"/>
                      <a:ext cx="7402194" cy="103530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46" behindDoc="0" locked="0" layoutInCell="1" hidden="0" allowOverlap="1">
            <wp:simplePos x="0" y="0"/>
            <wp:positionH relativeFrom="column">
              <wp:posOffset>-781050</wp:posOffset>
            </wp:positionH>
            <wp:positionV relativeFrom="paragraph">
              <wp:posOffset>-809625</wp:posOffset>
            </wp:positionV>
            <wp:extent cx="7419975" cy="10124440"/>
            <wp:effectExtent l="0" t="0" r="9525" b="10160"/>
            <wp:wrapNone/>
            <wp:docPr id="1167" name="图片 75"/>
            <wp:cNvGraphicFramePr>
              <a:graphicFrameLocks noChangeAspect="1"/>
            </wp:cNvGraphicFramePr>
            <a:graphic>
              <a:graphicData uri="http://schemas.openxmlformats.org/drawingml/2006/picture">
                <pic:pic>
                  <pic:nvPicPr>
                    <pic:cNvPr id="761" name="图片 75 761"/>
                    <pic:cNvPicPr/>
                  </pic:nvPicPr>
                  <pic:blipFill>
                    <a:blip r:embed="rId146"/>
                    <a:stretch>
                      <a:fillRect/>
                    </a:stretch>
                  </pic:blipFill>
                  <pic:spPr>
                    <a:xfrm rot="0">
                      <a:off x="0" y="0"/>
                      <a:ext cx="7419975" cy="101244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48" behindDoc="0" locked="0" layoutInCell="1" hidden="0" allowOverlap="1">
            <wp:simplePos x="0" y="0"/>
            <wp:positionH relativeFrom="column">
              <wp:posOffset>-781050</wp:posOffset>
            </wp:positionH>
            <wp:positionV relativeFrom="paragraph">
              <wp:posOffset>-790575</wp:posOffset>
            </wp:positionV>
            <wp:extent cx="7214235" cy="10201275"/>
            <wp:effectExtent l="0" t="0" r="5715" b="9525"/>
            <wp:wrapNone/>
            <wp:docPr id="1168" name="图片 76"/>
            <wp:cNvGraphicFramePr>
              <a:graphicFrameLocks noChangeAspect="1"/>
            </wp:cNvGraphicFramePr>
            <a:graphic>
              <a:graphicData uri="http://schemas.openxmlformats.org/drawingml/2006/picture">
                <pic:pic>
                  <pic:nvPicPr>
                    <pic:cNvPr id="763" name="图片 76 763"/>
                    <pic:cNvPicPr/>
                  </pic:nvPicPr>
                  <pic:blipFill>
                    <a:blip r:embed="rId147"/>
                    <a:stretch>
                      <a:fillRect/>
                    </a:stretch>
                  </pic:blipFill>
                  <pic:spPr>
                    <a:xfrm rot="0">
                      <a:off x="0" y="0"/>
                      <a:ext cx="7214235" cy="102012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50" behindDoc="0" locked="0" layoutInCell="1" hidden="0" allowOverlap="1">
            <wp:simplePos x="0" y="0"/>
            <wp:positionH relativeFrom="column">
              <wp:posOffset>-819150</wp:posOffset>
            </wp:positionH>
            <wp:positionV relativeFrom="paragraph">
              <wp:posOffset>-790575</wp:posOffset>
            </wp:positionV>
            <wp:extent cx="7450455" cy="10372090"/>
            <wp:effectExtent l="0" t="0" r="17145" b="10160"/>
            <wp:wrapNone/>
            <wp:docPr id="1169" name="图片 77"/>
            <wp:cNvGraphicFramePr>
              <a:graphicFrameLocks noChangeAspect="1"/>
            </wp:cNvGraphicFramePr>
            <a:graphic>
              <a:graphicData uri="http://schemas.openxmlformats.org/drawingml/2006/picture">
                <pic:pic>
                  <pic:nvPicPr>
                    <pic:cNvPr id="765" name="图片 77 765"/>
                    <pic:cNvPicPr/>
                  </pic:nvPicPr>
                  <pic:blipFill>
                    <a:blip r:embed="rId148"/>
                    <a:stretch>
                      <a:fillRect/>
                    </a:stretch>
                  </pic:blipFill>
                  <pic:spPr>
                    <a:xfrm rot="0">
                      <a:off x="0" y="0"/>
                      <a:ext cx="7450455" cy="103720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52" behindDoc="0" locked="0" layoutInCell="1" hidden="0" allowOverlap="1">
            <wp:simplePos x="0" y="0"/>
            <wp:positionH relativeFrom="column">
              <wp:posOffset>-847725</wp:posOffset>
            </wp:positionH>
            <wp:positionV relativeFrom="paragraph">
              <wp:posOffset>-847725</wp:posOffset>
            </wp:positionV>
            <wp:extent cx="7354569" cy="10457815"/>
            <wp:effectExtent l="0" t="0" r="17779" b="635"/>
            <wp:wrapNone/>
            <wp:docPr id="1170" name="图片 78"/>
            <wp:cNvGraphicFramePr>
              <a:graphicFrameLocks noChangeAspect="1"/>
            </wp:cNvGraphicFramePr>
            <a:graphic>
              <a:graphicData uri="http://schemas.openxmlformats.org/drawingml/2006/picture">
                <pic:pic>
                  <pic:nvPicPr>
                    <pic:cNvPr id="767" name="图片 78 767"/>
                    <pic:cNvPicPr/>
                  </pic:nvPicPr>
                  <pic:blipFill>
                    <a:blip r:embed="rId149"/>
                    <a:stretch>
                      <a:fillRect/>
                    </a:stretch>
                  </pic:blipFill>
                  <pic:spPr>
                    <a:xfrm rot="0">
                      <a:off x="0" y="0"/>
                      <a:ext cx="7354569" cy="104578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54" behindDoc="0" locked="0" layoutInCell="1" hidden="0" allowOverlap="1">
            <wp:simplePos x="0" y="0"/>
            <wp:positionH relativeFrom="column">
              <wp:posOffset>-838200</wp:posOffset>
            </wp:positionH>
            <wp:positionV relativeFrom="paragraph">
              <wp:posOffset>-828675</wp:posOffset>
            </wp:positionV>
            <wp:extent cx="7409815" cy="10267950"/>
            <wp:effectExtent l="0" t="0" r="635" b="0"/>
            <wp:wrapNone/>
            <wp:docPr id="1171" name="图片 79"/>
            <wp:cNvGraphicFramePr>
              <a:graphicFrameLocks noChangeAspect="1"/>
            </wp:cNvGraphicFramePr>
            <a:graphic>
              <a:graphicData uri="http://schemas.openxmlformats.org/drawingml/2006/picture">
                <pic:pic>
                  <pic:nvPicPr>
                    <pic:cNvPr id="769" name="图片 79 769"/>
                    <pic:cNvPicPr/>
                  </pic:nvPicPr>
                  <pic:blipFill>
                    <a:blip r:embed="rId150"/>
                    <a:stretch>
                      <a:fillRect/>
                    </a:stretch>
                  </pic:blipFill>
                  <pic:spPr>
                    <a:xfrm rot="0">
                      <a:off x="0" y="0"/>
                      <a:ext cx="7409815" cy="102679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56" behindDoc="0" locked="0" layoutInCell="1" hidden="0" allowOverlap="1">
            <wp:simplePos x="0" y="0"/>
            <wp:positionH relativeFrom="column">
              <wp:posOffset>-838200</wp:posOffset>
            </wp:positionH>
            <wp:positionV relativeFrom="paragraph">
              <wp:posOffset>-762000</wp:posOffset>
            </wp:positionV>
            <wp:extent cx="7333615" cy="10314940"/>
            <wp:effectExtent l="0" t="0" r="635" b="10160"/>
            <wp:wrapNone/>
            <wp:docPr id="1172" name="图片 80"/>
            <wp:cNvGraphicFramePr>
              <a:graphicFrameLocks noChangeAspect="1"/>
            </wp:cNvGraphicFramePr>
            <a:graphic>
              <a:graphicData uri="http://schemas.openxmlformats.org/drawingml/2006/picture">
                <pic:pic>
                  <pic:nvPicPr>
                    <pic:cNvPr id="771" name="图片 80 771"/>
                    <pic:cNvPicPr/>
                  </pic:nvPicPr>
                  <pic:blipFill>
                    <a:blip r:embed="rId151"/>
                    <a:stretch>
                      <a:fillRect/>
                    </a:stretch>
                  </pic:blipFill>
                  <pic:spPr>
                    <a:xfrm rot="0">
                      <a:off x="0" y="0"/>
                      <a:ext cx="7333615" cy="103149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58" behindDoc="0" locked="0" layoutInCell="1" hidden="0" allowOverlap="1">
            <wp:simplePos x="0" y="0"/>
            <wp:positionH relativeFrom="column">
              <wp:posOffset>-838200</wp:posOffset>
            </wp:positionH>
            <wp:positionV relativeFrom="paragraph">
              <wp:posOffset>-843915</wp:posOffset>
            </wp:positionV>
            <wp:extent cx="7374255" cy="10097134"/>
            <wp:effectExtent l="0" t="0" r="17145" b="18415"/>
            <wp:wrapNone/>
            <wp:docPr id="1173" name="图片 81"/>
            <wp:cNvGraphicFramePr>
              <a:graphicFrameLocks noChangeAspect="1"/>
            </wp:cNvGraphicFramePr>
            <a:graphic>
              <a:graphicData uri="http://schemas.openxmlformats.org/drawingml/2006/picture">
                <pic:pic>
                  <pic:nvPicPr>
                    <pic:cNvPr id="773" name="图片 81 773"/>
                    <pic:cNvPicPr/>
                  </pic:nvPicPr>
                  <pic:blipFill>
                    <a:blip r:embed="rId152"/>
                    <a:stretch>
                      <a:fillRect/>
                    </a:stretch>
                  </pic:blipFill>
                  <pic:spPr>
                    <a:xfrm rot="0">
                      <a:off x="0" y="0"/>
                      <a:ext cx="7374255" cy="10097134"/>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60" behindDoc="0" locked="0" layoutInCell="1" hidden="0" allowOverlap="1">
            <wp:simplePos x="0" y="0"/>
            <wp:positionH relativeFrom="column">
              <wp:posOffset>-762000</wp:posOffset>
            </wp:positionH>
            <wp:positionV relativeFrom="paragraph">
              <wp:posOffset>-752475</wp:posOffset>
            </wp:positionV>
            <wp:extent cx="7308215" cy="10144125"/>
            <wp:effectExtent l="0" t="0" r="6985" b="9525"/>
            <wp:wrapNone/>
            <wp:docPr id="1174" name="图片 82"/>
            <wp:cNvGraphicFramePr>
              <a:graphicFrameLocks noChangeAspect="1"/>
            </wp:cNvGraphicFramePr>
            <a:graphic>
              <a:graphicData uri="http://schemas.openxmlformats.org/drawingml/2006/picture">
                <pic:pic>
                  <pic:nvPicPr>
                    <pic:cNvPr id="775" name="图片 82 775"/>
                    <pic:cNvPicPr/>
                  </pic:nvPicPr>
                  <pic:blipFill>
                    <a:blip r:embed="rId153"/>
                    <a:stretch>
                      <a:fillRect/>
                    </a:stretch>
                  </pic:blipFill>
                  <pic:spPr>
                    <a:xfrm rot="0">
                      <a:off x="0" y="0"/>
                      <a:ext cx="7308215" cy="101441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62" behindDoc="0" locked="0" layoutInCell="1" hidden="0" allowOverlap="1">
            <wp:simplePos x="0" y="0"/>
            <wp:positionH relativeFrom="column">
              <wp:posOffset>-781050</wp:posOffset>
            </wp:positionH>
            <wp:positionV relativeFrom="paragraph">
              <wp:posOffset>-790575</wp:posOffset>
            </wp:positionV>
            <wp:extent cx="7292340" cy="10220325"/>
            <wp:effectExtent l="0" t="0" r="3810" b="9525"/>
            <wp:wrapNone/>
            <wp:docPr id="1175" name="图片 83"/>
            <wp:cNvGraphicFramePr>
              <a:graphicFrameLocks noChangeAspect="1"/>
            </wp:cNvGraphicFramePr>
            <a:graphic>
              <a:graphicData uri="http://schemas.openxmlformats.org/drawingml/2006/picture">
                <pic:pic>
                  <pic:nvPicPr>
                    <pic:cNvPr id="777" name="图片 83 777"/>
                    <pic:cNvPicPr/>
                  </pic:nvPicPr>
                  <pic:blipFill>
                    <a:blip r:embed="rId154"/>
                    <a:stretch>
                      <a:fillRect/>
                    </a:stretch>
                  </pic:blipFill>
                  <pic:spPr>
                    <a:xfrm rot="0">
                      <a:off x="0" y="0"/>
                      <a:ext cx="7292340" cy="102203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64" behindDoc="0" locked="0" layoutInCell="1" hidden="0" allowOverlap="1">
            <wp:simplePos x="0" y="0"/>
            <wp:positionH relativeFrom="column">
              <wp:posOffset>-809625</wp:posOffset>
            </wp:positionH>
            <wp:positionV relativeFrom="paragraph">
              <wp:posOffset>-809625</wp:posOffset>
            </wp:positionV>
            <wp:extent cx="7435215" cy="10372725"/>
            <wp:effectExtent l="0" t="0" r="13335" b="9525"/>
            <wp:wrapNone/>
            <wp:docPr id="1176" name="图片 84"/>
            <wp:cNvGraphicFramePr>
              <a:graphicFrameLocks noChangeAspect="1"/>
            </wp:cNvGraphicFramePr>
            <a:graphic>
              <a:graphicData uri="http://schemas.openxmlformats.org/drawingml/2006/picture">
                <pic:pic>
                  <pic:nvPicPr>
                    <pic:cNvPr id="779" name="图片 84 779"/>
                    <pic:cNvPicPr/>
                  </pic:nvPicPr>
                  <pic:blipFill>
                    <a:blip r:embed="rId155"/>
                    <a:stretch>
                      <a:fillRect/>
                    </a:stretch>
                  </pic:blipFill>
                  <pic:spPr>
                    <a:xfrm rot="0">
                      <a:off x="0" y="0"/>
                      <a:ext cx="7435215" cy="103727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66" behindDoc="0" locked="0" layoutInCell="1" hidden="0" allowOverlap="1">
            <wp:simplePos x="0" y="0"/>
            <wp:positionH relativeFrom="column">
              <wp:posOffset>-847725</wp:posOffset>
            </wp:positionH>
            <wp:positionV relativeFrom="paragraph">
              <wp:posOffset>-847725</wp:posOffset>
            </wp:positionV>
            <wp:extent cx="7334884" cy="10361930"/>
            <wp:effectExtent l="0" t="0" r="18415" b="1270"/>
            <wp:wrapNone/>
            <wp:docPr id="1177" name="图片 85"/>
            <wp:cNvGraphicFramePr>
              <a:graphicFrameLocks noChangeAspect="1"/>
            </wp:cNvGraphicFramePr>
            <a:graphic>
              <a:graphicData uri="http://schemas.openxmlformats.org/drawingml/2006/picture">
                <pic:pic>
                  <pic:nvPicPr>
                    <pic:cNvPr id="781" name="图片 85 781"/>
                    <pic:cNvPicPr/>
                  </pic:nvPicPr>
                  <pic:blipFill>
                    <a:blip r:embed="rId156"/>
                    <a:stretch>
                      <a:fillRect/>
                    </a:stretch>
                  </pic:blipFill>
                  <pic:spPr>
                    <a:xfrm rot="0">
                      <a:off x="0" y="0"/>
                      <a:ext cx="7334884" cy="1036193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68" behindDoc="0" locked="0" layoutInCell="1" hidden="0" allowOverlap="1">
            <wp:simplePos x="0" y="0"/>
            <wp:positionH relativeFrom="column">
              <wp:posOffset>-838200</wp:posOffset>
            </wp:positionH>
            <wp:positionV relativeFrom="paragraph">
              <wp:posOffset>-777240</wp:posOffset>
            </wp:positionV>
            <wp:extent cx="7352030" cy="10248900"/>
            <wp:effectExtent l="0" t="0" r="1270" b="0"/>
            <wp:wrapNone/>
            <wp:docPr id="1178" name="图片 86"/>
            <wp:cNvGraphicFramePr>
              <a:graphicFrameLocks noChangeAspect="1"/>
            </wp:cNvGraphicFramePr>
            <a:graphic>
              <a:graphicData uri="http://schemas.openxmlformats.org/drawingml/2006/picture">
                <pic:pic>
                  <pic:nvPicPr>
                    <pic:cNvPr id="783" name="图片 86 783"/>
                    <pic:cNvPicPr/>
                  </pic:nvPicPr>
                  <pic:blipFill>
                    <a:blip r:embed="rId157"/>
                    <a:stretch>
                      <a:fillRect/>
                    </a:stretch>
                  </pic:blipFill>
                  <pic:spPr>
                    <a:xfrm rot="0">
                      <a:off x="0" y="0"/>
                      <a:ext cx="7352030" cy="102489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70" behindDoc="0" locked="0" layoutInCell="1" hidden="0" allowOverlap="1">
            <wp:simplePos x="0" y="0"/>
            <wp:positionH relativeFrom="column">
              <wp:posOffset>-819150</wp:posOffset>
            </wp:positionH>
            <wp:positionV relativeFrom="paragraph">
              <wp:posOffset>-828675</wp:posOffset>
            </wp:positionV>
            <wp:extent cx="7352665" cy="10410190"/>
            <wp:effectExtent l="0" t="0" r="635" b="10160"/>
            <wp:wrapNone/>
            <wp:docPr id="1179" name="图片 87"/>
            <wp:cNvGraphicFramePr>
              <a:graphicFrameLocks noChangeAspect="1"/>
            </wp:cNvGraphicFramePr>
            <a:graphic>
              <a:graphicData uri="http://schemas.openxmlformats.org/drawingml/2006/picture">
                <pic:pic>
                  <pic:nvPicPr>
                    <pic:cNvPr id="785" name="图片 87 785"/>
                    <pic:cNvPicPr/>
                  </pic:nvPicPr>
                  <pic:blipFill>
                    <a:blip r:embed="rId158"/>
                    <a:stretch>
                      <a:fillRect/>
                    </a:stretch>
                  </pic:blipFill>
                  <pic:spPr>
                    <a:xfrm rot="0">
                      <a:off x="0" y="0"/>
                      <a:ext cx="7352665" cy="104101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72" behindDoc="0" locked="0" layoutInCell="1" hidden="0" allowOverlap="1">
            <wp:simplePos x="0" y="0"/>
            <wp:positionH relativeFrom="column">
              <wp:posOffset>-781050</wp:posOffset>
            </wp:positionH>
            <wp:positionV relativeFrom="paragraph">
              <wp:posOffset>-742950</wp:posOffset>
            </wp:positionV>
            <wp:extent cx="7386320" cy="10067925"/>
            <wp:effectExtent l="0" t="0" r="5080" b="9525"/>
            <wp:wrapNone/>
            <wp:docPr id="1180" name="图片 88"/>
            <wp:cNvGraphicFramePr>
              <a:graphicFrameLocks noChangeAspect="1"/>
            </wp:cNvGraphicFramePr>
            <a:graphic>
              <a:graphicData uri="http://schemas.openxmlformats.org/drawingml/2006/picture">
                <pic:pic>
                  <pic:nvPicPr>
                    <pic:cNvPr id="787" name="图片 88 787"/>
                    <pic:cNvPicPr/>
                  </pic:nvPicPr>
                  <pic:blipFill>
                    <a:blip r:embed="rId159"/>
                    <a:stretch>
                      <a:fillRect/>
                    </a:stretch>
                  </pic:blipFill>
                  <pic:spPr>
                    <a:xfrm rot="0">
                      <a:off x="0" y="0"/>
                      <a:ext cx="7386320" cy="100679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74" behindDoc="0" locked="0" layoutInCell="1" hidden="0" allowOverlap="1">
            <wp:simplePos x="0" y="0"/>
            <wp:positionH relativeFrom="column">
              <wp:posOffset>-838200</wp:posOffset>
            </wp:positionH>
            <wp:positionV relativeFrom="paragraph">
              <wp:posOffset>-800100</wp:posOffset>
            </wp:positionV>
            <wp:extent cx="7276465" cy="10239375"/>
            <wp:effectExtent l="0" t="0" r="635" b="9525"/>
            <wp:wrapNone/>
            <wp:docPr id="1181" name="图片 89"/>
            <wp:cNvGraphicFramePr>
              <a:graphicFrameLocks noChangeAspect="1"/>
            </wp:cNvGraphicFramePr>
            <a:graphic>
              <a:graphicData uri="http://schemas.openxmlformats.org/drawingml/2006/picture">
                <pic:pic>
                  <pic:nvPicPr>
                    <pic:cNvPr id="789" name="图片 89 789"/>
                    <pic:cNvPicPr/>
                  </pic:nvPicPr>
                  <pic:blipFill>
                    <a:blip r:embed="rId160"/>
                    <a:stretch>
                      <a:fillRect/>
                    </a:stretch>
                  </pic:blipFill>
                  <pic:spPr>
                    <a:xfrm rot="0">
                      <a:off x="0" y="0"/>
                      <a:ext cx="7276465" cy="102393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76" behindDoc="0" locked="0" layoutInCell="1" hidden="0" allowOverlap="1">
            <wp:simplePos x="0" y="0"/>
            <wp:positionH relativeFrom="column">
              <wp:posOffset>-781050</wp:posOffset>
            </wp:positionH>
            <wp:positionV relativeFrom="paragraph">
              <wp:posOffset>-742950</wp:posOffset>
            </wp:positionV>
            <wp:extent cx="7376160" cy="10162540"/>
            <wp:effectExtent l="0" t="0" r="15240" b="10160"/>
            <wp:wrapNone/>
            <wp:docPr id="1182" name="图片 90"/>
            <wp:cNvGraphicFramePr>
              <a:graphicFrameLocks noChangeAspect="1"/>
            </wp:cNvGraphicFramePr>
            <a:graphic>
              <a:graphicData uri="http://schemas.openxmlformats.org/drawingml/2006/picture">
                <pic:pic>
                  <pic:nvPicPr>
                    <pic:cNvPr id="791" name="图片 90 791"/>
                    <pic:cNvPicPr/>
                  </pic:nvPicPr>
                  <pic:blipFill>
                    <a:blip r:embed="rId161"/>
                    <a:stretch>
                      <a:fillRect/>
                    </a:stretch>
                  </pic:blipFill>
                  <pic:spPr>
                    <a:xfrm rot="0">
                      <a:off x="0" y="0"/>
                      <a:ext cx="7376160" cy="101625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78" behindDoc="0" locked="0" layoutInCell="1" hidden="0" allowOverlap="1">
            <wp:simplePos x="0" y="0"/>
            <wp:positionH relativeFrom="column">
              <wp:posOffset>-771525</wp:posOffset>
            </wp:positionH>
            <wp:positionV relativeFrom="paragraph">
              <wp:posOffset>-781050</wp:posOffset>
            </wp:positionV>
            <wp:extent cx="7381240" cy="10439400"/>
            <wp:effectExtent l="0" t="0" r="10160" b="0"/>
            <wp:wrapNone/>
            <wp:docPr id="1183" name="图片 91"/>
            <wp:cNvGraphicFramePr>
              <a:graphicFrameLocks noChangeAspect="1"/>
            </wp:cNvGraphicFramePr>
            <a:graphic>
              <a:graphicData uri="http://schemas.openxmlformats.org/drawingml/2006/picture">
                <pic:pic>
                  <pic:nvPicPr>
                    <pic:cNvPr id="793" name="图片 91 793"/>
                    <pic:cNvPicPr/>
                  </pic:nvPicPr>
                  <pic:blipFill>
                    <a:blip r:embed="rId162"/>
                    <a:stretch>
                      <a:fillRect/>
                    </a:stretch>
                  </pic:blipFill>
                  <pic:spPr>
                    <a:xfrm rot="0">
                      <a:off x="0" y="0"/>
                      <a:ext cx="7381240" cy="104394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80" behindDoc="0" locked="0" layoutInCell="1" hidden="0" allowOverlap="1">
            <wp:simplePos x="0" y="0"/>
            <wp:positionH relativeFrom="column">
              <wp:posOffset>-781050</wp:posOffset>
            </wp:positionH>
            <wp:positionV relativeFrom="paragraph">
              <wp:posOffset>-819150</wp:posOffset>
            </wp:positionV>
            <wp:extent cx="7400925" cy="10295890"/>
            <wp:effectExtent l="0" t="0" r="9525" b="10160"/>
            <wp:wrapNone/>
            <wp:docPr id="1184" name="图片 92"/>
            <wp:cNvGraphicFramePr>
              <a:graphicFrameLocks noChangeAspect="1"/>
            </wp:cNvGraphicFramePr>
            <a:graphic>
              <a:graphicData uri="http://schemas.openxmlformats.org/drawingml/2006/picture">
                <pic:pic>
                  <pic:nvPicPr>
                    <pic:cNvPr id="795" name="图片 92 795"/>
                    <pic:cNvPicPr/>
                  </pic:nvPicPr>
                  <pic:blipFill>
                    <a:blip r:embed="rId163"/>
                    <a:stretch>
                      <a:fillRect/>
                    </a:stretch>
                  </pic:blipFill>
                  <pic:spPr>
                    <a:xfrm rot="0">
                      <a:off x="0" y="0"/>
                      <a:ext cx="7400925" cy="102958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82" behindDoc="0" locked="0" layoutInCell="1" hidden="0" allowOverlap="1">
            <wp:simplePos x="0" y="0"/>
            <wp:positionH relativeFrom="column">
              <wp:posOffset>-800100</wp:posOffset>
            </wp:positionH>
            <wp:positionV relativeFrom="paragraph">
              <wp:posOffset>-742950</wp:posOffset>
            </wp:positionV>
            <wp:extent cx="7409815" cy="10286365"/>
            <wp:effectExtent l="0" t="0" r="635" b="635"/>
            <wp:wrapNone/>
            <wp:docPr id="1185" name="图片 93"/>
            <wp:cNvGraphicFramePr>
              <a:graphicFrameLocks noChangeAspect="1"/>
            </wp:cNvGraphicFramePr>
            <a:graphic>
              <a:graphicData uri="http://schemas.openxmlformats.org/drawingml/2006/picture">
                <pic:pic>
                  <pic:nvPicPr>
                    <pic:cNvPr id="797" name="图片 93 797"/>
                    <pic:cNvPicPr/>
                  </pic:nvPicPr>
                  <pic:blipFill>
                    <a:blip r:embed="rId164"/>
                    <a:stretch>
                      <a:fillRect/>
                    </a:stretch>
                  </pic:blipFill>
                  <pic:spPr>
                    <a:xfrm rot="0">
                      <a:off x="0" y="0"/>
                      <a:ext cx="7409815" cy="1028636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84" behindDoc="0" locked="0" layoutInCell="1" hidden="0" allowOverlap="1">
            <wp:simplePos x="0" y="0"/>
            <wp:positionH relativeFrom="column">
              <wp:posOffset>-857250</wp:posOffset>
            </wp:positionH>
            <wp:positionV relativeFrom="paragraph">
              <wp:posOffset>-828675</wp:posOffset>
            </wp:positionV>
            <wp:extent cx="7495540" cy="10572750"/>
            <wp:effectExtent l="0" t="0" r="10160" b="0"/>
            <wp:wrapNone/>
            <wp:docPr id="1186" name="图片 94"/>
            <wp:cNvGraphicFramePr>
              <a:graphicFrameLocks noChangeAspect="1"/>
            </wp:cNvGraphicFramePr>
            <a:graphic>
              <a:graphicData uri="http://schemas.openxmlformats.org/drawingml/2006/picture">
                <pic:pic>
                  <pic:nvPicPr>
                    <pic:cNvPr id="799" name="图片 94 799"/>
                    <pic:cNvPicPr/>
                  </pic:nvPicPr>
                  <pic:blipFill>
                    <a:blip r:embed="rId165"/>
                    <a:stretch>
                      <a:fillRect/>
                    </a:stretch>
                  </pic:blipFill>
                  <pic:spPr>
                    <a:xfrm rot="0">
                      <a:off x="0" y="0"/>
                      <a:ext cx="7495540" cy="105727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86" behindDoc="0" locked="0" layoutInCell="1" hidden="0" allowOverlap="1">
            <wp:simplePos x="0" y="0"/>
            <wp:positionH relativeFrom="column">
              <wp:posOffset>-809625</wp:posOffset>
            </wp:positionH>
            <wp:positionV relativeFrom="paragraph">
              <wp:posOffset>-819150</wp:posOffset>
            </wp:positionV>
            <wp:extent cx="7401559" cy="10496550"/>
            <wp:effectExtent l="0" t="0" r="8889" b="0"/>
            <wp:wrapNone/>
            <wp:docPr id="1187" name="图片 95"/>
            <wp:cNvGraphicFramePr>
              <a:graphicFrameLocks noChangeAspect="1"/>
            </wp:cNvGraphicFramePr>
            <a:graphic>
              <a:graphicData uri="http://schemas.openxmlformats.org/drawingml/2006/picture">
                <pic:pic>
                  <pic:nvPicPr>
                    <pic:cNvPr id="801" name="图片 95 801"/>
                    <pic:cNvPicPr/>
                  </pic:nvPicPr>
                  <pic:blipFill>
                    <a:blip r:embed="rId166"/>
                    <a:stretch>
                      <a:fillRect/>
                    </a:stretch>
                  </pic:blipFill>
                  <pic:spPr>
                    <a:xfrm rot="0">
                      <a:off x="0" y="0"/>
                      <a:ext cx="7401559" cy="104965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88" behindDoc="0" locked="0" layoutInCell="1" hidden="0" allowOverlap="1">
            <wp:simplePos x="0" y="0"/>
            <wp:positionH relativeFrom="column">
              <wp:posOffset>-809625</wp:posOffset>
            </wp:positionH>
            <wp:positionV relativeFrom="paragraph">
              <wp:posOffset>-809625</wp:posOffset>
            </wp:positionV>
            <wp:extent cx="7368540" cy="10410825"/>
            <wp:effectExtent l="0" t="0" r="3810" b="9525"/>
            <wp:wrapNone/>
            <wp:docPr id="1188" name="图片 96"/>
            <wp:cNvGraphicFramePr>
              <a:graphicFrameLocks noChangeAspect="1"/>
            </wp:cNvGraphicFramePr>
            <a:graphic>
              <a:graphicData uri="http://schemas.openxmlformats.org/drawingml/2006/picture">
                <pic:pic>
                  <pic:nvPicPr>
                    <pic:cNvPr id="803" name="图片 96 803"/>
                    <pic:cNvPicPr/>
                  </pic:nvPicPr>
                  <pic:blipFill>
                    <a:blip r:embed="rId167"/>
                    <a:stretch>
                      <a:fillRect/>
                    </a:stretch>
                  </pic:blipFill>
                  <pic:spPr>
                    <a:xfrm rot="0">
                      <a:off x="0" y="0"/>
                      <a:ext cx="7368540" cy="104108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90" behindDoc="0" locked="0" layoutInCell="1" hidden="0" allowOverlap="1">
            <wp:simplePos x="0" y="0"/>
            <wp:positionH relativeFrom="column">
              <wp:posOffset>-828675</wp:posOffset>
            </wp:positionH>
            <wp:positionV relativeFrom="paragraph">
              <wp:posOffset>-862965</wp:posOffset>
            </wp:positionV>
            <wp:extent cx="7340600" cy="10429875"/>
            <wp:effectExtent l="0" t="0" r="12700" b="9525"/>
            <wp:wrapNone/>
            <wp:docPr id="1189" name="图片 97"/>
            <wp:cNvGraphicFramePr>
              <a:graphicFrameLocks noChangeAspect="1"/>
            </wp:cNvGraphicFramePr>
            <a:graphic>
              <a:graphicData uri="http://schemas.openxmlformats.org/drawingml/2006/picture">
                <pic:pic>
                  <pic:nvPicPr>
                    <pic:cNvPr id="805" name="图片 97 805"/>
                    <pic:cNvPicPr/>
                  </pic:nvPicPr>
                  <pic:blipFill>
                    <a:blip r:embed="rId168"/>
                    <a:stretch>
                      <a:fillRect/>
                    </a:stretch>
                  </pic:blipFill>
                  <pic:spPr>
                    <a:xfrm rot="0">
                      <a:off x="0" y="0"/>
                      <a:ext cx="7340600" cy="104298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92" behindDoc="0" locked="0" layoutInCell="1" hidden="0" allowOverlap="1">
            <wp:simplePos x="0" y="0"/>
            <wp:positionH relativeFrom="column">
              <wp:posOffset>-800100</wp:posOffset>
            </wp:positionH>
            <wp:positionV relativeFrom="paragraph">
              <wp:posOffset>-834390</wp:posOffset>
            </wp:positionV>
            <wp:extent cx="7440294" cy="10486390"/>
            <wp:effectExtent l="0" t="0" r="8255" b="10160"/>
            <wp:wrapNone/>
            <wp:docPr id="1190" name="图片 98"/>
            <wp:cNvGraphicFramePr>
              <a:graphicFrameLocks noChangeAspect="1"/>
            </wp:cNvGraphicFramePr>
            <a:graphic>
              <a:graphicData uri="http://schemas.openxmlformats.org/drawingml/2006/picture">
                <pic:pic>
                  <pic:nvPicPr>
                    <pic:cNvPr id="807" name="图片 98 807"/>
                    <pic:cNvPicPr/>
                  </pic:nvPicPr>
                  <pic:blipFill>
                    <a:blip r:embed="rId169"/>
                    <a:stretch>
                      <a:fillRect/>
                    </a:stretch>
                  </pic:blipFill>
                  <pic:spPr>
                    <a:xfrm rot="0">
                      <a:off x="0" y="0"/>
                      <a:ext cx="7440294" cy="104863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94" behindDoc="0" locked="0" layoutInCell="1" hidden="0" allowOverlap="1">
            <wp:simplePos x="0" y="0"/>
            <wp:positionH relativeFrom="column">
              <wp:posOffset>-809625</wp:posOffset>
            </wp:positionH>
            <wp:positionV relativeFrom="paragraph">
              <wp:posOffset>-809625</wp:posOffset>
            </wp:positionV>
            <wp:extent cx="7417434" cy="10553065"/>
            <wp:effectExtent l="0" t="0" r="12064" b="635"/>
            <wp:wrapNone/>
            <wp:docPr id="1191" name="图片 99"/>
            <wp:cNvGraphicFramePr>
              <a:graphicFrameLocks noChangeAspect="1"/>
            </wp:cNvGraphicFramePr>
            <a:graphic>
              <a:graphicData uri="http://schemas.openxmlformats.org/drawingml/2006/picture">
                <pic:pic>
                  <pic:nvPicPr>
                    <pic:cNvPr id="809" name="图片 99 809"/>
                    <pic:cNvPicPr/>
                  </pic:nvPicPr>
                  <pic:blipFill>
                    <a:blip r:embed="rId170"/>
                    <a:stretch>
                      <a:fillRect/>
                    </a:stretch>
                  </pic:blipFill>
                  <pic:spPr>
                    <a:xfrm rot="0">
                      <a:off x="0" y="0"/>
                      <a:ext cx="7417434" cy="1055306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96" behindDoc="0" locked="0" layoutInCell="1" hidden="0" allowOverlap="1">
            <wp:simplePos x="0" y="0"/>
            <wp:positionH relativeFrom="column">
              <wp:posOffset>-790575</wp:posOffset>
            </wp:positionH>
            <wp:positionV relativeFrom="paragraph">
              <wp:posOffset>-762000</wp:posOffset>
            </wp:positionV>
            <wp:extent cx="7294245" cy="10344150"/>
            <wp:effectExtent l="0" t="0" r="1905" b="0"/>
            <wp:wrapNone/>
            <wp:docPr id="1192" name="图片 100"/>
            <wp:cNvGraphicFramePr>
              <a:graphicFrameLocks noChangeAspect="1"/>
            </wp:cNvGraphicFramePr>
            <a:graphic>
              <a:graphicData uri="http://schemas.openxmlformats.org/drawingml/2006/picture">
                <pic:pic>
                  <pic:nvPicPr>
                    <pic:cNvPr id="811" name="图片 100 811"/>
                    <pic:cNvPicPr/>
                  </pic:nvPicPr>
                  <pic:blipFill>
                    <a:blip r:embed="rId171"/>
                    <a:stretch>
                      <a:fillRect/>
                    </a:stretch>
                  </pic:blipFill>
                  <pic:spPr>
                    <a:xfrm rot="0">
                      <a:off x="0" y="0"/>
                      <a:ext cx="7294245" cy="103441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598" behindDoc="0" locked="0" layoutInCell="1" hidden="0" allowOverlap="1">
            <wp:simplePos x="0" y="0"/>
            <wp:positionH relativeFrom="column">
              <wp:posOffset>-828675</wp:posOffset>
            </wp:positionH>
            <wp:positionV relativeFrom="paragraph">
              <wp:posOffset>-819150</wp:posOffset>
            </wp:positionV>
            <wp:extent cx="7336790" cy="10429875"/>
            <wp:effectExtent l="0" t="0" r="16510" b="9525"/>
            <wp:wrapNone/>
            <wp:docPr id="1193" name="图片 101"/>
            <wp:cNvGraphicFramePr>
              <a:graphicFrameLocks noChangeAspect="1"/>
            </wp:cNvGraphicFramePr>
            <a:graphic>
              <a:graphicData uri="http://schemas.openxmlformats.org/drawingml/2006/picture">
                <pic:pic>
                  <pic:nvPicPr>
                    <pic:cNvPr id="813" name="图片 101 813"/>
                    <pic:cNvPicPr/>
                  </pic:nvPicPr>
                  <pic:blipFill>
                    <a:blip r:embed="rId172"/>
                    <a:stretch>
                      <a:fillRect/>
                    </a:stretch>
                  </pic:blipFill>
                  <pic:spPr>
                    <a:xfrm rot="0">
                      <a:off x="0" y="0"/>
                      <a:ext cx="7336790" cy="104298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00" behindDoc="0" locked="0" layoutInCell="1" hidden="0" allowOverlap="1">
            <wp:simplePos x="0" y="0"/>
            <wp:positionH relativeFrom="column">
              <wp:posOffset>-819150</wp:posOffset>
            </wp:positionH>
            <wp:positionV relativeFrom="paragraph">
              <wp:posOffset>-847725</wp:posOffset>
            </wp:positionV>
            <wp:extent cx="7392669" cy="10572115"/>
            <wp:effectExtent l="0" t="0" r="17779" b="635"/>
            <wp:wrapNone/>
            <wp:docPr id="1194" name="图片 102"/>
            <wp:cNvGraphicFramePr>
              <a:graphicFrameLocks noChangeAspect="1"/>
            </wp:cNvGraphicFramePr>
            <a:graphic>
              <a:graphicData uri="http://schemas.openxmlformats.org/drawingml/2006/picture">
                <pic:pic>
                  <pic:nvPicPr>
                    <pic:cNvPr id="815" name="图片 102 815"/>
                    <pic:cNvPicPr/>
                  </pic:nvPicPr>
                  <pic:blipFill>
                    <a:blip r:embed="rId173"/>
                    <a:stretch>
                      <a:fillRect/>
                    </a:stretch>
                  </pic:blipFill>
                  <pic:spPr>
                    <a:xfrm rot="0">
                      <a:off x="0" y="0"/>
                      <a:ext cx="7392669" cy="1057211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02" behindDoc="0" locked="0" layoutInCell="1" hidden="0" allowOverlap="1">
            <wp:simplePos x="0" y="0"/>
            <wp:positionH relativeFrom="column">
              <wp:posOffset>-847725</wp:posOffset>
            </wp:positionH>
            <wp:positionV relativeFrom="paragraph">
              <wp:posOffset>-809625</wp:posOffset>
            </wp:positionV>
            <wp:extent cx="7548880" cy="10525125"/>
            <wp:effectExtent l="0" t="0" r="13970" b="9525"/>
            <wp:wrapNone/>
            <wp:docPr id="1195" name="图片 103"/>
            <wp:cNvGraphicFramePr>
              <a:graphicFrameLocks noChangeAspect="1"/>
            </wp:cNvGraphicFramePr>
            <a:graphic>
              <a:graphicData uri="http://schemas.openxmlformats.org/drawingml/2006/picture">
                <pic:pic>
                  <pic:nvPicPr>
                    <pic:cNvPr id="817" name="图片 103 817"/>
                    <pic:cNvPicPr/>
                  </pic:nvPicPr>
                  <pic:blipFill>
                    <a:blip r:embed="rId174"/>
                    <a:stretch>
                      <a:fillRect/>
                    </a:stretch>
                  </pic:blipFill>
                  <pic:spPr>
                    <a:xfrm rot="0">
                      <a:off x="0" y="0"/>
                      <a:ext cx="7548880" cy="105251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04" behindDoc="0" locked="0" layoutInCell="1" hidden="0" allowOverlap="1">
            <wp:simplePos x="0" y="0"/>
            <wp:positionH relativeFrom="column">
              <wp:posOffset>-771525</wp:posOffset>
            </wp:positionH>
            <wp:positionV relativeFrom="paragraph">
              <wp:posOffset>-752475</wp:posOffset>
            </wp:positionV>
            <wp:extent cx="7294880" cy="10277475"/>
            <wp:effectExtent l="0" t="0" r="1270" b="9525"/>
            <wp:wrapNone/>
            <wp:docPr id="1196" name="图片 104"/>
            <wp:cNvGraphicFramePr>
              <a:graphicFrameLocks noChangeAspect="1"/>
            </wp:cNvGraphicFramePr>
            <a:graphic>
              <a:graphicData uri="http://schemas.openxmlformats.org/drawingml/2006/picture">
                <pic:pic>
                  <pic:nvPicPr>
                    <pic:cNvPr id="819" name="图片 104 819"/>
                    <pic:cNvPicPr/>
                  </pic:nvPicPr>
                  <pic:blipFill>
                    <a:blip r:embed="rId175"/>
                    <a:stretch>
                      <a:fillRect/>
                    </a:stretch>
                  </pic:blipFill>
                  <pic:spPr>
                    <a:xfrm rot="0">
                      <a:off x="0" y="0"/>
                      <a:ext cx="7294880" cy="1027747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06" behindDoc="0" locked="0" layoutInCell="1" hidden="0" allowOverlap="1">
            <wp:simplePos x="0" y="0"/>
            <wp:positionH relativeFrom="column">
              <wp:posOffset>-857250</wp:posOffset>
            </wp:positionH>
            <wp:positionV relativeFrom="paragraph">
              <wp:posOffset>-824865</wp:posOffset>
            </wp:positionV>
            <wp:extent cx="7423150" cy="10400665"/>
            <wp:effectExtent l="0" t="0" r="6350" b="635"/>
            <wp:wrapNone/>
            <wp:docPr id="1197" name="图片 105"/>
            <wp:cNvGraphicFramePr>
              <a:graphicFrameLocks noChangeAspect="1"/>
            </wp:cNvGraphicFramePr>
            <a:graphic>
              <a:graphicData uri="http://schemas.openxmlformats.org/drawingml/2006/picture">
                <pic:pic>
                  <pic:nvPicPr>
                    <pic:cNvPr id="821" name="图片 105 821"/>
                    <pic:cNvPicPr/>
                  </pic:nvPicPr>
                  <pic:blipFill>
                    <a:blip r:embed="rId176"/>
                    <a:stretch>
                      <a:fillRect/>
                    </a:stretch>
                  </pic:blipFill>
                  <pic:spPr>
                    <a:xfrm rot="0">
                      <a:off x="0" y="0"/>
                      <a:ext cx="7423150" cy="1040066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08" behindDoc="0" locked="0" layoutInCell="1" hidden="0" allowOverlap="1">
            <wp:simplePos x="0" y="0"/>
            <wp:positionH relativeFrom="column">
              <wp:posOffset>-838200</wp:posOffset>
            </wp:positionH>
            <wp:positionV relativeFrom="paragraph">
              <wp:posOffset>-847725</wp:posOffset>
            </wp:positionV>
            <wp:extent cx="7462520" cy="10372090"/>
            <wp:effectExtent l="0" t="0" r="5080" b="10160"/>
            <wp:wrapNone/>
            <wp:docPr id="1198" name="图片 106"/>
            <wp:cNvGraphicFramePr>
              <a:graphicFrameLocks noChangeAspect="1"/>
            </wp:cNvGraphicFramePr>
            <a:graphic>
              <a:graphicData uri="http://schemas.openxmlformats.org/drawingml/2006/picture">
                <pic:pic>
                  <pic:nvPicPr>
                    <pic:cNvPr id="823" name="图片 106 823"/>
                    <pic:cNvPicPr/>
                  </pic:nvPicPr>
                  <pic:blipFill>
                    <a:blip r:embed="rId177"/>
                    <a:stretch>
                      <a:fillRect/>
                    </a:stretch>
                  </pic:blipFill>
                  <pic:spPr>
                    <a:xfrm rot="0">
                      <a:off x="0" y="0"/>
                      <a:ext cx="7462520" cy="103720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10" behindDoc="0" locked="0" layoutInCell="1" hidden="0" allowOverlap="1">
            <wp:simplePos x="0" y="0"/>
            <wp:positionH relativeFrom="column">
              <wp:posOffset>-847725</wp:posOffset>
            </wp:positionH>
            <wp:positionV relativeFrom="paragraph">
              <wp:posOffset>-819150</wp:posOffset>
            </wp:positionV>
            <wp:extent cx="7409180" cy="10448925"/>
            <wp:effectExtent l="0" t="0" r="1270" b="9525"/>
            <wp:wrapNone/>
            <wp:docPr id="1199" name="图片 107"/>
            <wp:cNvGraphicFramePr>
              <a:graphicFrameLocks noChangeAspect="1"/>
            </wp:cNvGraphicFramePr>
            <a:graphic>
              <a:graphicData uri="http://schemas.openxmlformats.org/drawingml/2006/picture">
                <pic:pic>
                  <pic:nvPicPr>
                    <pic:cNvPr id="825" name="图片 107 825"/>
                    <pic:cNvPicPr/>
                  </pic:nvPicPr>
                  <pic:blipFill>
                    <a:blip r:embed="rId178"/>
                    <a:stretch>
                      <a:fillRect/>
                    </a:stretch>
                  </pic:blipFill>
                  <pic:spPr>
                    <a:xfrm rot="0">
                      <a:off x="0" y="0"/>
                      <a:ext cx="7409180" cy="104489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12" behindDoc="0" locked="0" layoutInCell="1" hidden="0" allowOverlap="1">
            <wp:simplePos x="0" y="0"/>
            <wp:positionH relativeFrom="column">
              <wp:posOffset>-828675</wp:posOffset>
            </wp:positionH>
            <wp:positionV relativeFrom="paragraph">
              <wp:posOffset>-723900</wp:posOffset>
            </wp:positionV>
            <wp:extent cx="7423785" cy="10487025"/>
            <wp:effectExtent l="0" t="0" r="5715" b="9525"/>
            <wp:wrapNone/>
            <wp:docPr id="1200" name="图片 108"/>
            <wp:cNvGraphicFramePr>
              <a:graphicFrameLocks noChangeAspect="1"/>
            </wp:cNvGraphicFramePr>
            <a:graphic>
              <a:graphicData uri="http://schemas.openxmlformats.org/drawingml/2006/picture">
                <pic:pic>
                  <pic:nvPicPr>
                    <pic:cNvPr id="827" name="图片 108 827"/>
                    <pic:cNvPicPr/>
                  </pic:nvPicPr>
                  <pic:blipFill>
                    <a:blip r:embed="rId179"/>
                    <a:stretch>
                      <a:fillRect/>
                    </a:stretch>
                  </pic:blipFill>
                  <pic:spPr>
                    <a:xfrm rot="0">
                      <a:off x="0" y="0"/>
                      <a:ext cx="7423785" cy="104870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14" behindDoc="0" locked="0" layoutInCell="1" hidden="0" allowOverlap="1">
            <wp:simplePos x="0" y="0"/>
            <wp:positionH relativeFrom="column">
              <wp:posOffset>-819150</wp:posOffset>
            </wp:positionH>
            <wp:positionV relativeFrom="paragraph">
              <wp:posOffset>-838200</wp:posOffset>
            </wp:positionV>
            <wp:extent cx="7339965" cy="10448290"/>
            <wp:effectExtent l="0" t="0" r="13335" b="10160"/>
            <wp:wrapNone/>
            <wp:docPr id="1201" name="图片 109"/>
            <wp:cNvGraphicFramePr>
              <a:graphicFrameLocks noChangeAspect="1"/>
            </wp:cNvGraphicFramePr>
            <a:graphic>
              <a:graphicData uri="http://schemas.openxmlformats.org/drawingml/2006/picture">
                <pic:pic>
                  <pic:nvPicPr>
                    <pic:cNvPr id="829" name="图片 109 829"/>
                    <pic:cNvPicPr/>
                  </pic:nvPicPr>
                  <pic:blipFill>
                    <a:blip r:embed="rId180"/>
                    <a:stretch>
                      <a:fillRect/>
                    </a:stretch>
                  </pic:blipFill>
                  <pic:spPr>
                    <a:xfrm rot="0">
                      <a:off x="0" y="0"/>
                      <a:ext cx="7339965" cy="104482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16" behindDoc="0" locked="0" layoutInCell="1" hidden="0" allowOverlap="1">
            <wp:simplePos x="0" y="0"/>
            <wp:positionH relativeFrom="column">
              <wp:posOffset>-838200</wp:posOffset>
            </wp:positionH>
            <wp:positionV relativeFrom="paragraph">
              <wp:posOffset>-824865</wp:posOffset>
            </wp:positionV>
            <wp:extent cx="7479665" cy="10477500"/>
            <wp:effectExtent l="0" t="0" r="6985" b="0"/>
            <wp:wrapNone/>
            <wp:docPr id="1202" name="图片 110"/>
            <wp:cNvGraphicFramePr>
              <a:graphicFrameLocks noChangeAspect="1"/>
            </wp:cNvGraphicFramePr>
            <a:graphic>
              <a:graphicData uri="http://schemas.openxmlformats.org/drawingml/2006/picture">
                <pic:pic>
                  <pic:nvPicPr>
                    <pic:cNvPr id="831" name="图片 110 831"/>
                    <pic:cNvPicPr/>
                  </pic:nvPicPr>
                  <pic:blipFill>
                    <a:blip r:embed="rId181"/>
                    <a:stretch>
                      <a:fillRect/>
                    </a:stretch>
                  </pic:blipFill>
                  <pic:spPr>
                    <a:xfrm rot="0">
                      <a:off x="0" y="0"/>
                      <a:ext cx="7479665" cy="104775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18" behindDoc="0" locked="0" layoutInCell="1" hidden="0" allowOverlap="1">
            <wp:simplePos x="0" y="0"/>
            <wp:positionH relativeFrom="column">
              <wp:posOffset>-838200</wp:posOffset>
            </wp:positionH>
            <wp:positionV relativeFrom="paragraph">
              <wp:posOffset>-790575</wp:posOffset>
            </wp:positionV>
            <wp:extent cx="7451725" cy="10553700"/>
            <wp:effectExtent l="0" t="0" r="15875" b="0"/>
            <wp:wrapNone/>
            <wp:docPr id="1203" name="图片 111"/>
            <wp:cNvGraphicFramePr>
              <a:graphicFrameLocks noChangeAspect="1"/>
            </wp:cNvGraphicFramePr>
            <a:graphic>
              <a:graphicData uri="http://schemas.openxmlformats.org/drawingml/2006/picture">
                <pic:pic>
                  <pic:nvPicPr>
                    <pic:cNvPr id="833" name="图片 111 833"/>
                    <pic:cNvPicPr/>
                  </pic:nvPicPr>
                  <pic:blipFill>
                    <a:blip r:embed="rId182"/>
                    <a:stretch>
                      <a:fillRect/>
                    </a:stretch>
                  </pic:blipFill>
                  <pic:spPr>
                    <a:xfrm rot="0">
                      <a:off x="0" y="0"/>
                      <a:ext cx="7451725" cy="105537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20" behindDoc="0" locked="0" layoutInCell="1" hidden="0" allowOverlap="1">
            <wp:simplePos x="0" y="0"/>
            <wp:positionH relativeFrom="column">
              <wp:posOffset>-752475</wp:posOffset>
            </wp:positionH>
            <wp:positionV relativeFrom="paragraph">
              <wp:posOffset>-806450</wp:posOffset>
            </wp:positionV>
            <wp:extent cx="7381875" cy="10438765"/>
            <wp:effectExtent l="0" t="0" r="9525" b="635"/>
            <wp:wrapNone/>
            <wp:docPr id="1204" name="图片 112"/>
            <wp:cNvGraphicFramePr>
              <a:graphicFrameLocks noChangeAspect="1"/>
            </wp:cNvGraphicFramePr>
            <a:graphic>
              <a:graphicData uri="http://schemas.openxmlformats.org/drawingml/2006/picture">
                <pic:pic>
                  <pic:nvPicPr>
                    <pic:cNvPr id="835" name="图片 112 835"/>
                    <pic:cNvPicPr/>
                  </pic:nvPicPr>
                  <pic:blipFill>
                    <a:blip r:embed="rId183"/>
                    <a:stretch>
                      <a:fillRect/>
                    </a:stretch>
                  </pic:blipFill>
                  <pic:spPr>
                    <a:xfrm rot="0">
                      <a:off x="0" y="0"/>
                      <a:ext cx="7381875" cy="1043876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22" behindDoc="0" locked="0" layoutInCell="1" hidden="0" allowOverlap="1">
            <wp:simplePos x="0" y="0"/>
            <wp:positionH relativeFrom="column">
              <wp:posOffset>-847725</wp:posOffset>
            </wp:positionH>
            <wp:positionV relativeFrom="paragraph">
              <wp:posOffset>-800100</wp:posOffset>
            </wp:positionV>
            <wp:extent cx="7406640" cy="10420350"/>
            <wp:effectExtent l="0" t="0" r="3810" b="0"/>
            <wp:wrapNone/>
            <wp:docPr id="1205" name="图片 113"/>
            <wp:cNvGraphicFramePr>
              <a:graphicFrameLocks noChangeAspect="1"/>
            </wp:cNvGraphicFramePr>
            <a:graphic>
              <a:graphicData uri="http://schemas.openxmlformats.org/drawingml/2006/picture">
                <pic:pic>
                  <pic:nvPicPr>
                    <pic:cNvPr id="837" name="图片 113 837"/>
                    <pic:cNvPicPr/>
                  </pic:nvPicPr>
                  <pic:blipFill>
                    <a:blip r:embed="rId184"/>
                    <a:stretch>
                      <a:fillRect/>
                    </a:stretch>
                  </pic:blipFill>
                  <pic:spPr>
                    <a:xfrm rot="0">
                      <a:off x="0" y="0"/>
                      <a:ext cx="7406640" cy="1042035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highlight w:val="none"/>
        </w:rPr>
        <w:drawing>
          <wp:anchor distT="0" distB="0" distL="114300" distR="114300" simplePos="0" relativeHeight="624" behindDoc="0" locked="0" layoutInCell="1" hidden="0" allowOverlap="1">
            <wp:simplePos x="0" y="0"/>
            <wp:positionH relativeFrom="column">
              <wp:posOffset>-847725</wp:posOffset>
            </wp:positionH>
            <wp:positionV relativeFrom="paragraph">
              <wp:posOffset>-762000</wp:posOffset>
            </wp:positionV>
            <wp:extent cx="7366635" cy="10372090"/>
            <wp:effectExtent l="0" t="0" r="5715" b="10160"/>
            <wp:wrapNone/>
            <wp:docPr id="1206" name="图片 114"/>
            <wp:cNvGraphicFramePr>
              <a:graphicFrameLocks noChangeAspect="1"/>
            </wp:cNvGraphicFramePr>
            <a:graphic>
              <a:graphicData uri="http://schemas.openxmlformats.org/drawingml/2006/picture">
                <pic:pic>
                  <pic:nvPicPr>
                    <pic:cNvPr id="839" name="图片 114 839"/>
                    <pic:cNvPicPr/>
                  </pic:nvPicPr>
                  <pic:blipFill>
                    <a:blip r:embed="rId185"/>
                    <a:stretch>
                      <a:fillRect/>
                    </a:stretch>
                  </pic:blipFill>
                  <pic:spPr>
                    <a:xfrm rot="0">
                      <a:off x="0" y="0"/>
                      <a:ext cx="7366635" cy="1037209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lang w:val="en-US" w:eastAsia="zh-CN"/>
          <w:highlight w:val="none"/>
        </w:rPr>
        <w:drawing>
          <wp:anchor distT="0" distB="0" distL="114300" distR="114300" simplePos="0" relativeHeight="626" behindDoc="0" locked="0" layoutInCell="1" hidden="0" allowOverlap="1">
            <wp:simplePos x="0" y="0"/>
            <wp:positionH relativeFrom="column">
              <wp:posOffset>-698500</wp:posOffset>
            </wp:positionH>
            <wp:positionV relativeFrom="paragraph">
              <wp:posOffset>-803910</wp:posOffset>
            </wp:positionV>
            <wp:extent cx="7115809" cy="10182225"/>
            <wp:effectExtent l="0" t="0" r="8889" b="9525"/>
            <wp:wrapNone/>
            <wp:docPr id="1207" name="图片 14"/>
            <wp:cNvGraphicFramePr>
              <a:graphicFrameLocks noChangeAspect="1"/>
            </wp:cNvGraphicFramePr>
            <a:graphic>
              <a:graphicData uri="http://schemas.openxmlformats.org/drawingml/2006/picture">
                <pic:pic>
                  <pic:nvPicPr>
                    <pic:cNvPr id="841" name="图片 14 841"/>
                    <pic:cNvPicPr/>
                  </pic:nvPicPr>
                  <pic:blipFill>
                    <a:blip r:embed="rId186"/>
                    <a:stretch>
                      <a:fillRect/>
                    </a:stretch>
                  </pic:blipFill>
                  <pic:spPr>
                    <a:xfrm rot="0">
                      <a:off x="0" y="0"/>
                      <a:ext cx="7115809" cy="10182225"/>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lang w:val="en-US" w:eastAsia="zh-CN"/>
          <w:highlight w:val="none"/>
        </w:rPr>
        <w:drawing>
          <wp:anchor distT="0" distB="0" distL="114300" distR="114300" simplePos="0" relativeHeight="628" behindDoc="0" locked="0" layoutInCell="1" hidden="0" allowOverlap="1">
            <wp:simplePos x="0" y="0"/>
            <wp:positionH relativeFrom="column">
              <wp:posOffset>-641350</wp:posOffset>
            </wp:positionH>
            <wp:positionV relativeFrom="paragraph">
              <wp:posOffset>-1578610</wp:posOffset>
            </wp:positionV>
            <wp:extent cx="7095490" cy="9525000"/>
            <wp:effectExtent l="0" t="0" r="10160" b="0"/>
            <wp:wrapNone/>
            <wp:docPr id="1208" name="图片 15"/>
            <wp:cNvGraphicFramePr>
              <a:graphicFrameLocks noChangeAspect="1"/>
            </wp:cNvGraphicFramePr>
            <a:graphic>
              <a:graphicData uri="http://schemas.openxmlformats.org/drawingml/2006/picture">
                <pic:pic>
                  <pic:nvPicPr>
                    <pic:cNvPr id="843" name="图片 15 843"/>
                    <pic:cNvPicPr/>
                  </pic:nvPicPr>
                  <pic:blipFill>
                    <a:blip r:embed="rId187"/>
                    <a:stretch>
                      <a:fillRect/>
                    </a:stretch>
                  </pic:blipFill>
                  <pic:spPr>
                    <a:xfrm rot="0">
                      <a:off x="0" y="0"/>
                      <a:ext cx="7095490" cy="952500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lang w:val="en-US" w:eastAsia="zh-CN"/>
          <w:highlight w:val="none"/>
        </w:rPr>
        <w:drawing>
          <wp:anchor distT="0" distB="0" distL="114300" distR="114300" simplePos="0" relativeHeight="630" behindDoc="0" locked="0" layoutInCell="1" hidden="0" allowOverlap="1">
            <wp:simplePos x="0" y="0"/>
            <wp:positionH relativeFrom="column">
              <wp:posOffset>-668655</wp:posOffset>
            </wp:positionH>
            <wp:positionV relativeFrom="paragraph">
              <wp:posOffset>-1385570</wp:posOffset>
            </wp:positionV>
            <wp:extent cx="7205345" cy="10307319"/>
            <wp:effectExtent l="0" t="0" r="14604" b="17779"/>
            <wp:wrapNone/>
            <wp:docPr id="1209" name="图片 16"/>
            <wp:cNvGraphicFramePr>
              <a:graphicFrameLocks noChangeAspect="1"/>
            </wp:cNvGraphicFramePr>
            <a:graphic>
              <a:graphicData uri="http://schemas.openxmlformats.org/drawingml/2006/picture">
                <pic:pic>
                  <pic:nvPicPr>
                    <pic:cNvPr id="845" name="图片 16 845"/>
                    <pic:cNvPicPr/>
                  </pic:nvPicPr>
                  <pic:blipFill>
                    <a:blip r:embed="rId188"/>
                    <a:stretch>
                      <a:fillRect/>
                    </a:stretch>
                  </pic:blipFill>
                  <pic:spPr>
                    <a:xfrm rot="0">
                      <a:off x="0" y="0"/>
                      <a:ext cx="7205345" cy="10307319"/>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lang w:val="en-US" w:eastAsia="zh-CN"/>
          <w:highlight w:val="none"/>
        </w:rPr>
        <w:drawing>
          <wp:anchor distT="0" distB="0" distL="114300" distR="114300" simplePos="0" relativeHeight="632" behindDoc="0" locked="0" layoutInCell="1" hidden="0" allowOverlap="1">
            <wp:simplePos x="0" y="0"/>
            <wp:positionH relativeFrom="column">
              <wp:posOffset>-521970</wp:posOffset>
            </wp:positionH>
            <wp:positionV relativeFrom="paragraph">
              <wp:posOffset>-2848610</wp:posOffset>
            </wp:positionV>
            <wp:extent cx="6935469" cy="10213340"/>
            <wp:effectExtent l="0" t="0" r="17779" b="16510"/>
            <wp:wrapNone/>
            <wp:docPr id="1210" name="图片 17"/>
            <wp:cNvGraphicFramePr>
              <a:graphicFrameLocks noChangeAspect="1"/>
            </wp:cNvGraphicFramePr>
            <a:graphic>
              <a:graphicData uri="http://schemas.openxmlformats.org/drawingml/2006/picture">
                <pic:pic>
                  <pic:nvPicPr>
                    <pic:cNvPr id="847" name="图片 17 847"/>
                    <pic:cNvPicPr/>
                  </pic:nvPicPr>
                  <pic:blipFill>
                    <a:blip r:embed="rId189"/>
                    <a:stretch>
                      <a:fillRect/>
                    </a:stretch>
                  </pic:blipFill>
                  <pic:spPr>
                    <a:xfrm rot="0">
                      <a:off x="0" y="0"/>
                      <a:ext cx="6935469" cy="1021334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r>
        <w:rPr>
          <w:rFonts w:ascii="Times New Roman" w:eastAsia="宋体" w:cs="Times New Roman" w:hAnsi="Times New Roman"/>
          <w:b w:val="0"/>
          <w:bCs/>
          <w:color w:val="auto"/>
          <w:sz w:val="28"/>
          <w:szCs w:val="28"/>
          <w:lang w:val="en-US" w:eastAsia="zh-CN"/>
          <w:highlight w:val="none"/>
        </w:rPr>
        <w:drawing>
          <wp:anchor distT="0" distB="0" distL="114300" distR="114300" simplePos="0" relativeHeight="634" behindDoc="0" locked="0" layoutInCell="1" hidden="0" allowOverlap="1">
            <wp:simplePos x="0" y="0"/>
            <wp:positionH relativeFrom="column">
              <wp:posOffset>-601344</wp:posOffset>
            </wp:positionH>
            <wp:positionV relativeFrom="paragraph">
              <wp:posOffset>-4472940</wp:posOffset>
            </wp:positionV>
            <wp:extent cx="7124065" cy="10462260"/>
            <wp:effectExtent l="0" t="0" r="635" b="15240"/>
            <wp:wrapNone/>
            <wp:docPr id="1211" name="图片 18"/>
            <wp:cNvGraphicFramePr>
              <a:graphicFrameLocks noChangeAspect="1"/>
            </wp:cNvGraphicFramePr>
            <a:graphic>
              <a:graphicData uri="http://schemas.openxmlformats.org/drawingml/2006/picture">
                <pic:pic>
                  <pic:nvPicPr>
                    <pic:cNvPr id="849" name="图片 18 849"/>
                    <pic:cNvPicPr/>
                  </pic:nvPicPr>
                  <pic:blipFill>
                    <a:blip r:embed="rId190"/>
                    <a:stretch>
                      <a:fillRect/>
                    </a:stretch>
                  </pic:blipFill>
                  <pic:spPr>
                    <a:xfrm rot="0">
                      <a:off x="0" y="0"/>
                      <a:ext cx="7124065" cy="10462260"/>
                    </a:xfrm>
                    <a:prstGeom prst="rect"/>
                    <a:noFill/>
                    <a:ln cmpd="sng" cap="flat">
                      <a:noFill/>
                      <a:prstDash val="solid"/>
                      <a:round/>
                    </a:ln>
                  </pic:spPr>
                </pic:pic>
              </a:graphicData>
            </a:graphic>
          </wp:anchor>
        </w:drawing>
      </w: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widowControl w:val="0"/>
        <w:jc w:val="center"/>
        <w:rPr>
          <w:rFonts w:ascii="Times New Roman" w:eastAsia="宋体" w:cs="Times New Roman" w:hAnsi="Times New Roman"/>
          <w:b/>
          <w:bCs/>
          <w:color w:val="auto"/>
          <w:kern w:val="2"/>
          <w:sz w:val="48"/>
          <w:szCs w:val="48"/>
          <w:lang w:val="en-US" w:eastAsia="zh-CN" w:bidi="ar-SA"/>
          <w:highlight w:val="none"/>
        </w:rPr>
      </w:pPr>
      <w:r>
        <w:rPr>
          <w:rFonts w:ascii="Times New Roman" w:eastAsia="宋体" w:cs="Times New Roman" w:hAnsi="Times New Roman"/>
          <w:b/>
          <w:bCs/>
          <w:color w:val="auto"/>
          <w:kern w:val="2"/>
          <w:sz w:val="48"/>
          <w:szCs w:val="48"/>
          <w:lang w:val="en-US" w:eastAsia="zh-CN" w:bidi="ar-SA"/>
          <w:highlight w:val="none"/>
        </w:rPr>
        <w:drawing>
          <wp:anchor distT="0" distB="0" distL="114300" distR="114300" simplePos="0" relativeHeight="816" behindDoc="0" locked="0" layoutInCell="1" hidden="0" allowOverlap="1">
            <wp:simplePos x="0" y="0"/>
            <wp:positionH relativeFrom="column">
              <wp:posOffset>-805180</wp:posOffset>
            </wp:positionH>
            <wp:positionV relativeFrom="paragraph">
              <wp:posOffset>-842644</wp:posOffset>
            </wp:positionV>
            <wp:extent cx="7397750" cy="10481945"/>
            <wp:effectExtent l="0" t="0" r="12700" b="14604"/>
            <wp:wrapNone/>
            <wp:docPr id="1212" name="图片 15"/>
            <wp:cNvGraphicFramePr>
              <a:graphicFrameLocks noChangeAspect="1"/>
            </wp:cNvGraphicFramePr>
            <a:graphic>
              <a:graphicData uri="http://schemas.openxmlformats.org/drawingml/2006/picture">
                <pic:pic>
                  <pic:nvPicPr>
                    <pic:cNvPr id="851" name="图片 15 851"/>
                    <pic:cNvPicPr/>
                  </pic:nvPicPr>
                  <pic:blipFill>
                    <a:blip r:embed="rId191"/>
                    <a:stretch>
                      <a:fillRect/>
                    </a:stretch>
                  </pic:blipFill>
                  <pic:spPr>
                    <a:xfrm rot="0">
                      <a:off x="0" y="0"/>
                      <a:ext cx="7397750" cy="10481945"/>
                    </a:xfrm>
                    <a:prstGeom prst="rect"/>
                    <a:noFill/>
                    <a:ln cmpd="sng" cap="flat">
                      <a:noFill/>
                      <a:prstDash val="solid"/>
                      <a:round/>
                    </a:ln>
                  </pic:spPr>
                </pic:pic>
              </a:graphicData>
            </a:graphic>
          </wp:anchor>
        </w:drawing>
      </w:r>
      <w:r>
        <w:rPr>
          <w:rFonts w:ascii="Times New Roman" w:eastAsia="宋体" w:cs="Times New Roman" w:hAnsi="Times New Roman"/>
          <w:b/>
          <w:bCs/>
          <w:color w:val="auto"/>
          <w:kern w:val="2"/>
          <w:sz w:val="48"/>
          <w:szCs w:val="48"/>
          <w:lang w:val="en-US" w:eastAsia="zh-CN" w:bidi="ar-SA"/>
          <w:highlight w:val="none"/>
        </w:rPr>
        <w:t>搬迁承诺书</w:t>
      </w:r>
    </w:p>
    <w:p>
      <w:pPr>
        <w:widowControl w:val="0"/>
        <w:jc w:val="both"/>
        <w:rPr>
          <w:rFonts w:ascii="Times New Roman" w:eastAsia="宋体" w:cs="Times New Roman" w:hAnsi="Times New Roman"/>
          <w:color w:val="auto"/>
          <w:kern w:val="2"/>
          <w:sz w:val="28"/>
          <w:szCs w:val="28"/>
          <w:lang w:val="en-US" w:eastAsia="zh-CN" w:bidi="ar-SA"/>
          <w:highlight w:val="none"/>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eastAsia="宋体" w:cs="Times New Roman" w:hAnsi="Times New Roman"/>
          <w:color w:val="auto"/>
          <w:kern w:val="2"/>
          <w:sz w:val="28"/>
          <w:szCs w:val="28"/>
          <w:lang w:val="en-US" w:eastAsia="zh-CN" w:bidi="ar-SA"/>
          <w:highlight w:val="none"/>
        </w:rPr>
      </w:pPr>
      <w:r>
        <w:rPr>
          <w:rFonts w:ascii="Times New Roman" w:eastAsia="宋体" w:cs="Times New Roman" w:hAnsi="Times New Roman"/>
          <w:color w:val="auto"/>
          <w:kern w:val="2"/>
          <w:sz w:val="28"/>
          <w:szCs w:val="28"/>
          <w:lang w:val="en-US" w:eastAsia="zh-CN" w:bidi="ar-SA"/>
          <w:highlight w:val="none"/>
        </w:rPr>
        <w:t>河北石家庄装备制造产业园管理委员会：</w:t>
      </w:r>
    </w:p>
    <w:p>
      <w:pPr>
        <w:keepNext w:val="0"/>
        <w:keepLines w:val="0"/>
        <w:pageBreakBefore w:val="0"/>
        <w:widowControl w:val="0"/>
        <w:kinsoku/>
        <w:wordWrap/>
        <w:overflowPunct/>
        <w:topLinePunct w:val="0"/>
        <w:autoSpaceDE/>
        <w:autoSpaceDN/>
        <w:bidi w:val="0"/>
        <w:adjustRightInd/>
        <w:snapToGrid/>
        <w:spacing w:line="360" w:lineRule="auto"/>
        <w:ind w:firstLineChars="200" w:firstLine="560"/>
        <w:jc w:val="both"/>
        <w:textAlignment w:val="auto"/>
        <w:rPr>
          <w:rFonts w:ascii="Times New Roman" w:eastAsia="宋体" w:cs="Times New Roman" w:hAnsi="Times New Roman"/>
          <w:color w:val="auto"/>
          <w:kern w:val="2"/>
          <w:sz w:val="28"/>
          <w:szCs w:val="28"/>
          <w:lang w:val="en-US" w:eastAsia="zh-CN" w:bidi="ar-SA"/>
          <w:highlight w:val="none"/>
        </w:rPr>
      </w:pPr>
      <w:r>
        <w:rPr>
          <w:rFonts w:ascii="Times New Roman" w:eastAsia="宋体" w:cs="Times New Roman" w:hAnsi="Times New Roman"/>
          <w:color w:val="auto"/>
          <w:kern w:val="2"/>
          <w:sz w:val="28"/>
          <w:szCs w:val="28"/>
          <w:lang w:val="en-US" w:eastAsia="zh-CN" w:bidi="ar-SA"/>
          <w:highlight w:val="none"/>
        </w:rPr>
        <w:t>我公司位于</w:t>
      </w:r>
      <w:r>
        <w:rPr>
          <w:rFonts w:cs="Times New Roman" w:hint="eastAsia"/>
          <w:color w:val="auto"/>
          <w:kern w:val="2"/>
          <w:sz w:val="28"/>
          <w:szCs w:val="28"/>
          <w:lang w:val="en-US" w:eastAsia="zh-CN" w:bidi="ar-SA"/>
          <w:highlight w:val="none"/>
        </w:rPr>
        <w:t>河北省石家庄装备制造基地</w:t>
      </w:r>
      <w:r>
        <w:rPr>
          <w:rFonts w:ascii="Times New Roman" w:eastAsia="宋体" w:cs="Times New Roman" w:hAnsi="Times New Roman" w:hint="eastAsia"/>
          <w:color w:val="auto"/>
          <w:kern w:val="2"/>
          <w:sz w:val="28"/>
          <w:szCs w:val="28"/>
          <w:lang w:val="en-US" w:eastAsia="zh-CN" w:bidi="ar-SA"/>
          <w:highlight w:val="none"/>
        </w:rPr>
        <w:t>胜利南街903号</w:t>
      </w:r>
      <w:r>
        <w:rPr>
          <w:rFonts w:ascii="Times New Roman" w:eastAsia="宋体" w:cs="Times New Roman" w:hAnsi="Times New Roman"/>
          <w:color w:val="auto"/>
          <w:kern w:val="2"/>
          <w:sz w:val="28"/>
          <w:szCs w:val="28"/>
          <w:lang w:val="en-US" w:eastAsia="zh-CN" w:bidi="ar-SA"/>
          <w:highlight w:val="none"/>
        </w:rPr>
        <w:t>，投资</w:t>
      </w:r>
      <w:r>
        <w:rPr>
          <w:rFonts w:cs="Times New Roman" w:hint="eastAsia"/>
          <w:color w:val="auto"/>
          <w:kern w:val="2"/>
          <w:sz w:val="28"/>
          <w:szCs w:val="28"/>
          <w:lang w:val="en-US" w:eastAsia="zh-CN" w:bidi="ar-SA"/>
          <w:highlight w:val="none"/>
        </w:rPr>
        <w:t>2</w:t>
      </w:r>
      <w:r>
        <w:rPr>
          <w:rFonts w:ascii="Times New Roman" w:eastAsia="宋体" w:cs="Times New Roman" w:hAnsi="Times New Roman" w:hint="eastAsia"/>
          <w:color w:val="auto"/>
          <w:kern w:val="2"/>
          <w:sz w:val="28"/>
          <w:szCs w:val="28"/>
          <w:lang w:val="en-US" w:eastAsia="zh-CN" w:bidi="ar-SA"/>
          <w:highlight w:val="none"/>
        </w:rPr>
        <w:t>00</w:t>
      </w:r>
      <w:r>
        <w:rPr>
          <w:rFonts w:ascii="Times New Roman" w:eastAsia="宋体" w:cs="Times New Roman" w:hAnsi="Times New Roman"/>
          <w:color w:val="auto"/>
          <w:kern w:val="2"/>
          <w:sz w:val="28"/>
          <w:szCs w:val="28"/>
          <w:lang w:val="en-US" w:eastAsia="zh-CN" w:bidi="ar-SA"/>
          <w:highlight w:val="none"/>
        </w:rPr>
        <w:t>万元，建设</w:t>
      </w:r>
      <w:r>
        <w:rPr>
          <w:rFonts w:ascii="Times New Roman" w:eastAsia="宋体" w:cs="Times New Roman" w:hAnsi="Times New Roman" w:hint="eastAsia"/>
          <w:color w:val="auto"/>
          <w:kern w:val="2"/>
          <w:sz w:val="28"/>
          <w:szCs w:val="28"/>
          <w:lang w:val="en-US" w:eastAsia="zh-CN" w:bidi="ar-SA"/>
          <w:highlight w:val="none"/>
        </w:rPr>
        <w:t>河北卓峰化肥有限公司产品品质升级技术改造项目</w:t>
      </w:r>
      <w:r>
        <w:rPr>
          <w:rFonts w:ascii="Times New Roman" w:eastAsia="宋体" w:cs="Times New Roman" w:hAnsi="Times New Roman"/>
          <w:color w:val="auto"/>
          <w:kern w:val="2"/>
          <w:sz w:val="28"/>
          <w:szCs w:val="28"/>
          <w:lang w:val="en-US" w:eastAsia="zh-CN" w:bidi="ar-SA"/>
          <w:highlight w:val="none"/>
        </w:rPr>
        <w:t>，该项目位于</w:t>
      </w:r>
      <w:r>
        <w:rPr>
          <w:rFonts w:cs="Times New Roman" w:hint="eastAsia"/>
          <w:color w:val="auto"/>
          <w:kern w:val="2"/>
          <w:sz w:val="28"/>
          <w:szCs w:val="28"/>
          <w:lang w:val="en-US" w:eastAsia="zh-CN" w:bidi="ar-SA"/>
          <w:highlight w:val="none"/>
        </w:rPr>
        <w:t>河北省石家庄装备制造基地</w:t>
      </w:r>
      <w:r>
        <w:rPr>
          <w:rFonts w:ascii="Times New Roman" w:eastAsia="宋体" w:cs="Times New Roman" w:hAnsi="Times New Roman" w:hint="eastAsia"/>
          <w:color w:val="auto"/>
          <w:kern w:val="2"/>
          <w:sz w:val="28"/>
          <w:szCs w:val="28"/>
          <w:lang w:val="en-US" w:eastAsia="zh-CN" w:bidi="ar-SA"/>
          <w:highlight w:val="none"/>
        </w:rPr>
        <w:t>胜利南街903号</w:t>
      </w:r>
      <w:r>
        <w:rPr>
          <w:rFonts w:ascii="Times New Roman" w:eastAsia="宋体" w:cs="Times New Roman" w:hAnsi="Times New Roman"/>
          <w:color w:val="auto"/>
          <w:kern w:val="2"/>
          <w:sz w:val="28"/>
          <w:szCs w:val="28"/>
          <w:lang w:val="en-US" w:eastAsia="zh-CN" w:bidi="ar-SA"/>
          <w:highlight w:val="none"/>
        </w:rPr>
        <w:t>进行。特此承诺，如遇各级政府规划调整，需要我企业（该项目）搬迁时，立刻无条件搬迁。</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eastAsia="宋体" w:cs="Times New Roman" w:hAnsi="Times New Roman"/>
          <w:color w:val="auto"/>
          <w:kern w:val="2"/>
          <w:sz w:val="28"/>
          <w:szCs w:val="28"/>
          <w:lang w:val="en-US" w:eastAsia="zh-CN" w:bidi="ar-SA"/>
          <w:highlight w:val="none"/>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eastAsia="宋体" w:cs="Times New Roman" w:hAnsi="Times New Roman"/>
          <w:color w:val="auto"/>
          <w:kern w:val="2"/>
          <w:sz w:val="28"/>
          <w:szCs w:val="28"/>
          <w:lang w:val="en-US" w:eastAsia="zh-CN" w:bidi="ar-SA"/>
          <w:highlight w:val="none"/>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eastAsia="宋体" w:cs="Times New Roman" w:hAnsi="Times New Roman"/>
          <w:color w:val="auto"/>
          <w:kern w:val="2"/>
          <w:sz w:val="28"/>
          <w:szCs w:val="28"/>
          <w:lang w:val="en-US" w:eastAsia="zh-CN" w:bidi="ar-SA"/>
          <w:highlight w:val="none"/>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Times New Roman" w:eastAsia="宋体" w:cs="Times New Roman" w:hAnsi="Times New Roman"/>
          <w:color w:val="auto"/>
          <w:kern w:val="2"/>
          <w:sz w:val="28"/>
          <w:szCs w:val="28"/>
          <w:lang w:val="en-US" w:eastAsia="zh-CN" w:bidi="ar-SA"/>
          <w:highlight w:val="none"/>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Times New Roman" w:eastAsia="宋体" w:cs="Times New Roman" w:hAnsi="Times New Roman"/>
          <w:color w:val="auto"/>
          <w:kern w:val="2"/>
          <w:sz w:val="28"/>
          <w:szCs w:val="28"/>
          <w:lang w:val="en-US" w:eastAsia="zh-CN" w:bidi="ar-SA"/>
          <w:highlight w:val="none"/>
        </w:rPr>
      </w:pPr>
      <w:r>
        <w:rPr>
          <w:rFonts w:ascii="Times New Roman" w:eastAsia="宋体" w:cs="Times New Roman" w:hAnsi="Times New Roman"/>
          <w:color w:val="auto"/>
          <w:kern w:val="2"/>
          <w:sz w:val="28"/>
          <w:szCs w:val="28"/>
          <w:lang w:val="en-US" w:eastAsia="zh-CN" w:bidi="ar-SA"/>
          <w:highlight w:val="none"/>
        </w:rPr>
        <w:t>公司名称（盖章）：</w:t>
      </w:r>
      <w:r>
        <w:rPr>
          <w:rFonts w:ascii="Times New Roman" w:eastAsia="宋体" w:cs="Times New Roman" w:hAnsi="Times New Roman" w:hint="eastAsia"/>
          <w:color w:val="auto"/>
          <w:kern w:val="2"/>
          <w:sz w:val="28"/>
          <w:szCs w:val="28"/>
          <w:lang w:val="en-US" w:eastAsia="zh-CN" w:bidi="ar-SA"/>
          <w:highlight w:val="none"/>
        </w:rPr>
        <w:t>河北卓峰化肥有限公司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eastAsia="宋体" w:cs="Times New Roman" w:hAnsi="Times New Roman"/>
          <w:color w:val="auto"/>
          <w:kern w:val="2"/>
          <w:sz w:val="28"/>
          <w:szCs w:val="28"/>
          <w:lang w:val="en-US" w:eastAsia="zh-CN" w:bidi="ar-SA"/>
          <w:highlight w:val="none"/>
        </w:rPr>
      </w:pPr>
      <w:r>
        <w:rPr>
          <w:rFonts w:ascii="Times New Roman" w:eastAsia="宋体" w:cs="Times New Roman" w:hAnsi="Times New Roman" w:hint="eastAsia"/>
          <w:color w:val="auto"/>
          <w:kern w:val="2"/>
          <w:sz w:val="28"/>
          <w:szCs w:val="28"/>
          <w:lang w:val="en-US" w:eastAsia="zh-CN" w:bidi="ar-SA"/>
          <w:highlight w:val="none"/>
        </w:rPr>
        <w:t xml:space="preserve">                                        </w:t>
      </w:r>
      <w:r>
        <w:rPr>
          <w:rFonts w:ascii="Times New Roman" w:eastAsia="宋体" w:cs="Times New Roman" w:hAnsi="Times New Roman"/>
          <w:color w:val="auto"/>
          <w:kern w:val="2"/>
          <w:sz w:val="28"/>
          <w:szCs w:val="28"/>
          <w:lang w:val="en-US" w:eastAsia="zh-CN" w:bidi="ar-SA"/>
          <w:highlight w:val="none"/>
        </w:rPr>
        <w:t>法定代表人（签字）：</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eastAsia="宋体" w:cs="Times New Roman" w:hAnsi="Times New Roman"/>
          <w:color w:val="auto"/>
          <w:kern w:val="2"/>
          <w:sz w:val="28"/>
          <w:szCs w:val="28"/>
          <w:lang w:val="en-US" w:eastAsia="zh-CN" w:bidi="ar-SA"/>
          <w:highlight w:val="none"/>
        </w:rPr>
      </w:pPr>
      <w:r>
        <w:rPr>
          <w:rFonts w:ascii="Times New Roman" w:eastAsia="宋体" w:cs="Times New Roman" w:hAnsi="Times New Roman" w:hint="eastAsia"/>
          <w:color w:val="auto"/>
          <w:kern w:val="2"/>
          <w:sz w:val="28"/>
          <w:szCs w:val="28"/>
          <w:lang w:val="en-US" w:eastAsia="zh-CN" w:bidi="ar-SA"/>
          <w:highlight w:val="none"/>
        </w:rPr>
        <w:t xml:space="preserve">                                          </w:t>
      </w:r>
      <w:r>
        <w:rPr>
          <w:rFonts w:ascii="Times New Roman" w:eastAsia="宋体" w:cs="Times New Roman" w:hAnsi="Times New Roman"/>
          <w:color w:val="auto"/>
          <w:kern w:val="2"/>
          <w:sz w:val="28"/>
          <w:szCs w:val="28"/>
          <w:lang w:val="en-US" w:eastAsia="zh-CN" w:bidi="ar-SA"/>
          <w:highlight w:val="none"/>
        </w:rPr>
        <w:t>年</w:t>
      </w:r>
      <w:r>
        <w:rPr>
          <w:rFonts w:ascii="Times New Roman" w:eastAsia="宋体" w:cs="Times New Roman" w:hAnsi="Times New Roman" w:hint="eastAsia"/>
          <w:color w:val="auto"/>
          <w:kern w:val="2"/>
          <w:sz w:val="28"/>
          <w:szCs w:val="28"/>
          <w:lang w:val="en-US" w:eastAsia="zh-CN" w:bidi="ar-SA"/>
          <w:highlight w:val="none"/>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left="0" w:right="0" w:firstLineChars="0" w:firstLine="0"/>
        <w:jc w:val="both"/>
        <w:textAlignment w:val="auto"/>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widowControl w:val="0"/>
        <w:spacing w:line="240" w:lineRule="auto"/>
        <w:ind w:left="0" w:right="0" w:firstLineChars="0" w:firstLine="0"/>
        <w:jc w:val="center"/>
        <w:rPr>
          <w:rFonts w:ascii="Times New Roman" w:eastAsia="宋体" w:cs="Times New Roman" w:hAnsi="Times New Roman"/>
          <w:b/>
          <w:color w:val="auto"/>
          <w:kern w:val="2"/>
          <w:sz w:val="24"/>
          <w:szCs w:val="21"/>
          <w:lang w:val="en-US" w:eastAsia="zh-CN" w:bidi="ar-SA"/>
        </w:rPr>
      </w:pPr>
    </w:p>
    <w:p>
      <w:pPr>
        <w:ind w:left="0" w:right="0" w:firstLineChars="0" w:firstLine="0"/>
        <w:jc w:val="center"/>
        <w:rPr>
          <w:color w:val="auto"/>
        </w:rPr>
        <w:sectPr>
          <w:pgSz w:w="11906" w:h="16838"/>
          <w:pgMar w:top="1417" w:right="1417" w:bottom="1417" w:left="1417" w:header="851" w:footer="850" w:gutter="0"/>
          <w:cols w:num="1" w:space="0"/>
          <w:docGrid w:linePitch="312" w:charSpace="0"/>
        </w:sectPr>
      </w:pPr>
    </w:p>
    <w:p>
      <w:pPr>
        <w:spacing w:line="240" w:lineRule="auto"/>
        <w:ind w:firstLineChars="0" w:firstLine="0"/>
        <w:jc w:val="center"/>
        <w:rPr>
          <w:rFonts w:ascii="Times New Roman" w:eastAsia="宋体" w:cs="Times New Roman" w:hAnsi="Times New Roman"/>
          <w:b/>
          <w:bCs/>
          <w:color w:val="auto"/>
          <w:sz w:val="36"/>
          <w:szCs w:val="36"/>
          <w:lang w:val="en-US" w:eastAsia="zh-CN"/>
          <w:highlight w:val="none"/>
        </w:rPr>
      </w:pPr>
      <w:r>
        <w:rPr>
          <w:rFonts w:ascii="Times New Roman" w:eastAsia="宋体" w:cs="Times New Roman" w:hAnsi="Times New Roman"/>
          <w:b/>
          <w:bCs/>
          <w:color w:val="auto"/>
          <w:sz w:val="36"/>
          <w:szCs w:val="36"/>
          <w:lang w:val="en-US" w:eastAsia="zh-CN"/>
          <w:highlight w:val="none"/>
        </w:rPr>
        <w:drawing>
          <wp:anchor distT="0" distB="0" distL="114300" distR="114300" simplePos="0" relativeHeight="818" behindDoc="0" locked="0" layoutInCell="1" hidden="0" allowOverlap="1">
            <wp:simplePos x="0" y="0"/>
            <wp:positionH relativeFrom="column">
              <wp:posOffset>-687705</wp:posOffset>
            </wp:positionH>
            <wp:positionV relativeFrom="paragraph">
              <wp:posOffset>-802640</wp:posOffset>
            </wp:positionV>
            <wp:extent cx="7355205" cy="10344784"/>
            <wp:effectExtent l="0" t="0" r="17145" b="18415"/>
            <wp:wrapNone/>
            <wp:docPr id="1213" name="图片 16"/>
            <wp:cNvGraphicFramePr>
              <a:graphicFrameLocks noChangeAspect="1"/>
            </wp:cNvGraphicFramePr>
            <a:graphic>
              <a:graphicData uri="http://schemas.openxmlformats.org/drawingml/2006/picture">
                <pic:pic>
                  <pic:nvPicPr>
                    <pic:cNvPr id="853" name="图片 16 853"/>
                    <pic:cNvPicPr/>
                  </pic:nvPicPr>
                  <pic:blipFill>
                    <a:blip r:embed="rId192"/>
                    <a:stretch>
                      <a:fillRect/>
                    </a:stretch>
                  </pic:blipFill>
                  <pic:spPr>
                    <a:xfrm rot="0">
                      <a:off x="0" y="0"/>
                      <a:ext cx="7355205" cy="10344784"/>
                    </a:xfrm>
                    <a:prstGeom prst="rect"/>
                    <a:noFill/>
                    <a:ln cmpd="sng" cap="flat">
                      <a:noFill/>
                      <a:prstDash val="solid"/>
                      <a:round/>
                    </a:ln>
                  </pic:spPr>
                </pic:pic>
              </a:graphicData>
            </a:graphic>
          </wp:anchor>
        </w:drawing>
      </w:r>
      <w:r>
        <w:rPr>
          <w:rFonts w:ascii="Times New Roman" w:eastAsia="宋体" w:cs="Times New Roman" w:hAnsi="Times New Roman"/>
          <w:b/>
          <w:bCs/>
          <w:color w:val="auto"/>
          <w:sz w:val="36"/>
          <w:szCs w:val="36"/>
          <w:lang w:val="en-US" w:eastAsia="zh-CN"/>
          <w:highlight w:val="none"/>
        </w:rPr>
        <w:t>无违法情况说明</w:t>
      </w:r>
    </w:p>
    <w:p>
      <w:pPr>
        <w:keepNext w:val="0"/>
        <w:keepLines w:val="0"/>
        <w:pageBreakBefore w:val="0"/>
        <w:widowControl w:val="0"/>
        <w:kinsoku/>
        <w:wordWrap/>
        <w:overflowPunct/>
        <w:topLinePunct w:val="0"/>
        <w:autoSpaceDE/>
        <w:autoSpaceDN/>
        <w:bidi w:val="0"/>
        <w:adjustRightInd/>
        <w:snapToGrid/>
        <w:spacing w:line="360" w:lineRule="auto"/>
        <w:ind w:firstLineChars="0" w:firstLine="0"/>
        <w:jc w:val="left"/>
        <w:textAlignment w:val="auto"/>
        <w:outlineLvl w:val="9"/>
        <w:rPr>
          <w:rFonts w:ascii="Times New Roman" w:eastAsia="宋体" w:cs="Times New Roman" w:hAnsi="Times New Roman"/>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firstLineChars="200" w:firstLine="560"/>
        <w:jc w:val="left"/>
        <w:textAlignment w:val="auto"/>
        <w:rPr>
          <w:rFonts w:ascii="Times New Roman" w:eastAsia="宋体" w:cs="Times New Roman" w:hAnsi="Times New Roman"/>
          <w:color w:val="auto"/>
          <w:sz w:val="28"/>
          <w:szCs w:val="28"/>
          <w:u w:val="none"/>
          <w:lang w:val="en-US" w:eastAsia="zh-CN"/>
        </w:rPr>
      </w:pPr>
      <w:r>
        <w:rPr>
          <w:rFonts w:ascii="Times New Roman" w:eastAsia="宋体" w:cs="Times New Roman" w:hAnsi="Times New Roman"/>
          <w:color w:val="auto"/>
          <w:sz w:val="28"/>
          <w:szCs w:val="28"/>
          <w:lang w:val="en-US" w:eastAsia="zh-CN"/>
        </w:rPr>
        <w:t>我单位</w:t>
      </w:r>
      <w:r>
        <w:rPr>
          <w:rFonts w:eastAsia="宋体" w:cs="Times New Roman" w:hint="eastAsia"/>
          <w:color w:val="auto"/>
          <w:sz w:val="28"/>
          <w:szCs w:val="28"/>
          <w:u w:val="single"/>
          <w:lang w:val="en-US" w:eastAsia="zh-CN"/>
        </w:rPr>
        <w:t>河北卓峰化肥有限公司</w:t>
      </w:r>
      <w:r>
        <w:rPr>
          <w:rFonts w:ascii="Times New Roman" w:eastAsia="宋体" w:cs="Times New Roman" w:hAnsi="Times New Roman"/>
          <w:color w:val="auto"/>
          <w:sz w:val="28"/>
          <w:szCs w:val="28"/>
          <w:u w:val="none"/>
          <w:lang w:val="en-US" w:eastAsia="zh-CN"/>
        </w:rPr>
        <w:t>（公司名</w:t>
      </w:r>
      <w:r>
        <w:rPr>
          <w:rFonts w:ascii="Times New Roman" w:eastAsia="宋体" w:cs="Times New Roman" w:hAnsi="Times New Roman"/>
          <w:color w:val="auto"/>
          <w:sz w:val="28"/>
          <w:szCs w:val="28"/>
          <w:u w:val="none"/>
          <w:lang w:val="en-US" w:eastAsia="zh-CN"/>
          <w:highlight w:val="none"/>
        </w:rPr>
        <w:t>称）的</w:t>
      </w:r>
      <w:r>
        <w:rPr>
          <w:rFonts w:eastAsia="宋体" w:cs="Times New Roman" w:hint="eastAsia"/>
          <w:color w:val="auto"/>
          <w:sz w:val="28"/>
          <w:szCs w:val="28"/>
          <w:u w:val="single"/>
          <w:lang w:val="en-US" w:eastAsia="zh-CN"/>
          <w:highlight w:val="none"/>
        </w:rPr>
        <w:t>河北卓峰化肥有限公司产品品质升级技术改造项目</w:t>
      </w:r>
      <w:r>
        <w:rPr>
          <w:rFonts w:ascii="Times New Roman" w:eastAsia="宋体" w:cs="Times New Roman" w:hAnsi="Times New Roman"/>
          <w:color w:val="auto"/>
          <w:sz w:val="28"/>
          <w:szCs w:val="28"/>
          <w:u w:val="none"/>
          <w:lang w:val="en-US" w:eastAsia="zh-CN"/>
          <w:highlight w:val="none"/>
        </w:rPr>
        <w:t>（</w:t>
      </w:r>
      <w:r>
        <w:rPr>
          <w:rFonts w:ascii="Times New Roman" w:eastAsia="宋体" w:cs="Times New Roman" w:hAnsi="Times New Roman"/>
          <w:color w:val="auto"/>
          <w:sz w:val="28"/>
          <w:szCs w:val="28"/>
          <w:u w:val="none"/>
          <w:lang w:val="en-US" w:eastAsia="zh-CN"/>
        </w:rPr>
        <w:t>项目名称），不存在环评违法行为。</w:t>
      </w:r>
    </w:p>
    <w:p>
      <w:pPr>
        <w:keepNext w:val="0"/>
        <w:keepLines w:val="0"/>
        <w:pageBreakBefore w:val="0"/>
        <w:widowControl w:val="0"/>
        <w:kinsoku/>
        <w:wordWrap/>
        <w:overflowPunct/>
        <w:topLinePunct w:val="0"/>
        <w:autoSpaceDE/>
        <w:autoSpaceDN/>
        <w:bidi w:val="0"/>
        <w:adjustRightInd/>
        <w:snapToGrid/>
        <w:spacing w:line="360" w:lineRule="auto"/>
        <w:ind w:firstLineChars="200" w:firstLine="560"/>
        <w:jc w:val="left"/>
        <w:textAlignment w:val="auto"/>
        <w:outlineLvl w:val="9"/>
        <w:rPr>
          <w:rFonts w:ascii="Times New Roman" w:eastAsia="宋体" w:cs="Times New Roman" w:hAnsi="Times New Roman"/>
          <w:color w:val="auto"/>
          <w:sz w:val="28"/>
          <w:szCs w:val="28"/>
          <w:lang w:val="en-US" w:eastAsia="zh-CN"/>
        </w:rPr>
      </w:pPr>
      <w:r>
        <w:rPr>
          <w:rFonts w:ascii="Times New Roman" w:eastAsia="宋体" w:cs="Times New Roman" w:hAnsi="Times New Roman"/>
          <w:color w:val="auto"/>
          <w:sz w:val="28"/>
          <w:szCs w:val="28"/>
          <w:lang w:val="en-US" w:eastAsia="zh-CN"/>
        </w:rPr>
        <w:t>特此说明。</w:t>
      </w: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left"/>
        <w:textAlignment w:val="auto"/>
        <w:outlineLvl w:val="9"/>
        <w:rPr>
          <w:rFonts w:ascii="Times New Roman" w:eastAsia="宋体" w:cs="Times New Roman" w:hAnsi="Times New Roman"/>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left"/>
        <w:textAlignment w:val="auto"/>
        <w:outlineLvl w:val="9"/>
        <w:rPr>
          <w:rFonts w:ascii="Times New Roman" w:eastAsia="宋体" w:cs="Times New Roman" w:hAnsi="Times New Roman"/>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left"/>
        <w:textAlignment w:val="auto"/>
        <w:outlineLvl w:val="9"/>
        <w:rPr>
          <w:rFonts w:ascii="Times New Roman" w:eastAsia="宋体" w:cs="Times New Roman" w:hAnsi="Times New Roman"/>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Chars="0" w:firstLine="0"/>
        <w:jc w:val="left"/>
        <w:textAlignment w:val="auto"/>
        <w:outlineLvl w:val="9"/>
        <w:rPr>
          <w:rFonts w:ascii="Times New Roman" w:eastAsia="宋体" w:cs="Times New Roman" w:hAnsi="Times New Roman"/>
          <w:color w:val="auto"/>
          <w:sz w:val="28"/>
          <w:szCs w:val="28"/>
          <w:lang w:val="en-US" w:eastAsia="zh-CN"/>
        </w:rPr>
      </w:pPr>
    </w:p>
    <w:p>
      <w:pPr>
        <w:spacing w:line="240" w:lineRule="auto"/>
        <w:ind w:firstLineChars="400" w:firstLine="1120"/>
        <w:rPr>
          <w:rFonts w:ascii="Times New Roman" w:eastAsia="宋体" w:cs="Times New Roman" w:hAnsi="Times New Roman"/>
          <w:color w:val="auto"/>
          <w:sz w:val="28"/>
          <w:szCs w:val="28"/>
          <w:lang w:val="en-US" w:eastAsia="zh-CN" w:bidi="ar-SA"/>
        </w:rPr>
      </w:pPr>
      <w:r>
        <w:rPr>
          <w:rFonts w:ascii="Times New Roman" w:eastAsia="宋体" w:cs="Times New Roman" w:hAnsi="Times New Roman"/>
          <w:color w:val="auto"/>
          <w:sz w:val="28"/>
          <w:szCs w:val="28"/>
          <w:lang w:val="en-US" w:eastAsia="zh-CN" w:bidi="ar-SA"/>
        </w:rPr>
        <w:t>单位名称</w:t>
      </w:r>
      <w:r>
        <w:rPr>
          <w:rFonts w:ascii="Times New Roman" w:eastAsia="宋体" w:cs="Times New Roman" w:hAnsi="Times New Roman"/>
          <w:color w:val="auto"/>
          <w:sz w:val="28"/>
          <w:szCs w:val="28"/>
          <w:lang w:bidi="ar-SA"/>
        </w:rPr>
        <w:t>（盖章）</w:t>
      </w:r>
      <w:r>
        <w:rPr>
          <w:rFonts w:ascii="Times New Roman" w:eastAsia="宋体" w:cs="Times New Roman" w:hAnsi="Times New Roman"/>
          <w:color w:val="auto"/>
          <w:sz w:val="28"/>
          <w:szCs w:val="28"/>
          <w:lang w:val="en-US" w:eastAsia="zh-CN" w:bidi="ar-SA"/>
        </w:rPr>
        <w:t>：</w:t>
      </w:r>
      <w:r>
        <w:rPr>
          <w:rFonts w:eastAsia="宋体" w:cs="Times New Roman" w:hint="eastAsia"/>
          <w:color w:val="auto"/>
          <w:sz w:val="28"/>
          <w:szCs w:val="28"/>
          <w:lang w:val="en-US" w:eastAsia="zh-CN" w:bidi="ar-SA"/>
        </w:rPr>
        <w:t>河北卓峰化肥有限公司</w:t>
      </w:r>
    </w:p>
    <w:p>
      <w:pPr>
        <w:spacing w:line="240" w:lineRule="auto"/>
        <w:ind w:firstLineChars="400" w:firstLine="1120"/>
        <w:rPr>
          <w:rFonts w:ascii="Times New Roman" w:eastAsia="宋体" w:cs="Times New Roman" w:hAnsi="Times New Roman"/>
          <w:color w:val="auto"/>
          <w:sz w:val="28"/>
          <w:szCs w:val="28"/>
          <w:lang w:val="en-US" w:eastAsia="zh-CN" w:bidi="ar-SA"/>
        </w:rPr>
      </w:pPr>
    </w:p>
    <w:p>
      <w:pPr>
        <w:spacing w:line="240" w:lineRule="auto"/>
        <w:ind w:firstLineChars="400" w:firstLine="1120"/>
        <w:rPr>
          <w:rFonts w:ascii="Times New Roman" w:eastAsia="宋体" w:cs="Times New Roman" w:hAnsi="Times New Roman"/>
          <w:color w:val="auto"/>
          <w:sz w:val="28"/>
          <w:szCs w:val="28"/>
          <w:lang w:val="en-US" w:eastAsia="zh-CN" w:bidi="ar-SA"/>
        </w:rPr>
      </w:pPr>
      <w:r>
        <w:rPr>
          <w:rFonts w:ascii="Times New Roman" w:eastAsia="宋体" w:cs="Times New Roman" w:hAnsi="Times New Roman"/>
          <w:color w:val="auto"/>
          <w:sz w:val="28"/>
          <w:szCs w:val="28"/>
          <w:lang w:val="en-US" w:eastAsia="zh-CN" w:bidi="ar-SA"/>
        </w:rPr>
        <w:t>法定代表人</w:t>
      </w:r>
      <w:r>
        <w:rPr>
          <w:rFonts w:ascii="Times New Roman" w:eastAsia="宋体" w:cs="Times New Roman" w:hAnsi="Times New Roman"/>
          <w:color w:val="auto"/>
          <w:sz w:val="28"/>
          <w:szCs w:val="28"/>
          <w:lang w:bidi="ar-SA"/>
        </w:rPr>
        <w:t>（签字）</w:t>
      </w:r>
      <w:r>
        <w:rPr>
          <w:rFonts w:ascii="Times New Roman" w:eastAsia="宋体" w:cs="Times New Roman" w:hAnsi="Times New Roman"/>
          <w:color w:val="auto"/>
          <w:sz w:val="28"/>
          <w:szCs w:val="28"/>
          <w:lang w:val="en-US" w:eastAsia="zh-CN" w:bidi="ar-SA"/>
        </w:rPr>
        <w:t>：</w:t>
      </w:r>
    </w:p>
    <w:p>
      <w:pPr>
        <w:spacing w:line="240" w:lineRule="auto"/>
        <w:ind w:firstLineChars="400" w:firstLine="1120"/>
        <w:rPr>
          <w:rFonts w:ascii="Times New Roman" w:eastAsia="宋体" w:cs="Times New Roman" w:hAnsi="Times New Roman"/>
          <w:color w:val="auto"/>
          <w:sz w:val="28"/>
          <w:szCs w:val="28"/>
          <w:lang w:val="en-US" w:eastAsia="zh-CN" w:bidi="ar-SA"/>
        </w:rPr>
      </w:pPr>
    </w:p>
    <w:p>
      <w:pPr>
        <w:spacing w:line="240" w:lineRule="auto"/>
        <w:ind w:firstLineChars="400" w:firstLine="1120"/>
        <w:jc w:val="center"/>
        <w:rPr>
          <w:rFonts w:ascii="Times New Roman" w:eastAsia="宋体" w:cs="Times New Roman" w:hAnsi="Times New Roman"/>
          <w:color w:val="auto"/>
          <w:sz w:val="28"/>
          <w:szCs w:val="28"/>
          <w:lang w:eastAsia="zh-CN" w:bidi="ar-SA"/>
          <w:highlight w:val="none"/>
        </w:rPr>
      </w:pPr>
      <w:r>
        <w:rPr>
          <w:rFonts w:ascii="Times New Roman" w:eastAsia="宋体" w:cs="Times New Roman" w:hAnsi="Times New Roman" w:hint="eastAsia"/>
          <w:color w:val="auto"/>
          <w:sz w:val="28"/>
          <w:szCs w:val="28"/>
          <w:lang w:val="en-US" w:eastAsia="zh-CN" w:bidi="ar-SA"/>
          <w:highlight w:val="none"/>
        </w:rPr>
        <w:t xml:space="preserve">                          </w:t>
      </w:r>
      <w:r>
        <w:rPr>
          <w:rFonts w:eastAsia="宋体" w:cs="Times New Roman" w:hint="eastAsia"/>
          <w:color w:val="auto"/>
          <w:sz w:val="28"/>
          <w:szCs w:val="28"/>
          <w:lang w:val="en-US" w:eastAsia="zh-CN" w:bidi="ar-SA"/>
          <w:highlight w:val="none"/>
        </w:rPr>
        <w:t xml:space="preserve">        </w:t>
      </w:r>
      <w:r>
        <w:rPr>
          <w:rFonts w:ascii="Times New Roman" w:eastAsia="宋体" w:cs="Times New Roman" w:hAnsi="Times New Roman"/>
          <w:color w:val="auto"/>
          <w:sz w:val="28"/>
          <w:szCs w:val="28"/>
          <w:lang w:eastAsia="zh-CN" w:bidi="ar-SA"/>
          <w:highlight w:val="none"/>
        </w:rPr>
        <w:t>年</w:t>
      </w:r>
      <w:r>
        <w:rPr>
          <w:rFonts w:ascii="Times New Roman" w:eastAsia="宋体" w:cs="Times New Roman" w:hAnsi="Times New Roman" w:hint="eastAsia"/>
          <w:color w:val="auto"/>
          <w:sz w:val="28"/>
          <w:szCs w:val="28"/>
          <w:lang w:val="en-US" w:eastAsia="zh-CN" w:bidi="ar-SA"/>
          <w:highlight w:val="none"/>
        </w:rPr>
        <w:t xml:space="preserve">  </w:t>
      </w:r>
      <w:r>
        <w:rPr>
          <w:rFonts w:ascii="Times New Roman" w:eastAsia="宋体" w:cs="Times New Roman" w:hAnsi="Times New Roman"/>
          <w:color w:val="auto"/>
          <w:sz w:val="28"/>
          <w:szCs w:val="28"/>
          <w:lang w:eastAsia="zh-CN" w:bidi="ar-SA"/>
          <w:highlight w:val="none"/>
        </w:rPr>
        <w:t>月</w:t>
      </w:r>
      <w:r>
        <w:rPr>
          <w:rFonts w:ascii="Times New Roman" w:eastAsia="宋体" w:cs="Times New Roman" w:hAnsi="Times New Roman" w:hint="eastAsia"/>
          <w:color w:val="auto"/>
          <w:sz w:val="28"/>
          <w:szCs w:val="28"/>
          <w:lang w:val="en-US" w:eastAsia="zh-CN" w:bidi="ar-SA"/>
          <w:highlight w:val="none"/>
        </w:rPr>
        <w:t xml:space="preserve">  </w:t>
      </w:r>
      <w:r>
        <w:rPr>
          <w:rFonts w:ascii="Times New Roman" w:eastAsia="宋体" w:cs="Times New Roman" w:hAnsi="Times New Roman"/>
          <w:color w:val="auto"/>
          <w:sz w:val="28"/>
          <w:szCs w:val="28"/>
          <w:lang w:eastAsia="zh-CN" w:bidi="ar-SA"/>
          <w:highlight w:val="none"/>
        </w:rPr>
        <w:t>日</w:t>
      </w:r>
    </w:p>
    <w:p>
      <w:pPr>
        <w:ind w:left="0" w:right="0" w:firstLineChars="0" w:firstLine="0"/>
        <w:jc w:val="center"/>
        <w:rPr>
          <w:color w:val="auto"/>
        </w:rPr>
        <w:sectPr>
          <w:pgSz w:w="11906" w:h="16838"/>
          <w:pgMar w:top="1417" w:right="1417" w:bottom="1417" w:left="1417" w:header="851" w:footer="850" w:gutter="0"/>
          <w:cols w:num="1" w:space="0"/>
          <w:docGrid w:linePitch="312" w:charSpace="0"/>
        </w:sectPr>
      </w:pPr>
    </w:p>
    <w:p>
      <w:pPr>
        <w:spacing w:line="240" w:lineRule="auto"/>
        <w:ind w:firstLineChars="0" w:firstLine="0"/>
        <w:jc w:val="center"/>
        <w:rPr>
          <w:rFonts w:ascii="Times New Roman" w:eastAsia="宋体" w:cs="Times New Roman" w:hAnsi="Times New Roman"/>
          <w:b/>
          <w:bCs/>
          <w:color w:val="auto"/>
          <w:sz w:val="44"/>
          <w:szCs w:val="44"/>
          <w:lang w:eastAsia="zh-CN"/>
        </w:rPr>
      </w:pPr>
      <w:r>
        <w:rPr>
          <w:rFonts w:ascii="Times New Roman" w:eastAsia="宋体" w:cs="Times New Roman" w:hAnsi="Times New Roman"/>
          <w:b/>
          <w:bCs/>
          <w:color w:val="auto"/>
          <w:sz w:val="44"/>
          <w:szCs w:val="44"/>
          <w:lang w:val="en-US" w:eastAsia="zh-CN"/>
        </w:rPr>
        <w:drawing>
          <wp:anchor distT="0" distB="0" distL="114300" distR="114300" simplePos="0" relativeHeight="820" behindDoc="0" locked="0" layoutInCell="1" hidden="0" allowOverlap="1">
            <wp:simplePos x="0" y="0"/>
            <wp:positionH relativeFrom="column">
              <wp:posOffset>-751205</wp:posOffset>
            </wp:positionH>
            <wp:positionV relativeFrom="paragraph">
              <wp:posOffset>-707390</wp:posOffset>
            </wp:positionV>
            <wp:extent cx="7388860" cy="10233025"/>
            <wp:effectExtent l="0" t="0" r="2540" b="15875"/>
            <wp:wrapNone/>
            <wp:docPr id="1214" name="图片 17"/>
            <wp:cNvGraphicFramePr>
              <a:graphicFrameLocks noChangeAspect="1"/>
            </wp:cNvGraphicFramePr>
            <a:graphic>
              <a:graphicData uri="http://schemas.openxmlformats.org/drawingml/2006/picture">
                <pic:pic>
                  <pic:nvPicPr>
                    <pic:cNvPr id="855" name="图片 17 855"/>
                    <pic:cNvPicPr/>
                  </pic:nvPicPr>
                  <pic:blipFill>
                    <a:blip r:embed="rId193"/>
                    <a:stretch>
                      <a:fillRect/>
                    </a:stretch>
                  </pic:blipFill>
                  <pic:spPr>
                    <a:xfrm rot="0">
                      <a:off x="0" y="0"/>
                      <a:ext cx="7388860" cy="10233025"/>
                    </a:xfrm>
                    <a:prstGeom prst="rect"/>
                    <a:noFill/>
                    <a:ln cmpd="sng" cap="flat">
                      <a:noFill/>
                      <a:prstDash val="solid"/>
                      <a:round/>
                    </a:ln>
                  </pic:spPr>
                </pic:pic>
              </a:graphicData>
            </a:graphic>
          </wp:anchor>
        </w:drawing>
      </w:r>
      <w:r>
        <w:rPr>
          <w:rFonts w:ascii="Times New Roman" w:eastAsia="宋体" w:cs="Times New Roman" w:hAnsi="Times New Roman"/>
          <w:b/>
          <w:bCs/>
          <w:color w:val="auto"/>
          <w:sz w:val="44"/>
          <w:szCs w:val="44"/>
          <w:lang w:val="en-US" w:eastAsia="zh-CN"/>
        </w:rPr>
        <w:t>委托</w:t>
      </w:r>
      <w:r>
        <w:rPr>
          <w:rFonts w:ascii="Times New Roman" w:eastAsia="宋体" w:cs="Times New Roman" w:hAnsi="Times New Roman"/>
          <w:b/>
          <w:bCs/>
          <w:color w:val="auto"/>
          <w:sz w:val="44"/>
          <w:szCs w:val="44"/>
        </w:rPr>
        <w:t>书</w:t>
      </w:r>
    </w:p>
    <w:p>
      <w:pPr>
        <w:spacing w:line="520" w:lineRule="exact"/>
        <w:ind w:firstLineChars="0" w:firstLine="0"/>
        <w:rPr>
          <w:rFonts w:ascii="Times New Roman" w:eastAsia="宋体" w:cs="Times New Roman" w:hAnsi="Times New Roman"/>
          <w:color w:val="auto"/>
          <w:sz w:val="28"/>
          <w:szCs w:val="28"/>
          <w:lang w:val="en-US" w:eastAsia="zh-CN"/>
          <w:highlight w:val="none"/>
        </w:rPr>
      </w:pPr>
    </w:p>
    <w:p>
      <w:pPr>
        <w:spacing w:line="520" w:lineRule="exact"/>
        <w:ind w:firstLineChars="0" w:firstLine="0"/>
        <w:rPr>
          <w:rFonts w:ascii="Times New Roman" w:eastAsia="宋体" w:cs="Times New Roman" w:hAnsi="Times New Roman"/>
          <w:color w:val="auto"/>
          <w:sz w:val="28"/>
          <w:szCs w:val="28"/>
          <w:lang w:val="en-US" w:eastAsia="zh-CN"/>
          <w:highlight w:val="none"/>
        </w:rPr>
      </w:pPr>
      <w:r>
        <w:rPr>
          <w:rFonts w:ascii="Times New Roman" w:eastAsia="宋体" w:cs="Times New Roman" w:hAnsi="Times New Roman"/>
          <w:color w:val="auto"/>
          <w:sz w:val="28"/>
          <w:szCs w:val="28"/>
          <w:lang w:val="en-US" w:eastAsia="zh-CN"/>
          <w:highlight w:val="none"/>
        </w:rPr>
        <w:t>晨喆（河北）环保科技有限公司</w:t>
      </w:r>
      <w:r>
        <w:rPr>
          <w:rFonts w:ascii="Times New Roman" w:eastAsia="宋体" w:cs="Times New Roman" w:hAnsi="Times New Roman"/>
          <w:color w:val="auto"/>
          <w:sz w:val="28"/>
          <w:szCs w:val="28"/>
          <w:lang w:eastAsia="zh-CN"/>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right="0" w:firstLineChars="200" w:firstLine="560"/>
        <w:jc w:val="both"/>
        <w:textAlignment w:val="auto"/>
        <w:outlineLvl w:val="9"/>
        <w:rPr>
          <w:rFonts w:ascii="Times New Roman" w:eastAsia="宋体" w:cs="Times New Roman" w:hAnsi="Times New Roman"/>
          <w:color w:val="auto"/>
          <w:sz w:val="28"/>
          <w:szCs w:val="28"/>
          <w:highlight w:val="none"/>
        </w:rPr>
      </w:pPr>
      <w:r>
        <w:rPr>
          <w:rFonts w:ascii="Times New Roman" w:eastAsia="宋体" w:cs="Times New Roman" w:hAnsi="Times New Roman"/>
          <w:color w:val="auto"/>
          <w:sz w:val="28"/>
          <w:szCs w:val="28"/>
          <w:lang w:val="en-US" w:eastAsia="zh-CN"/>
          <w:highlight w:val="none"/>
        </w:rPr>
        <w:t>今</w:t>
      </w:r>
      <w:r>
        <w:rPr>
          <w:rFonts w:ascii="Times New Roman" w:eastAsia="宋体" w:cs="Times New Roman" w:hAnsi="Times New Roman"/>
          <w:color w:val="auto"/>
          <w:sz w:val="28"/>
          <w:szCs w:val="28"/>
          <w:highlight w:val="none"/>
        </w:rPr>
        <w:t>委托</w:t>
      </w:r>
      <w:r>
        <w:rPr>
          <w:rFonts w:ascii="Times New Roman" w:eastAsia="宋体" w:cs="Times New Roman" w:hAnsi="Times New Roman"/>
          <w:color w:val="auto"/>
          <w:sz w:val="28"/>
          <w:szCs w:val="28"/>
          <w:lang w:val="en-US" w:eastAsia="zh-CN"/>
          <w:highlight w:val="none"/>
        </w:rPr>
        <w:t>贵</w:t>
      </w:r>
      <w:r>
        <w:rPr>
          <w:rFonts w:ascii="Times New Roman" w:eastAsia="宋体" w:cs="Times New Roman" w:hAnsi="Times New Roman"/>
          <w:color w:val="auto"/>
          <w:sz w:val="28"/>
          <w:szCs w:val="28"/>
          <w:highlight w:val="none"/>
        </w:rPr>
        <w:t>单位</w:t>
      </w:r>
      <w:r>
        <w:rPr>
          <w:rFonts w:ascii="Times New Roman" w:eastAsia="宋体" w:cs="Times New Roman" w:hAnsi="Times New Roman"/>
          <w:color w:val="auto"/>
          <w:sz w:val="28"/>
          <w:szCs w:val="28"/>
          <w:lang w:val="en-US" w:eastAsia="zh-CN"/>
          <w:highlight w:val="none"/>
        </w:rPr>
        <w:t>承担：</w:t>
      </w:r>
      <w:r>
        <w:rPr>
          <w:rFonts w:eastAsia="宋体" w:cs="Times New Roman" w:hint="eastAsia"/>
          <w:color w:val="auto"/>
          <w:sz w:val="28"/>
          <w:szCs w:val="28"/>
          <w:u w:val="single"/>
          <w:lang w:val="en-US" w:eastAsia="zh-CN"/>
          <w:highlight w:val="none"/>
        </w:rPr>
        <w:t>河北卓峰化肥有限公司产品品质升级技术改造项目</w:t>
      </w:r>
      <w:r>
        <w:rPr>
          <w:rFonts w:ascii="Times New Roman" w:eastAsia="宋体" w:cs="Times New Roman" w:hAnsi="Times New Roman"/>
          <w:color w:val="auto"/>
          <w:sz w:val="28"/>
          <w:szCs w:val="28"/>
          <w:lang w:val="en-US" w:eastAsia="zh-CN"/>
          <w:highlight w:val="none"/>
        </w:rPr>
        <w:t>的环境影响报告表编制工作，望接到委托后尽快开展工作，并及时提交技术文件。</w:t>
      </w:r>
    </w:p>
    <w:p>
      <w:pPr>
        <w:spacing w:line="360" w:lineRule="auto"/>
        <w:ind w:firstLineChars="0" w:firstLine="0"/>
        <w:rPr>
          <w:rFonts w:ascii="Times New Roman" w:eastAsia="宋体" w:cs="Times New Roman" w:hAnsi="Times New Roman"/>
          <w:color w:val="auto"/>
          <w:sz w:val="28"/>
          <w:szCs w:val="28"/>
          <w:highlight w:val="none"/>
        </w:rPr>
      </w:pPr>
    </w:p>
    <w:p>
      <w:pPr>
        <w:spacing w:line="520" w:lineRule="exact"/>
        <w:ind w:firstLineChars="200" w:firstLine="560"/>
        <w:jc w:val="right"/>
        <w:rPr>
          <w:rFonts w:ascii="Times New Roman" w:eastAsia="宋体" w:cs="Times New Roman" w:hAnsi="Times New Roman"/>
          <w:color w:val="auto"/>
          <w:sz w:val="28"/>
          <w:szCs w:val="28"/>
          <w:lang w:val="en-US" w:eastAsia="zh-CN"/>
          <w:highlight w:val="none"/>
        </w:rPr>
      </w:pPr>
    </w:p>
    <w:p>
      <w:pPr>
        <w:spacing w:line="520" w:lineRule="exact"/>
        <w:ind w:firstLineChars="200" w:firstLine="560"/>
        <w:jc w:val="right"/>
        <w:rPr>
          <w:rFonts w:ascii="Times New Roman" w:eastAsia="宋体" w:cs="Times New Roman" w:hAnsi="Times New Roman"/>
          <w:color w:val="auto"/>
          <w:sz w:val="28"/>
          <w:szCs w:val="28"/>
          <w:lang w:val="en-US" w:eastAsia="zh-CN"/>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560"/>
        <w:jc w:val="right"/>
        <w:textAlignment w:val="auto"/>
        <w:rPr>
          <w:rFonts w:ascii="Times New Roman" w:eastAsia="宋体" w:cs="Times New Roman" w:hAnsi="Times New Roman"/>
          <w:color w:val="auto"/>
          <w:sz w:val="28"/>
          <w:szCs w:val="28"/>
          <w:lang w:val="en-US" w:eastAsia="zh-CN"/>
          <w:highlight w:val="none"/>
        </w:rPr>
      </w:pPr>
      <w:r>
        <w:rPr>
          <w:rFonts w:ascii="Times New Roman" w:eastAsia="宋体" w:cs="Times New Roman" w:hAnsi="Times New Roman"/>
          <w:color w:val="auto"/>
          <w:sz w:val="28"/>
          <w:szCs w:val="28"/>
          <w:lang w:val="en-US" w:eastAsia="zh-CN"/>
          <w:highlight w:val="none"/>
        </w:rPr>
        <w:t>委托单位：</w:t>
      </w:r>
      <w:r>
        <w:rPr>
          <w:rFonts w:eastAsia="宋体" w:cs="Times New Roman" w:hint="eastAsia"/>
          <w:color w:val="auto"/>
          <w:sz w:val="28"/>
          <w:szCs w:val="28"/>
          <w:lang w:val="en-US" w:eastAsia="zh-CN"/>
          <w:highlight w:val="none"/>
        </w:rPr>
        <w:t>河北卓峰化肥有限公司</w:t>
      </w:r>
    </w:p>
    <w:p>
      <w:pPr>
        <w:rPr>
          <w:color w:val="auto"/>
        </w:rPr>
        <w:sectPr>
          <w:pgSz w:w="11906" w:h="16838"/>
          <w:pgMar w:top="1417" w:right="1417" w:bottom="1417" w:left="1417" w:header="851" w:footer="850" w:gutter="0"/>
          <w:cols w:num="1" w:space="0"/>
          <w:docGrid w:linePitch="312" w:charSpace="0"/>
        </w:sectPr>
      </w:pPr>
      <w:r>
        <w:rPr>
          <w:rFonts w:ascii="Times New Roman" w:eastAsia="宋体" w:cs="Times New Roman" w:hAnsi="Times New Roman" w:hint="eastAsia"/>
          <w:b/>
          <w:color w:val="auto"/>
          <w:kern w:val="2"/>
          <w:sz w:val="28"/>
          <w:szCs w:val="28"/>
          <w:lang w:val="en-US" w:eastAsia="zh-CN" w:bidi="ar-SA"/>
          <w:highlight w:val="none"/>
        </w:rPr>
        <w:t xml:space="preserve">                                    </w:t>
      </w:r>
      <w:r>
        <w:rPr>
          <w:rFonts w:ascii="Times New Roman" w:eastAsia="宋体" w:cs="Times New Roman" w:hAnsi="Times New Roman"/>
          <w:b w:val="0"/>
          <w:bCs/>
          <w:color w:val="auto"/>
          <w:kern w:val="2"/>
          <w:sz w:val="28"/>
          <w:szCs w:val="28"/>
          <w:lang w:val="en-US" w:eastAsia="zh-CN" w:bidi="ar-SA"/>
          <w:highlight w:val="none"/>
        </w:rPr>
        <w:t>年</w:t>
      </w:r>
      <w:r>
        <w:rPr>
          <w:rFonts w:ascii="Times New Roman" w:eastAsia="宋体" w:cs="Times New Roman" w:hAnsi="Times New Roman" w:hint="eastAsia"/>
          <w:b w:val="0"/>
          <w:bCs/>
          <w:color w:val="auto"/>
          <w:kern w:val="2"/>
          <w:sz w:val="28"/>
          <w:szCs w:val="28"/>
          <w:lang w:val="en-US" w:eastAsia="zh-CN" w:bidi="ar-SA"/>
          <w:highlight w:val="none"/>
        </w:rPr>
        <w:t xml:space="preserve">  </w:t>
      </w:r>
      <w:r>
        <w:rPr>
          <w:rFonts w:ascii="Times New Roman" w:eastAsia="宋体" w:cs="Times New Roman" w:hAnsi="Times New Roman"/>
          <w:b w:val="0"/>
          <w:bCs/>
          <w:color w:val="auto"/>
          <w:kern w:val="2"/>
          <w:sz w:val="28"/>
          <w:szCs w:val="28"/>
          <w:lang w:val="en-US" w:eastAsia="zh-CN" w:bidi="ar-SA"/>
          <w:highlight w:val="none"/>
        </w:rPr>
        <w:t>月</w:t>
      </w:r>
      <w:r>
        <w:rPr>
          <w:rFonts w:ascii="Times New Roman" w:eastAsia="宋体" w:cs="Times New Roman" w:hAnsi="Times New Roman" w:hint="eastAsia"/>
          <w:b w:val="0"/>
          <w:bCs/>
          <w:color w:val="auto"/>
          <w:kern w:val="2"/>
          <w:sz w:val="28"/>
          <w:szCs w:val="28"/>
          <w:lang w:val="en-US" w:eastAsia="zh-CN" w:bidi="ar-SA"/>
          <w:highlight w:val="none"/>
        </w:rPr>
        <w:t xml:space="preserve">  </w:t>
      </w:r>
      <w:r>
        <w:rPr>
          <w:rFonts w:ascii="Times New Roman" w:eastAsia="宋体" w:cs="Times New Roman" w:hAnsi="Times New Roman"/>
          <w:b w:val="0"/>
          <w:bCs/>
          <w:color w:val="auto"/>
          <w:kern w:val="2"/>
          <w:sz w:val="28"/>
          <w:szCs w:val="28"/>
          <w:lang w:val="en-US" w:eastAsia="zh-CN" w:bidi="ar-SA"/>
          <w:highlight w:val="none"/>
        </w:rPr>
        <w:t>日</w:t>
      </w:r>
    </w:p>
    <w:p>
      <w:pPr>
        <w:spacing w:line="240" w:lineRule="auto"/>
        <w:ind w:firstLineChars="0" w:firstLine="0"/>
        <w:jc w:val="center"/>
        <w:rPr>
          <w:rFonts w:ascii="Times New Roman" w:eastAsia="宋体" w:cs="Times New Roman" w:hAnsi="Times New Roman"/>
          <w:b/>
          <w:bCs/>
          <w:color w:val="auto"/>
          <w:sz w:val="44"/>
          <w:szCs w:val="44"/>
          <w:lang w:val="en-US" w:eastAsia="zh-CN"/>
        </w:rPr>
      </w:pPr>
      <w:r>
        <w:rPr>
          <w:rFonts w:ascii="Times New Roman" w:eastAsia="宋体" w:cs="Times New Roman" w:hAnsi="Times New Roman"/>
          <w:b/>
          <w:bCs/>
          <w:color w:val="auto"/>
          <w:sz w:val="44"/>
          <w:szCs w:val="44"/>
          <w:lang w:val="en-US" w:eastAsia="zh-CN"/>
        </w:rPr>
        <w:drawing>
          <wp:anchor distT="0" distB="0" distL="114300" distR="114300" simplePos="0" relativeHeight="822" behindDoc="0" locked="0" layoutInCell="1" hidden="0" allowOverlap="1">
            <wp:simplePos x="0" y="0"/>
            <wp:positionH relativeFrom="column">
              <wp:posOffset>-733425</wp:posOffset>
            </wp:positionH>
            <wp:positionV relativeFrom="paragraph">
              <wp:posOffset>-829310</wp:posOffset>
            </wp:positionV>
            <wp:extent cx="7349490" cy="10564494"/>
            <wp:effectExtent l="0" t="0" r="3810" b="8255"/>
            <wp:wrapNone/>
            <wp:docPr id="1215" name="图片 18"/>
            <wp:cNvGraphicFramePr>
              <a:graphicFrameLocks noChangeAspect="1"/>
            </wp:cNvGraphicFramePr>
            <a:graphic>
              <a:graphicData uri="http://schemas.openxmlformats.org/drawingml/2006/picture">
                <pic:pic>
                  <pic:nvPicPr>
                    <pic:cNvPr id="857" name="图片 18 857"/>
                    <pic:cNvPicPr/>
                  </pic:nvPicPr>
                  <pic:blipFill>
                    <a:blip r:embed="rId194"/>
                    <a:stretch>
                      <a:fillRect/>
                    </a:stretch>
                  </pic:blipFill>
                  <pic:spPr>
                    <a:xfrm rot="0">
                      <a:off x="0" y="0"/>
                      <a:ext cx="7349490" cy="10564494"/>
                    </a:xfrm>
                    <a:prstGeom prst="rect"/>
                    <a:noFill/>
                    <a:ln cmpd="sng" cap="flat">
                      <a:noFill/>
                      <a:prstDash val="solid"/>
                      <a:round/>
                    </a:ln>
                  </pic:spPr>
                </pic:pic>
              </a:graphicData>
            </a:graphic>
          </wp:anchor>
        </w:drawing>
      </w:r>
      <w:r>
        <w:rPr>
          <w:rFonts w:ascii="Times New Roman" w:eastAsia="宋体" w:cs="Times New Roman" w:hAnsi="Times New Roman"/>
          <w:b/>
          <w:bCs/>
          <w:color w:val="auto"/>
          <w:sz w:val="44"/>
          <w:szCs w:val="44"/>
          <w:lang w:val="en-US" w:eastAsia="zh-CN"/>
        </w:rPr>
        <w:t>承诺书</w:t>
      </w:r>
    </w:p>
    <w:p>
      <w:pPr>
        <w:spacing w:line="520" w:lineRule="exact"/>
        <w:ind w:firstLineChars="200" w:firstLine="560"/>
        <w:rPr>
          <w:rFonts w:ascii="Times New Roman" w:eastAsia="宋体" w:cs="Times New Roman" w:hAnsi="Times New Roman"/>
          <w:color w:val="auto"/>
          <w:sz w:val="28"/>
          <w:szCs w:val="28"/>
          <w:lang w:val="en-US" w:eastAsia="zh-CN"/>
        </w:rPr>
      </w:pPr>
    </w:p>
    <w:p>
      <w:pPr>
        <w:spacing w:line="520" w:lineRule="exact"/>
        <w:ind w:firstLineChars="200" w:firstLine="560"/>
        <w:rPr>
          <w:rFonts w:ascii="Times New Roman" w:eastAsia="宋体" w:cs="Times New Roman" w:hAnsi="Times New Roman"/>
          <w:color w:val="auto"/>
          <w:sz w:val="28"/>
          <w:szCs w:val="28"/>
          <w:lang w:val="en-US" w:eastAsia="zh-CN"/>
        </w:rPr>
      </w:pPr>
      <w:r>
        <w:rPr>
          <w:rFonts w:ascii="Times New Roman" w:eastAsia="宋体" w:cs="Times New Roman" w:hAnsi="Times New Roman"/>
          <w:color w:val="auto"/>
          <w:sz w:val="28"/>
          <w:szCs w:val="28"/>
          <w:lang w:val="en-US" w:eastAsia="zh-CN"/>
        </w:rPr>
        <w:t>我单位郑重承诺</w:t>
      </w:r>
      <w:r>
        <w:rPr>
          <w:rFonts w:ascii="Times New Roman" w:eastAsia="宋体" w:cs="Times New Roman" w:hAnsi="Times New Roman"/>
          <w:color w:val="auto"/>
          <w:sz w:val="28"/>
          <w:szCs w:val="28"/>
          <w:lang w:val="en-US" w:eastAsia="zh-CN"/>
          <w:highlight w:val="none"/>
        </w:rPr>
        <w:t>《</w:t>
      </w:r>
      <w:r>
        <w:rPr>
          <w:rFonts w:eastAsia="宋体" w:cs="Times New Roman" w:hint="eastAsia"/>
          <w:color w:val="auto"/>
          <w:sz w:val="28"/>
          <w:szCs w:val="28"/>
          <w:lang w:val="en-US" w:eastAsia="zh-CN"/>
          <w:highlight w:val="none"/>
        </w:rPr>
        <w:t>河北卓峰化肥有限公司产品品质升级技术改造项目</w:t>
      </w:r>
      <w:r>
        <w:rPr>
          <w:rFonts w:ascii="Times New Roman" w:eastAsia="宋体" w:cs="Times New Roman" w:hAnsi="Times New Roman"/>
          <w:color w:val="auto"/>
          <w:sz w:val="28"/>
          <w:szCs w:val="28"/>
          <w:lang w:val="en-US" w:eastAsia="zh-CN"/>
          <w:highlight w:val="none"/>
        </w:rPr>
        <w:t>》环境影</w:t>
      </w:r>
      <w:r>
        <w:rPr>
          <w:rFonts w:ascii="Times New Roman" w:eastAsia="宋体" w:cs="Times New Roman" w:hAnsi="Times New Roman"/>
          <w:color w:val="auto"/>
          <w:sz w:val="28"/>
          <w:szCs w:val="28"/>
          <w:lang w:val="en-US" w:eastAsia="zh-CN"/>
        </w:rPr>
        <w:t>响报告表中的内容、数据、附图、附件等均真实有效，本单位自愿承担相应责任，该环境影响报告表中内容不涉及国家机密、商业秘密和个人隐私，同意该环境影响报告表中内容公开。</w:t>
      </w:r>
    </w:p>
    <w:p>
      <w:pPr>
        <w:spacing w:line="520" w:lineRule="exact"/>
        <w:ind w:firstLineChars="200" w:firstLine="560"/>
        <w:rPr>
          <w:rFonts w:ascii="Times New Roman" w:eastAsia="宋体" w:cs="Times New Roman" w:hAnsi="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Chars="200" w:firstLine="560"/>
        <w:textAlignment w:val="auto"/>
        <w:rPr>
          <w:rFonts w:ascii="Times New Roman" w:eastAsia="宋体" w:cs="Times New Roman" w:hAnsi="Times New Roman"/>
          <w:color w:val="auto"/>
          <w:sz w:val="28"/>
          <w:szCs w:val="28"/>
        </w:rPr>
      </w:pPr>
      <w:r>
        <w:rPr>
          <w:rFonts w:ascii="Times New Roman" w:eastAsia="宋体" w:cs="Times New Roman" w:hAnsi="Times New Roman"/>
          <w:color w:val="auto"/>
          <w:sz w:val="28"/>
          <w:szCs w:val="28"/>
          <w:lang w:val="en-US" w:eastAsia="zh-CN"/>
        </w:rPr>
        <w:t>特此承诺。</w:t>
      </w:r>
    </w:p>
    <w:p>
      <w:pPr>
        <w:keepNext w:val="0"/>
        <w:keepLines w:val="0"/>
        <w:pageBreakBefore w:val="0"/>
        <w:widowControl w:val="0"/>
        <w:kinsoku/>
        <w:wordWrap/>
        <w:overflowPunct/>
        <w:topLinePunct w:val="0"/>
        <w:autoSpaceDE/>
        <w:autoSpaceDN/>
        <w:bidi w:val="0"/>
        <w:adjustRightInd/>
        <w:snapToGrid/>
        <w:spacing w:line="360" w:lineRule="auto"/>
        <w:ind w:firstLineChars="0" w:firstLine="0"/>
        <w:jc w:val="right"/>
        <w:textAlignment w:val="auto"/>
        <w:rPr>
          <w:rFonts w:ascii="Times New Roman" w:eastAsia="宋体" w:cs="Times New Roman" w:hAnsi="Times New Roman"/>
          <w:color w:val="auto"/>
          <w:sz w:val="28"/>
          <w:szCs w:val="28"/>
          <w:lang w:val="en-US" w:eastAsia="zh-CN"/>
        </w:rPr>
      </w:pPr>
      <w:r>
        <w:rPr>
          <w:rFonts w:eastAsia="宋体" w:cs="Times New Roman" w:hint="eastAsia"/>
          <w:color w:val="auto"/>
          <w:sz w:val="28"/>
          <w:szCs w:val="28"/>
          <w:lang w:val="en-US" w:eastAsia="zh-CN"/>
        </w:rPr>
        <w:t>河北卓峰化肥有限公司</w:t>
      </w: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r>
        <w:rPr>
          <w:rFonts w:ascii="Times New Roman" w:eastAsia="宋体" w:cs="Times New Roman" w:hAnsi="Times New Roman" w:hint="eastAsia"/>
          <w:b/>
          <w:color w:val="auto"/>
          <w:kern w:val="2"/>
          <w:sz w:val="28"/>
          <w:szCs w:val="28"/>
          <w:lang w:val="en-US" w:eastAsia="zh-CN" w:bidi="ar-SA"/>
          <w:highlight w:val="none"/>
        </w:rPr>
        <w:t xml:space="preserve">                                     </w:t>
      </w:r>
      <w:r>
        <w:rPr>
          <w:rFonts w:ascii="Times New Roman" w:eastAsia="宋体" w:cs="Times New Roman" w:hAnsi="Times New Roman"/>
          <w:b w:val="0"/>
          <w:bCs/>
          <w:color w:val="auto"/>
          <w:kern w:val="2"/>
          <w:sz w:val="28"/>
          <w:szCs w:val="28"/>
          <w:lang w:val="en-US" w:eastAsia="zh-CN" w:bidi="ar-SA"/>
          <w:highlight w:val="none"/>
        </w:rPr>
        <w:t>年</w:t>
      </w:r>
      <w:r>
        <w:rPr>
          <w:rFonts w:ascii="Times New Roman" w:eastAsia="宋体" w:cs="Times New Roman" w:hAnsi="Times New Roman" w:hint="eastAsia"/>
          <w:b w:val="0"/>
          <w:bCs/>
          <w:color w:val="auto"/>
          <w:kern w:val="2"/>
          <w:sz w:val="28"/>
          <w:szCs w:val="28"/>
          <w:lang w:val="en-US" w:eastAsia="zh-CN" w:bidi="ar-SA"/>
          <w:highlight w:val="none"/>
        </w:rPr>
        <w:t xml:space="preserve">  </w:t>
      </w:r>
      <w:r>
        <w:rPr>
          <w:rFonts w:ascii="Times New Roman" w:eastAsia="宋体" w:cs="Times New Roman" w:hAnsi="Times New Roman"/>
          <w:b w:val="0"/>
          <w:bCs/>
          <w:color w:val="auto"/>
          <w:kern w:val="2"/>
          <w:sz w:val="28"/>
          <w:szCs w:val="28"/>
          <w:lang w:val="en-US" w:eastAsia="zh-CN" w:bidi="ar-SA"/>
          <w:highlight w:val="none"/>
        </w:rPr>
        <w:t>月</w:t>
      </w:r>
      <w:r>
        <w:rPr>
          <w:rFonts w:ascii="Times New Roman" w:eastAsia="宋体" w:cs="Times New Roman" w:hAnsi="Times New Roman" w:hint="eastAsia"/>
          <w:b w:val="0"/>
          <w:bCs/>
          <w:color w:val="auto"/>
          <w:kern w:val="2"/>
          <w:sz w:val="28"/>
          <w:szCs w:val="28"/>
          <w:lang w:val="en-US" w:eastAsia="zh-CN" w:bidi="ar-SA"/>
          <w:highlight w:val="none"/>
        </w:rPr>
        <w:t xml:space="preserve">  </w:t>
      </w:r>
      <w:r>
        <w:rPr>
          <w:rFonts w:ascii="Times New Roman" w:eastAsia="宋体" w:cs="Times New Roman" w:hAnsi="Times New Roman"/>
          <w:b w:val="0"/>
          <w:bCs/>
          <w:color w:val="auto"/>
          <w:kern w:val="2"/>
          <w:sz w:val="28"/>
          <w:szCs w:val="28"/>
          <w:lang w:val="en-US" w:eastAsia="zh-CN" w:bidi="ar-SA"/>
          <w:highlight w:val="none"/>
        </w:rPr>
        <w:t>日</w:t>
      </w: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center"/>
        <w:rPr>
          <w:rFonts w:ascii="Times New Roman" w:eastAsia="宋体" w:cs="Times New Roman" w:hAnsi="Times New Roman"/>
          <w:b w:val="0"/>
          <w:bCs/>
          <w:color w:val="auto"/>
          <w:kern w:val="2"/>
          <w:sz w:val="28"/>
          <w:szCs w:val="28"/>
          <w:lang w:val="en-US" w:eastAsia="zh-CN" w:bidi="ar-SA"/>
          <w:highlight w:val="none"/>
        </w:rPr>
      </w:pPr>
    </w:p>
    <w:p>
      <w:pPr>
        <w:widowControl w:val="0"/>
        <w:spacing w:line="240" w:lineRule="auto"/>
        <w:ind w:left="0" w:right="0" w:firstLineChars="0" w:firstLine="0"/>
        <w:jc w:val="both"/>
        <w:rPr>
          <w:rFonts w:ascii="Times New Roman" w:eastAsia="宋体" w:cs="Times New Roman" w:hAnsi="Times New Roman"/>
          <w:b w:val="0"/>
          <w:bCs/>
          <w:color w:val="auto"/>
          <w:kern w:val="2"/>
          <w:sz w:val="28"/>
          <w:szCs w:val="28"/>
          <w:lang w:val="en-US" w:eastAsia="zh-CN" w:bidi="ar-SA"/>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p>
      <w:pPr>
        <w:pStyle w:val="40"/>
        <w:ind w:left="0" w:right="0" w:firstLine="0"/>
        <w:jc w:val="both"/>
        <w:rPr>
          <w:rFonts w:ascii="Times New Roman" w:eastAsia="宋体" w:cs="Times New Roman" w:hAnsi="Times New Roman"/>
          <w:b w:val="0"/>
          <w:bCs/>
          <w:color w:val="auto"/>
          <w:sz w:val="28"/>
          <w:szCs w:val="28"/>
          <w:highlight w:val="none"/>
        </w:rPr>
      </w:pPr>
    </w:p>
    <w:sectPr>
      <w:pgSz w:w="11906" w:h="16838"/>
      <w:pgMar w:top="1417" w:right="1417" w:bottom="1417" w:left="1417" w:header="851" w:footer="850" w:gutter="0"/>
      <w:cols w:num="1" w:space="0"/>
      <w:rtlGutter/>
      <w:docGrid w:linePitch="312" w:charSpace="0"/>
    </w:sectPr>
  </w:body>
</w:document>
</file>

<file path=word/fontTable.xml><?xml version="1.0" encoding="utf-8"?>
<w:fonts xmlns:w="http://schemas.openxmlformats.org/wordprocessingml/2006/main" xmlns:r="http://schemas.openxmlformats.org/officeDocument/2006/relationships">
  <w:font w:name="方正仿宋_GB2312">
    <w:altName w:val="仿宋"/>
    <w:panose1 w:val="02000000000000000000"/>
    <w:charset w:val="86"/>
    <w:family w:val="auto"/>
    <w:pitch w:val="variable"/>
    <w:sig w:usb0="A00002BF" w:usb1="184F6CFA" w:usb2="00000012" w:usb3="00000000" w:csb0="00040001" w:csb1="00000000"/>
  </w:font>
  <w:font w:name="宋体">
    <w:panose1 w:val="02010600030101010101"/>
    <w:charset w:val="02"/>
    <w:family w:val="roman"/>
    <w:pitch w:val="variable"/>
    <w:sig w:usb0="00000203" w:usb1="288F0000" w:usb2="00000006" w:usb3="00000000" w:csb0="00040001" w:csb1="00000000"/>
  </w:font>
  <w:font w:name="Times New Roman">
    <w:panose1 w:val="02020603050405020304"/>
    <w:charset w:val="88"/>
    <w:family w:val="roman"/>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Gulim">
    <w:altName w:val="Times New Roman"/>
    <w:panose1 w:val="00000000000000000000"/>
    <w:charset w:val="00"/>
    <w:family w:val="auto"/>
    <w:pitch w:val="variable"/>
    <w:sig w:usb0="00000000" w:usb1="00000000" w:usb2="00000000" w:usb3="00000000" w:csb0="00000000" w:csb1="00000000"/>
  </w:font>
  <w:font w:name="PMingLiU">
    <w:altName w:val="新宋体"/>
    <w:panose1 w:val="00000000000000000000"/>
    <w:charset w:val="00"/>
    <w:family w:val="auto"/>
    <w:pitch w:val="variable"/>
    <w:sig w:usb0="00000000" w:usb1="00000000" w:usb2="00000000" w:usb3="00000000" w:csb0="00000000" w:csb1="00000000"/>
  </w:font>
  <w:font w:name="微软雅黑">
    <w:panose1 w:val="020B0503020204020204"/>
    <w:charset w:val="86"/>
    <w:family w:val="auto"/>
    <w:pitch w:val="variable"/>
    <w:sig w:usb0="80000287" w:usb1="2ACF3C50" w:usb2="00000016" w:usb3="00000000" w:csb0="0004001F" w:csb1="00000000"/>
  </w:font>
  <w:font w:name="Arial">
    <w:panose1 w:val="020B0604020202020204"/>
    <w:charset w:val="00"/>
    <w:family w:val="auto"/>
    <w:pitch w:val="variable"/>
    <w:sig w:usb0="00007A87" w:usb1="80000000" w:usb2="00000008" w:usb3="00000000" w:csb0="400001FF" w:csb1="FFFF0000"/>
  </w:font>
  <w:font w:name="楷体_GB2312">
    <w:altName w:val="楷体"/>
    <w:panose1 w:val="02010609030101010101"/>
    <w:charset w:val="86"/>
    <w:family w:val="auto"/>
    <w:pitch w:val="variable"/>
    <w:sig w:usb0="00000000" w:usb1="00000000" w:usb2="00000000" w:usb3="00000000" w:csb0="00040000" w:csb1="00000000"/>
  </w:font>
  <w:font w:name="Courier New">
    <w:panose1 w:val="02070309020205020404"/>
    <w:charset w:val="01"/>
    <w:family w:val="modern"/>
    <w:pitch w:val="variable"/>
    <w:sig w:usb0="E0002EFF" w:usb1="C0007843" w:usb2="00000009" w:usb3="00000000" w:csb0="400001FF" w:csb1="FFFF0000"/>
  </w:font>
  <w:font w:name="Calibri">
    <w:panose1 w:val="020F0502020204030204"/>
    <w:charset w:val="00"/>
    <w:family w:val="swiss"/>
    <w:pitch w:val="variable"/>
    <w:sig w:usb0="E4002EFF" w:usb1="C000247B" w:usb2="00000009" w:usb3="00000000" w:csb0="200001FF" w:csb1="00000000"/>
  </w:font>
  <w:font w:name="仿宋_GB2312">
    <w:altName w:val="仿宋"/>
    <w:panose1 w:val="02010609030101010101"/>
    <w:charset w:val="86"/>
    <w:family w:val="modern"/>
    <w:pitch w:val="variable"/>
    <w:sig w:usb0="00000000" w:usb1="00000000" w:usb2="00000000" w:usb3="00000000" w:csb0="00040000"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framePr w:w="0" w:hRule="auto" w:wrap="around" w:vAnchor="text" w:hAnchor="margin" w:xAlign="center" w:y="1" w:anchorLock="0"/>
      <w:tabs>
        <w:tab w:val="center" w:pos="4153"/>
        <w:tab w:val="right" w:pos="8306"/>
      </w:tabs>
    </w:pPr>
    <w:r>
      <w:fldChar w:fldCharType="begin"/>
    </w:r>
    <w:r>
      <w:instrText xml:space="preserve">PAGE  </w:instrText>
    </w:r>
    <w:r>
      <w:fldChar w:fldCharType="separate"/>
    </w:r>
    <w:r>
      <w:t xml:space="preserve"> </w:t>
    </w:r>
    <w:r>
      <w:fldChar w:fldCharType="end"/>
    </w:r>
  </w:p>
  <w:p>
    <w:pPr>
      <w:tabs>
        <w:tab w:val="center" w:pos="4153"/>
        <w:tab w:val="right" w:pos="8306"/>
      </w:tabs>
      <w:ind w:right="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jc w:val="center"/>
    </w:pPr>
    <w:r>
      <mc:AlternateContent>
        <mc:Choice Requires="wps">
          <w:drawing>
            <wp:anchor distT="0" distB="0" distL="114300" distR="114300" simplePos="0" relativeHeight="362" behindDoc="0" locked="0" layoutInCell="1" hidden="0" allowOverlap="1">
              <wp:simplePos x="0" y="0"/>
              <wp:positionH relativeFrom="margin">
                <wp:align>center</wp:align>
              </wp:positionH>
              <wp:positionV relativeFrom="paragraph">
                <wp:posOffset>0</wp:posOffset>
              </wp:positionV>
              <wp:extent cx="171450" cy="131433"/>
              <wp:wrapNone/>
              <wp:docPr id="104" name="文本框 104"/>
              <wp:cNvGraphicFramePr>
                <a:graphicFrameLocks noChangeAspect="0"/>
              </wp:cNvGraphicFramePr>
              <a:graphic>
                <a:graphicData uri="http://schemas.microsoft.com/office/word/2010/wordprocessingShape">
                  <wps:wsp>
                    <wps:cNvSpPr/>
                    <wps:spPr>
                      <a:xfrm rot="0">
                        <a:off x="0" y="0"/>
                        <a:ext cx="171450" cy="131433"/>
                      </a:xfrm>
                      <a:prstGeom prst="rect"/>
                      <a:noFill/>
                      <a:ln w="6350" cmpd="sng" cap="flat">
                        <a:noFill/>
                        <a:prstDash val="solid"/>
                        <a:round/>
                      </a:ln>
                    </wps:spPr>
                    <wps:txbx id="23">
                      <w:txbxContent>
                        <w:p>
                          <w:pPr>
                            <w:pStyle w:val="26"/>
                            <w:tabs>
                              <w:tab w:val="center" w:pos="4153"/>
                              <w:tab w:val="right" w:pos="8306"/>
                            </w:tabs>
                            <w:spacing w:line="240" w:lineRule="auto"/>
                            <w:ind w:firstLineChars="0" w:firstLine="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104" o:spid="_x0000_s24" filled="f" stroked="f" strokeweight="0.5pt" style="position:absolute;margin-left:0.0pt;margin-top:0.0pt;width:13.5pt;height:10.349121pt;z-index:362;mso-position-horizontal:center;mso-position-horizontal-relative:margin;mso-position-vertical:absolute;mso-wrap-style:none;">
              <v:stroke/>
              <v:textbox id="1166" inset="0mm,0mm,0mm,0mm" o:insetmode="custom" style="layout-flow:horizontal;v-text-anchor:top;mso-fit-shape-to-text:t;">
                <w:txbxContent>
                  <w:p>
                    <w:pPr>
                      <w:pStyle w:val="26"/>
                      <w:tabs>
                        <w:tab w:val="center" w:pos="4153"/>
                        <w:tab w:val="right" w:pos="8306"/>
                      </w:tabs>
                      <w:spacing w:line="240" w:lineRule="auto"/>
                      <w:ind w:firstLineChars="0" w:firstLine="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tabs>
        <w:tab w:val="center" w:pos="4153"/>
        <w:tab w:val="right" w:pos="8306"/>
      </w:tabs>
      <w:ind w:right="360"/>
      <w:jc w:val="center"/>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A33BE04"/>
    <w:multiLevelType w:val="singleLevel"/>
    <w:tmpl w:val="0A33BE04"/>
    <w:lvl w:ilvl="0">
      <w:start w:val="1"/>
      <w:numFmt w:val="chineseCounting"/>
      <w:lvlRestart w:val="0"/>
      <w:suff w:val="nothing"/>
      <w:lvlText w:val="%1、"/>
      <w:lvlJc w:val="left"/>
      <w:pPr/>
      <w:rPr>
        <w:rFonts w:hint="eastAsia"/>
      </w:rPr>
    </w:lvl>
  </w:abstractNum>
  <w:abstractNum w:abstractNumId="1">
    <w:nsid w:val="A34808B8"/>
    <w:multiLevelType w:val="singleLevel"/>
    <w:tmpl w:val="A34808B8"/>
    <w:lvl w:ilvl="0">
      <w:start w:val="1"/>
      <w:numFmt w:val="decimal"/>
      <w:lvlRestart w:val="0"/>
      <w:suff w:val="nothing"/>
      <w:lvlText w:val="%1、"/>
      <w:lvlJc w:val="left"/>
      <w:pPr/>
    </w:lvl>
  </w:abstractNum>
  <w:abstractNum w:abstractNumId="2">
    <w:nsid w:val="3E1A761B"/>
    <w:multiLevelType w:val="singleLevel"/>
    <w:tmpl w:val="3E1A761B"/>
    <w:lvl w:ilvl="0">
      <w:start w:val="4"/>
      <w:numFmt w:val="decimal"/>
      <w:lvlRestart w:val="0"/>
      <w:suff w:val="nothing"/>
      <w:lvlText w:val="%1、"/>
      <w:lvlJc w:val="left"/>
      <w:pPr/>
    </w:lvl>
  </w:abstractNum>
  <w:abstractNum w:abstractNumId="3">
    <w:nsid w:val="6DE79B42"/>
    <w:multiLevelType w:val="singleLevel"/>
    <w:tmpl w:val="6DE79B42"/>
    <w:lvl w:ilvl="0">
      <w:start w:val="1"/>
      <w:numFmt w:val="bullet"/>
      <w:lvlRestart w:val="0"/>
      <w:pStyle w:val="24"/>
      <w:lvlText w:val=""/>
      <w:lvlJc w:val="left"/>
      <w:pPr>
        <w:tabs>
          <w:tab w:val="num" w:pos="2040"/>
        </w:tabs>
        <w:ind w:left="20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val="0"/>
  <w:bordersDoNotSurroundFooter w:val="0"/>
  <w:defaultTabStop w:val="420"/>
  <w:drawingGridHorizontalSpacing w:val="120"/>
  <w:drawingGridVerticalSpacing w:val="168"/>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5"/>
  </w:compat>
  <w:docVars>
    <w:docVar w:name="commondata" w:val="eyJoZGlkIjoiZGM2ZDA0MmQ2NWYxN2NmZmVhYmIyMWE1NTRiYzQ4ODk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autoRedefine/>
    <w:next w:val="15"/>
    <w:pPr>
      <w:widowControl w:val="0"/>
      <w:spacing w:line="360" w:lineRule="auto"/>
      <w:ind w:firstLineChars="200" w:firstLine="200"/>
      <w:jc w:val="both"/>
    </w:pPr>
    <w:rPr>
      <w:rFonts w:ascii="Times New Roman" w:eastAsia="宋体" w:cs="Times New Roman" w:hAnsi="Times New Roman"/>
      <w:kern w:val="2"/>
      <w:sz w:val="24"/>
      <w:szCs w:val="24"/>
      <w:lang w:val="en-US" w:eastAsia="zh-CN" w:bidi="ar-SA"/>
    </w:rPr>
  </w:style>
  <w:style w:type="paragraph" w:styleId="1">
    <w:name w:val="heading 1"/>
    <w:qFormat/>
    <w:basedOn w:val="0"/>
    <w:autoRedefine/>
    <w:next w:val="0"/>
    <w:link w:val="1Char"/>
    <w:pPr>
      <w:keepNext/>
      <w:keepLines/>
      <w:adjustRightInd w:val="0"/>
      <w:jc w:val="left"/>
      <w:textAlignment w:val="baseline"/>
      <w:outlineLvl w:val="0"/>
    </w:pPr>
    <w:rPr>
      <w:b/>
      <w:kern w:val="0"/>
      <w:sz w:val="32"/>
    </w:rPr>
  </w:style>
  <w:style w:type="character" w:customStyle="1" w:styleId="1Char">
    <w:name w:val="heading 1 Char"/>
    <w:basedOn w:val="10"/>
    <w:link w:val="1"/>
    <w:autoRedefine/>
    <w:rPr>
      <w:rFonts w:ascii="Times New Roman" w:eastAsia="宋体" w:cs="Times New Roman" w:hAnsi="Times New Roman"/>
      <w:b/>
      <w:kern w:val="0"/>
      <w:sz w:val="32"/>
      <w:szCs w:val="24"/>
      <w:lang w:val="en-US" w:eastAsia="zh-CN" w:bidi="ar-SA"/>
    </w:rPr>
  </w:style>
  <w:style w:type="paragraph" w:styleId="2">
    <w:name w:val="heading 2"/>
    <w:qFormat/>
    <w:basedOn w:val="0"/>
    <w:autoRedefine/>
    <w:next w:val="0"/>
    <w:link w:val="2Char"/>
    <w:pPr>
      <w:spacing w:beforeAutospacing="1" w:afterAutospacing="1"/>
      <w:jc w:val="left"/>
      <w:outlineLvl w:val="1"/>
    </w:pPr>
    <w:rPr>
      <w:rFonts w:ascii="宋体" w:hAnsi="宋体"/>
      <w:b/>
      <w:bCs/>
      <w:kern w:val="0"/>
      <w:sz w:val="36"/>
      <w:szCs w:val="36"/>
    </w:rPr>
  </w:style>
  <w:style w:type="character" w:customStyle="1" w:styleId="2Char">
    <w:name w:val="heading 2 Char"/>
    <w:basedOn w:val="10"/>
    <w:link w:val="2"/>
    <w:autoRedefine/>
    <w:rPr>
      <w:rFonts w:ascii="宋体" w:eastAsia="宋体" w:cs="Times New Roman" w:hAnsi="宋体"/>
      <w:b/>
      <w:bCs/>
      <w:kern w:val="0"/>
      <w:sz w:val="36"/>
      <w:szCs w:val="36"/>
      <w:lang w:val="en-US" w:eastAsia="zh-CN" w:bidi="ar-SA"/>
    </w:rPr>
  </w:style>
  <w:style w:type="paragraph" w:styleId="3">
    <w:name w:val="heading 3"/>
    <w:qFormat/>
    <w:basedOn w:val="0"/>
    <w:autoRedefine/>
    <w:next w:val="0"/>
    <w:link w:val="3Char"/>
    <w:pPr>
      <w:keepNext/>
      <w:keepLines/>
      <w:snapToGrid w:val="0"/>
      <w:spacing w:line="480" w:lineRule="exact"/>
      <w:outlineLvl w:val="2"/>
    </w:pPr>
    <w:rPr>
      <w:bCs/>
      <w:kern w:val="0"/>
    </w:rPr>
  </w:style>
  <w:style w:type="character" w:customStyle="1" w:styleId="3Char">
    <w:name w:val="heading 3 Char"/>
    <w:basedOn w:val="10"/>
    <w:link w:val="3"/>
    <w:autoRedefine/>
    <w:rPr>
      <w:rFonts w:ascii="Times New Roman" w:eastAsia="宋体" w:cs="Times New Roman" w:hAnsi="Times New Roman"/>
      <w:bCs/>
      <w:kern w:val="0"/>
      <w:sz w:val="24"/>
      <w:szCs w:val="24"/>
      <w:lang w:val="en-US" w:eastAsia="zh-CN" w:bidi="ar-SA"/>
    </w:rPr>
  </w:style>
  <w:style w:type="paragraph" w:styleId="4">
    <w:name w:val="heading 4"/>
    <w:qFormat/>
    <w:basedOn w:val="0"/>
    <w:autoRedefine/>
    <w:next w:val="0"/>
    <w:link w:val="4Char"/>
    <w:pPr>
      <w:spacing w:line="480" w:lineRule="exact"/>
      <w:outlineLvl w:val="3"/>
    </w:pPr>
    <w:rPr>
      <w:b/>
      <w:bCs/>
    </w:rPr>
  </w:style>
  <w:style w:type="character" w:customStyle="1" w:styleId="4Char">
    <w:name w:val="heading 4 Char"/>
    <w:basedOn w:val="10"/>
    <w:link w:val="4"/>
    <w:autoRedefine/>
    <w:rPr>
      <w:rFonts w:ascii="Times New Roman" w:eastAsia="宋体" w:cs="Times New Roman" w:hAnsi="Times New Roman"/>
      <w:b/>
      <w:bCs/>
      <w:kern w:val="2"/>
      <w:sz w:val="24"/>
      <w:szCs w:val="24"/>
      <w:lang w:val="en-US" w:eastAsia="zh-CN" w:bidi="ar-SA"/>
    </w:rPr>
  </w:style>
  <w:style w:type="character" w:default="1" w:styleId="10">
    <w:name w:val="Default Paragraph Font"/>
    <w:qFormat/>
  </w:style>
  <w:style w:type="paragraph" w:styleId="15">
    <w:name w:val="Normal Indent"/>
    <w:qFormat/>
    <w:basedOn w:val="0"/>
    <w:next w:val="4"/>
    <w:rPr>
      <w:rFonts w:ascii="Times New Roman" w:hAnsi="Times New Roman"/>
      <w:szCs w:val="20"/>
    </w:rPr>
  </w:style>
  <w:style w:type="paragraph" w:styleId="16">
    <w:name w:val="caption"/>
    <w:qFormat/>
    <w:basedOn w:val="0"/>
    <w:next w:val="0"/>
    <w:pPr>
      <w:spacing w:line="360" w:lineRule="auto"/>
      <w:contextualSpacing/>
      <w:jc w:val="center"/>
    </w:pPr>
    <w:rPr>
      <w:rFonts w:ascii="Times New Roman" w:eastAsia="宋体" w:cs="Times New Roman" w:hAnsi="Times New Roman"/>
      <w:b/>
      <w:kern w:val="2"/>
      <w:sz w:val="24"/>
      <w:szCs w:val="22"/>
      <w:lang w:val="en-US" w:eastAsia="zh-CN" w:bidi="ar-SA"/>
    </w:rPr>
  </w:style>
  <w:style w:type="paragraph" w:styleId="17">
    <w:name w:val="annotation text"/>
    <w:qFormat/>
    <w:basedOn w:val="0"/>
    <w:pPr>
      <w:jc w:val="left"/>
    </w:pPr>
  </w:style>
  <w:style w:type="paragraph" w:styleId="18">
    <w:name w:val="Body Text"/>
    <w:qFormat/>
    <w:basedOn w:val="0"/>
    <w:rPr>
      <w:rFonts w:ascii="Times New Roman" w:eastAsia="宋体" w:cs="Times New Roman" w:hAnsi="Times New Roman"/>
      <w:sz w:val="32"/>
      <w:szCs w:val="20"/>
    </w:rPr>
  </w:style>
  <w:style w:type="paragraph" w:styleId="19">
    <w:name w:val="Body Text Indent"/>
    <w:qFormat/>
    <w:basedOn w:val="0"/>
    <w:next w:val="20"/>
    <w:rPr>
      <w:rFonts w:ascii="Times New Roman" w:hAnsi="Times New Roman"/>
    </w:rPr>
  </w:style>
  <w:style w:type="paragraph" w:styleId="20">
    <w:name w:val="header"/>
    <w:qFormat/>
    <w:basedOn w:val="0"/>
    <w:autoRedefine/>
    <w:next w:val="22"/>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customStyle="1" w:yozoId="4094" w:styleId="21">
    <w:name w:val="正文1"/>
    <w:qFormat/>
    <w:basedOn w:val="0"/>
    <w:autoRedefine/>
    <w:next w:val="0"/>
    <w:pPr>
      <w:widowControl w:val="0"/>
      <w:adjustRightInd w:val="0"/>
      <w:snapToGrid w:val="0"/>
      <w:spacing w:line="480" w:lineRule="exact"/>
      <w:ind w:firstLineChars="200" w:firstLine="200"/>
      <w:jc w:val="both"/>
    </w:pPr>
    <w:rPr>
      <w:kern w:val="2"/>
      <w:sz w:val="24"/>
    </w:rPr>
  </w:style>
  <w:style w:type="paragraph" w:customStyle="1" w:yozoId="4094" w:styleId="22">
    <w:name w:val="样式5"/>
    <w:qFormat/>
    <w:basedOn w:val="21"/>
    <w:autoRedefine/>
    <w:pPr>
      <w:widowControl w:val="0"/>
      <w:adjustRightInd w:val="0"/>
      <w:snapToGrid w:val="0"/>
      <w:spacing w:before="0" w:after="0" w:line="300" w:lineRule="auto"/>
      <w:ind w:firstLineChars="200" w:firstLine="200"/>
      <w:jc w:val="both"/>
    </w:pPr>
    <w:rPr>
      <w:rFonts w:eastAsia="楷体_GB2312"/>
      <w:kern w:val="2"/>
      <w:sz w:val="21"/>
      <w:shd w:val="clear" w:color="auto" w:fill="FFFFFF"/>
    </w:rPr>
  </w:style>
  <w:style w:type="paragraph" w:styleId="23">
    <w:name w:val="Plain Text"/>
    <w:qFormat/>
    <w:basedOn w:val="0"/>
    <w:rPr>
      <w:rFonts w:ascii="宋体" w:hAnsi="Courier New"/>
      <w:kern w:val="0"/>
      <w:sz w:val="20"/>
      <w:szCs w:val="20"/>
    </w:rPr>
  </w:style>
  <w:style w:type="paragraph" w:styleId="24">
    <w:name w:val="List Bullet 5"/>
    <w:qFormat/>
    <w:basedOn w:val="0"/>
    <w:pPr>
      <w:numPr>
        <w:ilvl w:val="0"/>
        <w:numId w:val="4"/>
      </w:numPr>
      <w:ind w:firstLineChars="0"/>
    </w:pPr>
  </w:style>
  <w:style w:type="paragraph" w:styleId="25">
    <w:name w:val="toc 8"/>
    <w:qFormat/>
    <w:basedOn w:val="0"/>
    <w:next w:val="0"/>
    <w:pPr>
      <w:ind w:leftChars="1400" w:left="1400"/>
    </w:pPr>
    <w:rPr>
      <w:szCs w:val="20"/>
    </w:rPr>
  </w:style>
  <w:style w:type="paragraph" w:styleId="26">
    <w:name w:val="footer"/>
    <w:qFormat/>
    <w:basedOn w:val="0"/>
    <w:autoRedefine/>
    <w:pPr>
      <w:tabs>
        <w:tab w:val="center" w:pos="4153"/>
        <w:tab w:val="right" w:pos="8306"/>
      </w:tabs>
      <w:snapToGrid w:val="0"/>
      <w:jc w:val="left"/>
    </w:pPr>
    <w:rPr>
      <w:sz w:val="18"/>
    </w:rPr>
  </w:style>
  <w:style w:type="paragraph" w:styleId="27">
    <w:name w:val="Normal (Web)"/>
    <w:qFormat/>
    <w:basedOn w:val="0"/>
    <w:next w:val="25"/>
    <w:pPr>
      <w:spacing w:before="0" w:beforeAutospacing="1" w:after="0" w:afterAutospacing="1"/>
      <w:ind w:left="0" w:right="0"/>
      <w:jc w:val="left"/>
    </w:pPr>
    <w:rPr>
      <w:kern w:val="0"/>
      <w:sz w:val="24"/>
      <w:lang w:val="en-US" w:eastAsia="zh-CN"/>
    </w:rPr>
  </w:style>
  <w:style w:type="paragraph" w:styleId="28">
    <w:name w:val="annotation subject"/>
    <w:qFormat/>
    <w:basedOn w:val="17"/>
    <w:next w:val="17"/>
    <w:rPr>
      <w:b/>
      <w:bCs/>
    </w:rPr>
  </w:style>
  <w:style w:type="paragraph" w:styleId="29">
    <w:name w:val="Body Text First Indent 2"/>
    <w:qFormat/>
    <w:basedOn w:val="19"/>
    <w:next w:val="0"/>
    <w:pPr>
      <w:ind w:firstLineChars="200" w:firstLine="200"/>
    </w:pPr>
    <w:rPr>
      <w:kern w:val="2"/>
      <w:sz w:val="21"/>
      <w:szCs w:val="24"/>
    </w:rPr>
  </w:style>
  <w:style w:type="character" w:styleId="30">
    <w:name w:val="Strong"/>
    <w:qFormat/>
    <w:basedOn w:val="10"/>
    <w:rPr>
      <w:b/>
    </w:rPr>
  </w:style>
  <w:style w:type="character" w:styleId="31">
    <w:name w:val="Emphasis"/>
    <w:qFormat/>
    <w:basedOn w:val="10"/>
    <w:rPr>
      <w:i/>
    </w:rPr>
  </w:style>
  <w:style w:type="character" w:styleId="32">
    <w:name w:val="Hyperlink"/>
    <w:qFormat/>
    <w:basedOn w:val="10"/>
    <w:rPr>
      <w:color w:val="0000FF"/>
      <w:u w:val="single"/>
    </w:rPr>
  </w:style>
  <w:style w:type="character" w:styleId="33">
    <w:name w:val="annotation reference"/>
    <w:qFormat/>
    <w:basedOn w:val="10"/>
    <w:rPr>
      <w:sz w:val="21"/>
      <w:szCs w:val="21"/>
    </w:rPr>
  </w:style>
  <w:style w:type="paragraph" w:customStyle="1" w:yozoId="4094" w:styleId="34">
    <w:name w:val="Char Char Char Char Char Char Char Char Char1 Char"/>
    <w:qFormat/>
    <w:basedOn w:val="0"/>
    <w:next w:val="35"/>
    <w:pPr>
      <w:widowControl w:val="0"/>
      <w:ind w:firstLineChars="200" w:firstLine="200"/>
      <w:jc w:val="both"/>
    </w:pPr>
    <w:rPr>
      <w:kern w:val="2"/>
    </w:rPr>
  </w:style>
  <w:style w:type="paragraph" w:customStyle="1" w:yozoId="4094" w:styleId="35">
    <w:name w:val="Body Text First Indent"/>
    <w:qFormat/>
    <w:next w:val="0"/>
    <w:pPr>
      <w:widowControl w:val="0"/>
      <w:spacing w:after="120"/>
      <w:ind w:firstLine="420"/>
      <w:jc w:val="both"/>
    </w:pPr>
    <w:rPr>
      <w:rFonts w:ascii="Calibri" w:eastAsia="宋体" w:cs="Times New Roman" w:hAnsi="Calibri"/>
      <w:sz w:val="21"/>
      <w:szCs w:val="22"/>
      <w:lang w:val="en-US" w:eastAsia="zh-CN" w:bidi="ar-SA"/>
    </w:rPr>
  </w:style>
  <w:style w:type="paragraph" w:customStyle="1" w:yozoId="4094" w:styleId="36">
    <w:name w:val="Body Text First Indent1"/>
    <w:qFormat/>
    <w:next w:val="0"/>
    <w:pPr>
      <w:widowControl w:val="0"/>
      <w:spacing w:after="120"/>
      <w:ind w:firstLine="420"/>
      <w:jc w:val="both"/>
    </w:pPr>
    <w:rPr>
      <w:rFonts w:ascii="Calibri" w:eastAsia="宋体" w:cs="Times New Roman" w:hAnsi="Calibri"/>
      <w:sz w:val="21"/>
      <w:szCs w:val="22"/>
      <w:lang w:val="en-US" w:eastAsia="zh-CN" w:bidi="ar-SA"/>
    </w:rPr>
  </w:style>
  <w:style w:type="paragraph" w:customStyle="1" w:yozoId="4094" w:styleId="37">
    <w:name w:val="标正文格式"/>
    <w:qFormat/>
    <w:autoRedefine/>
    <w:pPr>
      <w:spacing w:line="480" w:lineRule="exact"/>
      <w:ind w:firstLineChars="200" w:firstLine="200"/>
      <w:jc w:val="both"/>
    </w:pPr>
    <w:rPr>
      <w:rFonts w:ascii="Times New Roman" w:eastAsia="宋体" w:cs="Times New Roman" w:hAnsi="Times New Roman"/>
      <w:sz w:val="24"/>
      <w:szCs w:val="20"/>
      <w:lang w:val="en-US" w:eastAsia="zh-CN" w:bidi="ar-SA"/>
    </w:rPr>
  </w:style>
  <w:style w:type="paragraph" w:customStyle="1" w:yozoId="4094" w:styleId="38">
    <w:name w:val="Default"/>
    <w:qFormat/>
    <w:basedOn w:val="37"/>
    <w:autoRedefine/>
    <w:next w:val="0"/>
    <w:pPr>
      <w:widowControl w:val="0"/>
      <w:autoSpaceDE w:val="0"/>
      <w:autoSpaceDN w:val="0"/>
      <w:adjustRightInd w:val="0"/>
    </w:pPr>
    <w:rPr>
      <w:rFonts w:ascii="宋体" w:eastAsia="宋体" w:cs="宋体" w:hAnsi="Times New Roman"/>
      <w:color w:val="000000"/>
      <w:sz w:val="24"/>
      <w:szCs w:val="24"/>
      <w:lang w:val="en-US" w:eastAsia="zh-CN" w:bidi="ar-SA"/>
    </w:rPr>
  </w:style>
  <w:style w:type="paragraph" w:customStyle="1" w:yozoId="4094" w:styleId="39">
    <w:name w:val="表格内容"/>
    <w:qFormat/>
    <w:basedOn w:val="0"/>
    <w:autoRedefine/>
    <w:link w:val="39Char"/>
    <w:pPr>
      <w:overflowPunct w:val="0"/>
      <w:adjustRightInd w:val="0"/>
      <w:snapToGrid w:val="0"/>
      <w:spacing w:line="240" w:lineRule="auto"/>
      <w:ind w:firstLineChars="0" w:firstLine="0"/>
      <w:jc w:val="center"/>
      <w:textAlignment w:val="baseline"/>
    </w:pPr>
    <w:rPr>
      <w:kern w:val="0"/>
      <w:sz w:val="21"/>
    </w:rPr>
  </w:style>
  <w:style w:type="character" w:customStyle="1" w:styleId="39Char">
    <w:name w:val="表格内容 Char"/>
    <w:basedOn w:val="10"/>
    <w:link w:val="39"/>
    <w:autoRedefine/>
    <w:rPr>
      <w:rFonts w:ascii="Times New Roman" w:eastAsia="宋体" w:cs="Times New Roman" w:hAnsi="Times New Roman"/>
      <w:kern w:val="0"/>
      <w:sz w:val="21"/>
      <w:szCs w:val="24"/>
      <w:lang w:val="en-US" w:eastAsia="zh-CN" w:bidi="ar-SA"/>
    </w:rPr>
  </w:style>
  <w:style w:type="paragraph" w:customStyle="1" w:yozoId="4094" w:styleId="40">
    <w:name w:val="表格名称"/>
    <w:qFormat/>
    <w:basedOn w:val="0"/>
    <w:autoRedefine/>
    <w:pPr>
      <w:spacing w:line="240" w:lineRule="auto"/>
      <w:ind w:firstLineChars="0" w:firstLine="0"/>
      <w:jc w:val="center"/>
    </w:pPr>
    <w:rPr>
      <w:b/>
      <w:szCs w:val="21"/>
    </w:rPr>
  </w:style>
  <w:style w:type="paragraph" w:customStyle="1" w:yozoId="4094" w:styleId="41">
    <w:name w:val="表格内容格式"/>
    <w:qFormat/>
    <w:basedOn w:val="0"/>
    <w:pPr>
      <w:tabs>
        <w:tab w:val="left" w:pos="1755"/>
      </w:tabs>
      <w:contextualSpacing/>
      <w:jc w:val="center"/>
      <w:textAlignment w:val="baseline"/>
    </w:pPr>
    <w:rPr>
      <w:snapToGrid w:val="0"/>
      <w:kern w:val="0"/>
    </w:rPr>
  </w:style>
  <w:style w:type="paragraph" w:customStyle="1" w:yozoId="4094" w:styleId="42">
    <w:name w:val="表内"/>
    <w:qFormat/>
    <w:autoRedefine/>
    <w:pPr>
      <w:jc w:val="center"/>
    </w:pPr>
    <w:rPr>
      <w:rFonts w:ascii="Calibri" w:eastAsia="仿宋_GB2312" w:cs="Times New Roman" w:hAnsi="Calibri"/>
      <w:kern w:val="2"/>
      <w:sz w:val="21"/>
      <w:szCs w:val="24"/>
      <w:lang w:val="en-US" w:eastAsia="zh-CN" w:bidi="ar-SA"/>
    </w:rPr>
  </w:style>
  <w:style w:type="paragraph" w:customStyle="1" w:yozoId="4094" w:styleId="43">
    <w:name w:val="正文 首行缩进:  2 字符"/>
    <w:qFormat/>
    <w:basedOn w:val="0"/>
    <w:pPr>
      <w:spacing w:line="520" w:lineRule="exact"/>
      <w:ind w:firstLineChars="200" w:firstLine="200"/>
    </w:pPr>
    <w:rPr>
      <w:kern w:val="44"/>
      <w:sz w:val="24"/>
    </w:rPr>
  </w:style>
  <w:style w:type="paragraph" w:customStyle="1" w:yozoId="4094" w:styleId="44">
    <w:name w:val="默认段落"/>
    <w:qFormat/>
    <w:autoRedefine/>
    <w:pPr>
      <w:widowControl w:val="0"/>
      <w:jc w:val="both"/>
    </w:pPr>
    <w:rPr>
      <w:rFonts w:ascii="Calibri" w:eastAsia="宋体" w:cs="Times New Roman" w:hAnsi="Calibri"/>
      <w:kern w:val="2"/>
      <w:sz w:val="21"/>
      <w:szCs w:val="20"/>
      <w:lang w:val="en-US" w:eastAsia="zh-CN" w:bidi="ar-SA"/>
    </w:rPr>
  </w:style>
  <w:style w:type="paragraph" w:customStyle="1" w:yozoId="4094" w:styleId="45">
    <w:name w:val="Table Paragraph"/>
    <w:qFormat/>
    <w:basedOn w:val="0"/>
    <w:rPr>
      <w:rFonts w:ascii="宋体" w:eastAsia="宋体" w:cs="宋体" w:hAnsi="宋体"/>
    </w:rPr>
  </w:style>
  <w:style w:type="paragraph" w:customStyle="1" w:yozoId="4094" w:styleId="46">
    <w:name w:val="Table Text"/>
    <w:qFormat/>
    <w:basedOn w:val="0"/>
    <w:rPr>
      <w:rFonts w:ascii="宋体" w:eastAsia="宋体" w:cs="宋体" w:hAnsi="宋体"/>
      <w:sz w:val="20"/>
      <w:szCs w:val="20"/>
      <w:lang w:val="en-US" w:bidi="ar-SA"/>
    </w:rPr>
  </w:style>
  <w:style w:type="paragraph" w:customStyle="1" w:yozoId="4094" w:styleId="47">
    <w:name w:val="表格"/>
    <w:qFormat/>
    <w:basedOn w:val="21"/>
    <w:autoRedefine/>
    <w:next w:val="0"/>
    <w:pPr>
      <w:adjustRightInd w:val="0"/>
      <w:snapToGrid w:val="0"/>
      <w:spacing w:beforeLines="10" w:before="10" w:afterLines="10" w:after="10" w:line="259" w:lineRule="auto"/>
      <w:jc w:val="center"/>
    </w:pPr>
    <w:rPr>
      <w:rFonts w:ascii="宋体"/>
      <w:kern w:val="0"/>
      <w:szCs w:val="20"/>
    </w:rPr>
  </w:style>
  <w:style w:type="paragraph" w:customStyle="1" w:yozoId="4094" w:styleId="48">
    <w:name w:val="样式 正文文本 + 首行缩进:  2 字符"/>
    <w:qFormat/>
    <w:basedOn w:val="18"/>
    <w:pPr>
      <w:widowControl w:val="0"/>
      <w:snapToGrid/>
      <w:spacing w:before="0" w:after="0" w:line="500" w:lineRule="atLeast"/>
      <w:ind w:right="0" w:firstLineChars="200" w:firstLine="200"/>
    </w:pPr>
    <w:rPr>
      <w:rFonts w:cs="宋体"/>
      <w:sz w:val="28"/>
    </w:rPr>
  </w:style>
  <w:style w:type="paragraph" w:customStyle="1" w:yozoId="4094" w:styleId="49">
    <w:name w:val="NormalIndent"/>
    <w:qFormat/>
    <w:basedOn w:val="0"/>
    <w:pPr>
      <w:snapToGrid w:val="0"/>
      <w:spacing w:after="156" w:line="400" w:lineRule="exact"/>
      <w:ind w:firstLineChars="200" w:firstLine="200"/>
      <w:textAlignment w:val="baseline"/>
    </w:pPr>
  </w:style>
  <w:style w:type="paragraph" w:customStyle="1" w:yozoId="4094" w:styleId="50">
    <w:name w:val="表格中文字"/>
    <w:qFormat/>
    <w:basedOn w:val="0"/>
    <w:pPr>
      <w:adjustRightInd w:val="0"/>
      <w:snapToGrid w:val="0"/>
      <w:jc w:val="center"/>
    </w:pPr>
    <w:rPr>
      <w:rFonts w:cs="宋体"/>
      <w:szCs w:val="21"/>
    </w:rPr>
  </w:style>
  <w:style w:type="paragraph" w:customStyle="1" w:yozoId="4094" w:styleId="51">
    <w:name w:val="样式 样式 正文@ + 首行缩进:  2 字符 字距调整小四 紧缩量  0.2 磅 + 首行缩进:  2 字符"/>
    <w:qFormat/>
    <w:basedOn w:val="0"/>
    <w:autoRedefine/>
    <w:pPr>
      <w:widowControl w:val="0"/>
      <w:spacing w:line="360" w:lineRule="auto"/>
      <w:ind w:firstLineChars="200" w:firstLine="200"/>
      <w:jc w:val="both"/>
    </w:pPr>
    <w:rPr>
      <w:rFonts w:ascii="宋体" w:hAnsi="宋体"/>
      <w:kern w:val="24"/>
      <w:sz w:val="24"/>
      <w:szCs w:val="24"/>
    </w:rPr>
  </w:style>
  <w:style w:type="paragraph" w:customStyle="1" w:yozoId="4094" w:styleId="52">
    <w:name w:val="样式 样式 样式 正文@ + 首行缩进:  2 字符 字距调整小四 紧缩量  0.2 磅 + 首行缩进:  2 字符 + 首行缩..."/>
    <w:qFormat/>
    <w:basedOn w:val="51"/>
    <w:autoRedefine/>
    <w:pPr>
      <w:widowControl w:val="0"/>
      <w:spacing w:line="360" w:lineRule="auto"/>
      <w:ind w:firstLineChars="200" w:firstLine="200"/>
      <w:jc w:val="both"/>
    </w:pPr>
    <w:rPr>
      <w:rFonts w:ascii="宋体" w:cs="宋体" w:hAnsi="宋体"/>
      <w:kern w:val="24"/>
      <w:sz w:val="24"/>
    </w:rPr>
  </w:style>
  <w:style w:type="paragraph" w:customStyle="1" w:yozoId="4094" w:styleId="53">
    <w:name w:val="样式 样式 样式 样式 正文@ + 首行缩进:  2 字符 字距调整小四 紧缩量  0.2 磅 + 首行缩进:  2 字符 + ...1"/>
    <w:qFormat/>
    <w:basedOn w:val="52"/>
    <w:autoRedefine/>
    <w:pPr>
      <w:spacing w:line="312" w:lineRule="auto"/>
    </w:pPr>
    <w:rPr>
      <w:kern w:val="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1.png"/><Relationship Id="rId5" Type="http://schemas.openxmlformats.org/officeDocument/2006/relationships/image" Target="media/3.png"/><Relationship Id="rId6" Type="http://schemas.openxmlformats.org/officeDocument/2006/relationships/image" Target="media/5.png"/><Relationship Id="rId7" Type="http://schemas.openxmlformats.org/officeDocument/2006/relationships/image" Target="media/7.png"/><Relationship Id="rId8" Type="http://schemas.openxmlformats.org/officeDocument/2006/relationships/image" Target="media/9.png"/><Relationship Id="rId9" Type="http://schemas.openxmlformats.org/officeDocument/2006/relationships/image" Target="media/11.png"/><Relationship Id="rId10" Type="http://schemas.openxmlformats.org/officeDocument/2006/relationships/image" Target="media/13.png"/><Relationship Id="rId11" Type="http://schemas.openxmlformats.org/officeDocument/2006/relationships/image" Target="media/15.png"/><Relationship Id="rId12" Type="http://schemas.openxmlformats.org/officeDocument/2006/relationships/image" Target="media/17.png"/><Relationship Id="rId13" Type="http://schemas.openxmlformats.org/officeDocument/2006/relationships/image" Target="media/19.png"/><Relationship Id="rId14" Type="http://schemas.openxmlformats.org/officeDocument/2006/relationships/image" Target="media/21.png"/><Relationship Id="rId15" Type="http://schemas.openxmlformats.org/officeDocument/2006/relationships/footer" Target="footer3.xml"/><Relationship Id="rId16" Type="http://schemas.openxmlformats.org/officeDocument/2006/relationships/image" Target="media/55.png"/><Relationship Id="rId17" Type="http://schemas.openxmlformats.org/officeDocument/2006/relationships/image" Target="media/251.png"/><Relationship Id="rId18" Type="http://schemas.openxmlformats.org/officeDocument/2006/relationships/image" Target="media/415.png"/><Relationship Id="rId19" Type="http://schemas.openxmlformats.org/officeDocument/2006/relationships/image" Target="media/474.png"/><Relationship Id="rId20" Type="http://schemas.openxmlformats.org/officeDocument/2006/relationships/image" Target="media/476.png"/><Relationship Id="rId21" Type="http://schemas.openxmlformats.org/officeDocument/2006/relationships/image" Target="media/478.png"/><Relationship Id="rId22" Type="http://schemas.openxmlformats.org/officeDocument/2006/relationships/image" Target="media/480.png"/><Relationship Id="rId23" Type="http://schemas.openxmlformats.org/officeDocument/2006/relationships/image" Target="media/482.png"/><Relationship Id="rId24" Type="http://schemas.openxmlformats.org/officeDocument/2006/relationships/image" Target="media/484.png"/><Relationship Id="rId25" Type="http://schemas.openxmlformats.org/officeDocument/2006/relationships/image" Target="media/486.png"/><Relationship Id="rId26" Type="http://schemas.openxmlformats.org/officeDocument/2006/relationships/image" Target="media/488.png"/><Relationship Id="rId27" Type="http://schemas.openxmlformats.org/officeDocument/2006/relationships/image" Target="media/490.png"/><Relationship Id="rId28" Type="http://schemas.openxmlformats.org/officeDocument/2006/relationships/image" Target="media/492.png"/><Relationship Id="rId29" Type="http://schemas.openxmlformats.org/officeDocument/2006/relationships/image" Target="media/494.png"/><Relationship Id="rId30" Type="http://schemas.openxmlformats.org/officeDocument/2006/relationships/image" Target="media/497.wmf"/><Relationship Id="rId31" Type="http://schemas.openxmlformats.org/officeDocument/2006/relationships/oleObject" Target="embeddings/oleObject1.bin"/><Relationship Id="rId32" Type="http://schemas.openxmlformats.org/officeDocument/2006/relationships/image" Target="media/498.png"/><Relationship Id="rId33" Type="http://schemas.openxmlformats.org/officeDocument/2006/relationships/image" Target="media/494.png"/><Relationship Id="rId34" Type="http://schemas.openxmlformats.org/officeDocument/2006/relationships/image" Target="media/501.png"/><Relationship Id="rId35" Type="http://schemas.openxmlformats.org/officeDocument/2006/relationships/image" Target="media/503.png"/><Relationship Id="rId36" Type="http://schemas.openxmlformats.org/officeDocument/2006/relationships/image" Target="media/494.png"/><Relationship Id="rId37" Type="http://schemas.openxmlformats.org/officeDocument/2006/relationships/image" Target="media/506.png"/><Relationship Id="rId38" Type="http://schemas.openxmlformats.org/officeDocument/2006/relationships/image" Target="media/508.png"/><Relationship Id="rId39" Type="http://schemas.openxmlformats.org/officeDocument/2006/relationships/image" Target="media/510.png"/><Relationship Id="rId40" Type="http://schemas.openxmlformats.org/officeDocument/2006/relationships/image" Target="media/494.png"/><Relationship Id="rId41" Type="http://schemas.openxmlformats.org/officeDocument/2006/relationships/image" Target="media/513.png"/><Relationship Id="rId42" Type="http://schemas.openxmlformats.org/officeDocument/2006/relationships/image" Target="media/494.png"/><Relationship Id="rId43" Type="http://schemas.openxmlformats.org/officeDocument/2006/relationships/image" Target="media/516.png"/><Relationship Id="rId44" Type="http://schemas.openxmlformats.org/officeDocument/2006/relationships/image" Target="media/518.png"/><Relationship Id="rId45" Type="http://schemas.openxmlformats.org/officeDocument/2006/relationships/image" Target="media/520.png"/><Relationship Id="rId46" Type="http://schemas.openxmlformats.org/officeDocument/2006/relationships/image" Target="media/523.wmf"/><Relationship Id="rId47" Type="http://schemas.openxmlformats.org/officeDocument/2006/relationships/oleObject" Target="embeddings/oleObject2.bin"/><Relationship Id="rId48" Type="http://schemas.openxmlformats.org/officeDocument/2006/relationships/image" Target="media/525.wmf"/><Relationship Id="rId49" Type="http://schemas.openxmlformats.org/officeDocument/2006/relationships/oleObject" Target="embeddings/oleObject3.bin"/><Relationship Id="rId50" Type="http://schemas.openxmlformats.org/officeDocument/2006/relationships/image" Target="media/526.png"/><Relationship Id="rId51" Type="http://schemas.openxmlformats.org/officeDocument/2006/relationships/image" Target="media/528.png"/><Relationship Id="rId52" Type="http://schemas.openxmlformats.org/officeDocument/2006/relationships/image" Target="media/530.png"/><Relationship Id="rId53" Type="http://schemas.openxmlformats.org/officeDocument/2006/relationships/image" Target="media/532.png"/><Relationship Id="rId54" Type="http://schemas.openxmlformats.org/officeDocument/2006/relationships/image" Target="media/534.png"/><Relationship Id="rId55" Type="http://schemas.openxmlformats.org/officeDocument/2006/relationships/image" Target="media/536.png"/><Relationship Id="rId56" Type="http://schemas.openxmlformats.org/officeDocument/2006/relationships/image" Target="media/538.png"/><Relationship Id="rId57" Type="http://schemas.openxmlformats.org/officeDocument/2006/relationships/image" Target="media/541.jpeg"/><Relationship Id="rId58" Type="http://schemas.openxmlformats.org/officeDocument/2006/relationships/image" Target="media/543.jpeg"/><Relationship Id="rId59" Type="http://schemas.openxmlformats.org/officeDocument/2006/relationships/image" Target="media/545.jpeg"/><Relationship Id="rId60" Type="http://schemas.openxmlformats.org/officeDocument/2006/relationships/image" Target="media/547.jpeg"/><Relationship Id="rId61" Type="http://schemas.openxmlformats.org/officeDocument/2006/relationships/image" Target="media/541.jpeg"/><Relationship Id="rId62" Type="http://schemas.openxmlformats.org/officeDocument/2006/relationships/image" Target="media/543.jpeg"/><Relationship Id="rId63" Type="http://schemas.openxmlformats.org/officeDocument/2006/relationships/image" Target="media/545.jpeg"/><Relationship Id="rId64" Type="http://schemas.openxmlformats.org/officeDocument/2006/relationships/image" Target="media/547.jpeg"/><Relationship Id="rId65" Type="http://schemas.openxmlformats.org/officeDocument/2006/relationships/footer" Target="footer4.xml"/><Relationship Id="rId66" Type="http://schemas.openxmlformats.org/officeDocument/2006/relationships/image" Target="media/554.png"/><Relationship Id="rId67" Type="http://schemas.openxmlformats.org/officeDocument/2006/relationships/image" Target="media/556.png"/><Relationship Id="rId68" Type="http://schemas.openxmlformats.org/officeDocument/2006/relationships/image" Target="media/568.png"/><Relationship Id="rId69" Type="http://schemas.openxmlformats.org/officeDocument/2006/relationships/image" Target="media/570.png"/><Relationship Id="rId70" Type="http://schemas.openxmlformats.org/officeDocument/2006/relationships/image" Target="media/572.png"/><Relationship Id="rId71" Type="http://schemas.openxmlformats.org/officeDocument/2006/relationships/image" Target="media/574.png"/><Relationship Id="rId72" Type="http://schemas.openxmlformats.org/officeDocument/2006/relationships/image" Target="media/579.png"/><Relationship Id="rId73" Type="http://schemas.openxmlformats.org/officeDocument/2006/relationships/image" Target="media/581.png"/><Relationship Id="rId74" Type="http://schemas.openxmlformats.org/officeDocument/2006/relationships/image" Target="media/592.png"/><Relationship Id="rId75" Type="http://schemas.openxmlformats.org/officeDocument/2006/relationships/image" Target="media/597.png"/><Relationship Id="rId76" Type="http://schemas.openxmlformats.org/officeDocument/2006/relationships/image" Target="media/599.png"/><Relationship Id="rId77" Type="http://schemas.openxmlformats.org/officeDocument/2006/relationships/image" Target="media/605.png"/><Relationship Id="rId78" Type="http://schemas.openxmlformats.org/officeDocument/2006/relationships/image" Target="media/611.png"/><Relationship Id="rId79" Type="http://schemas.openxmlformats.org/officeDocument/2006/relationships/image" Target="media/617.png"/><Relationship Id="rId80" Type="http://schemas.openxmlformats.org/officeDocument/2006/relationships/image" Target="media/623.png"/><Relationship Id="rId81" Type="http://schemas.openxmlformats.org/officeDocument/2006/relationships/image" Target="media/628.jpeg"/><Relationship Id="rId82" Type="http://schemas.openxmlformats.org/officeDocument/2006/relationships/image" Target="media/632.jpeg"/><Relationship Id="rId83" Type="http://schemas.openxmlformats.org/officeDocument/2006/relationships/image" Target="media/634.png"/><Relationship Id="rId84" Type="http://schemas.openxmlformats.org/officeDocument/2006/relationships/image" Target="media/636.png"/><Relationship Id="rId85" Type="http://schemas.openxmlformats.org/officeDocument/2006/relationships/image" Target="media/638.png"/><Relationship Id="rId86" Type="http://schemas.openxmlformats.org/officeDocument/2006/relationships/image" Target="media/640.png"/><Relationship Id="rId87" Type="http://schemas.openxmlformats.org/officeDocument/2006/relationships/image" Target="media/642.png"/><Relationship Id="rId88" Type="http://schemas.openxmlformats.org/officeDocument/2006/relationships/image" Target="media/644.jpeg"/><Relationship Id="rId89" Type="http://schemas.openxmlformats.org/officeDocument/2006/relationships/image" Target="media/646.jpeg"/><Relationship Id="rId90" Type="http://schemas.openxmlformats.org/officeDocument/2006/relationships/image" Target="media/648.jpeg"/><Relationship Id="rId91" Type="http://schemas.openxmlformats.org/officeDocument/2006/relationships/image" Target="media/650.png"/><Relationship Id="rId92" Type="http://schemas.openxmlformats.org/officeDocument/2006/relationships/image" Target="media/652.png"/><Relationship Id="rId93" Type="http://schemas.openxmlformats.org/officeDocument/2006/relationships/image" Target="media/654.png"/><Relationship Id="rId94" Type="http://schemas.openxmlformats.org/officeDocument/2006/relationships/image" Target="media/656.jpeg"/><Relationship Id="rId95" Type="http://schemas.openxmlformats.org/officeDocument/2006/relationships/image" Target="media/658.png"/><Relationship Id="rId96" Type="http://schemas.openxmlformats.org/officeDocument/2006/relationships/image" Target="media/660.png"/><Relationship Id="rId97" Type="http://schemas.openxmlformats.org/officeDocument/2006/relationships/image" Target="media/662.png"/><Relationship Id="rId98" Type="http://schemas.openxmlformats.org/officeDocument/2006/relationships/image" Target="media/664.png"/><Relationship Id="rId99" Type="http://schemas.openxmlformats.org/officeDocument/2006/relationships/image" Target="media/666.png"/><Relationship Id="rId100" Type="http://schemas.openxmlformats.org/officeDocument/2006/relationships/image" Target="media/668.png"/><Relationship Id="rId101" Type="http://schemas.openxmlformats.org/officeDocument/2006/relationships/image" Target="media/670.png"/><Relationship Id="rId102" Type="http://schemas.openxmlformats.org/officeDocument/2006/relationships/image" Target="media/672.png"/><Relationship Id="rId103" Type="http://schemas.openxmlformats.org/officeDocument/2006/relationships/image" Target="media/674.png"/><Relationship Id="rId104" Type="http://schemas.openxmlformats.org/officeDocument/2006/relationships/image" Target="media/676.png"/><Relationship Id="rId105" Type="http://schemas.openxmlformats.org/officeDocument/2006/relationships/image" Target="media/678.png"/><Relationship Id="rId106" Type="http://schemas.openxmlformats.org/officeDocument/2006/relationships/image" Target="media/680.png"/><Relationship Id="rId107" Type="http://schemas.openxmlformats.org/officeDocument/2006/relationships/image" Target="media/682.png"/><Relationship Id="rId108" Type="http://schemas.openxmlformats.org/officeDocument/2006/relationships/image" Target="media/684.png"/><Relationship Id="rId109" Type="http://schemas.openxmlformats.org/officeDocument/2006/relationships/image" Target="media/686.png"/><Relationship Id="rId110" Type="http://schemas.openxmlformats.org/officeDocument/2006/relationships/image" Target="media/688.png"/><Relationship Id="rId111" Type="http://schemas.openxmlformats.org/officeDocument/2006/relationships/image" Target="media/690.png"/><Relationship Id="rId112" Type="http://schemas.openxmlformats.org/officeDocument/2006/relationships/image" Target="media/692.png"/><Relationship Id="rId113" Type="http://schemas.openxmlformats.org/officeDocument/2006/relationships/image" Target="media/694.png"/><Relationship Id="rId114" Type="http://schemas.openxmlformats.org/officeDocument/2006/relationships/image" Target="media/696.png"/><Relationship Id="rId115" Type="http://schemas.openxmlformats.org/officeDocument/2006/relationships/image" Target="media/698.png"/><Relationship Id="rId116" Type="http://schemas.openxmlformats.org/officeDocument/2006/relationships/image" Target="media/700.png"/><Relationship Id="rId117" Type="http://schemas.openxmlformats.org/officeDocument/2006/relationships/image" Target="media/702.png"/><Relationship Id="rId118" Type="http://schemas.openxmlformats.org/officeDocument/2006/relationships/image" Target="media/704.png"/><Relationship Id="rId119" Type="http://schemas.openxmlformats.org/officeDocument/2006/relationships/image" Target="media/706.png"/><Relationship Id="rId120" Type="http://schemas.openxmlformats.org/officeDocument/2006/relationships/image" Target="media/708.png"/><Relationship Id="rId121" Type="http://schemas.openxmlformats.org/officeDocument/2006/relationships/image" Target="media/710.png"/><Relationship Id="rId122" Type="http://schemas.openxmlformats.org/officeDocument/2006/relationships/image" Target="media/712.png"/><Relationship Id="rId123" Type="http://schemas.openxmlformats.org/officeDocument/2006/relationships/image" Target="media/714.png"/><Relationship Id="rId124" Type="http://schemas.openxmlformats.org/officeDocument/2006/relationships/image" Target="media/716.png"/><Relationship Id="rId125" Type="http://schemas.openxmlformats.org/officeDocument/2006/relationships/image" Target="media/718.png"/><Relationship Id="rId126" Type="http://schemas.openxmlformats.org/officeDocument/2006/relationships/image" Target="media/720.png"/><Relationship Id="rId127" Type="http://schemas.openxmlformats.org/officeDocument/2006/relationships/image" Target="media/722.png"/><Relationship Id="rId128" Type="http://schemas.openxmlformats.org/officeDocument/2006/relationships/image" Target="media/724.png"/><Relationship Id="rId129" Type="http://schemas.openxmlformats.org/officeDocument/2006/relationships/image" Target="media/726.png"/><Relationship Id="rId130" Type="http://schemas.openxmlformats.org/officeDocument/2006/relationships/image" Target="media/728.png"/><Relationship Id="rId131" Type="http://schemas.openxmlformats.org/officeDocument/2006/relationships/image" Target="media/730.png"/><Relationship Id="rId132" Type="http://schemas.openxmlformats.org/officeDocument/2006/relationships/image" Target="media/732.png"/><Relationship Id="rId133" Type="http://schemas.openxmlformats.org/officeDocument/2006/relationships/image" Target="media/734.png"/><Relationship Id="rId134" Type="http://schemas.openxmlformats.org/officeDocument/2006/relationships/image" Target="media/736.png"/><Relationship Id="rId135" Type="http://schemas.openxmlformats.org/officeDocument/2006/relationships/image" Target="media/738.png"/><Relationship Id="rId136" Type="http://schemas.openxmlformats.org/officeDocument/2006/relationships/image" Target="media/740.png"/><Relationship Id="rId137" Type="http://schemas.openxmlformats.org/officeDocument/2006/relationships/image" Target="media/742.png"/><Relationship Id="rId138" Type="http://schemas.openxmlformats.org/officeDocument/2006/relationships/image" Target="media/744.png"/><Relationship Id="rId139" Type="http://schemas.openxmlformats.org/officeDocument/2006/relationships/image" Target="media/746.png"/><Relationship Id="rId140" Type="http://schemas.openxmlformats.org/officeDocument/2006/relationships/image" Target="media/748.png"/><Relationship Id="rId141" Type="http://schemas.openxmlformats.org/officeDocument/2006/relationships/image" Target="media/750.png"/><Relationship Id="rId142" Type="http://schemas.openxmlformats.org/officeDocument/2006/relationships/image" Target="media/752.png"/><Relationship Id="rId143" Type="http://schemas.openxmlformats.org/officeDocument/2006/relationships/image" Target="media/754.png"/><Relationship Id="rId144" Type="http://schemas.openxmlformats.org/officeDocument/2006/relationships/image" Target="media/756.png"/><Relationship Id="rId145" Type="http://schemas.openxmlformats.org/officeDocument/2006/relationships/image" Target="media/758.png"/><Relationship Id="rId146" Type="http://schemas.openxmlformats.org/officeDocument/2006/relationships/image" Target="media/760.png"/><Relationship Id="rId147" Type="http://schemas.openxmlformats.org/officeDocument/2006/relationships/image" Target="media/762.png"/><Relationship Id="rId148" Type="http://schemas.openxmlformats.org/officeDocument/2006/relationships/image" Target="media/764.png"/><Relationship Id="rId149" Type="http://schemas.openxmlformats.org/officeDocument/2006/relationships/image" Target="media/766.png"/><Relationship Id="rId150" Type="http://schemas.openxmlformats.org/officeDocument/2006/relationships/image" Target="media/768.png"/><Relationship Id="rId151" Type="http://schemas.openxmlformats.org/officeDocument/2006/relationships/image" Target="media/770.png"/><Relationship Id="rId152" Type="http://schemas.openxmlformats.org/officeDocument/2006/relationships/image" Target="media/772.png"/><Relationship Id="rId153" Type="http://schemas.openxmlformats.org/officeDocument/2006/relationships/image" Target="media/774.png"/><Relationship Id="rId154" Type="http://schemas.openxmlformats.org/officeDocument/2006/relationships/image" Target="media/776.png"/><Relationship Id="rId155" Type="http://schemas.openxmlformats.org/officeDocument/2006/relationships/image" Target="media/778.png"/><Relationship Id="rId156" Type="http://schemas.openxmlformats.org/officeDocument/2006/relationships/image" Target="media/780.png"/><Relationship Id="rId157" Type="http://schemas.openxmlformats.org/officeDocument/2006/relationships/image" Target="media/782.png"/><Relationship Id="rId158" Type="http://schemas.openxmlformats.org/officeDocument/2006/relationships/image" Target="media/784.png"/><Relationship Id="rId159" Type="http://schemas.openxmlformats.org/officeDocument/2006/relationships/image" Target="media/786.png"/><Relationship Id="rId160" Type="http://schemas.openxmlformats.org/officeDocument/2006/relationships/image" Target="media/788.png"/><Relationship Id="rId161" Type="http://schemas.openxmlformats.org/officeDocument/2006/relationships/image" Target="media/790.png"/><Relationship Id="rId162" Type="http://schemas.openxmlformats.org/officeDocument/2006/relationships/image" Target="media/792.png"/><Relationship Id="rId163" Type="http://schemas.openxmlformats.org/officeDocument/2006/relationships/image" Target="media/794.png"/><Relationship Id="rId164" Type="http://schemas.openxmlformats.org/officeDocument/2006/relationships/image" Target="media/796.png"/><Relationship Id="rId165" Type="http://schemas.openxmlformats.org/officeDocument/2006/relationships/image" Target="media/798.png"/><Relationship Id="rId166" Type="http://schemas.openxmlformats.org/officeDocument/2006/relationships/image" Target="media/800.png"/><Relationship Id="rId167" Type="http://schemas.openxmlformats.org/officeDocument/2006/relationships/image" Target="media/802.png"/><Relationship Id="rId168" Type="http://schemas.openxmlformats.org/officeDocument/2006/relationships/image" Target="media/804.png"/><Relationship Id="rId169" Type="http://schemas.openxmlformats.org/officeDocument/2006/relationships/image" Target="media/806.png"/><Relationship Id="rId170" Type="http://schemas.openxmlformats.org/officeDocument/2006/relationships/image" Target="media/808.png"/><Relationship Id="rId171" Type="http://schemas.openxmlformats.org/officeDocument/2006/relationships/image" Target="media/810.png"/><Relationship Id="rId172" Type="http://schemas.openxmlformats.org/officeDocument/2006/relationships/image" Target="media/812.png"/><Relationship Id="rId173" Type="http://schemas.openxmlformats.org/officeDocument/2006/relationships/image" Target="media/814.png"/><Relationship Id="rId174" Type="http://schemas.openxmlformats.org/officeDocument/2006/relationships/image" Target="media/816.png"/><Relationship Id="rId175" Type="http://schemas.openxmlformats.org/officeDocument/2006/relationships/image" Target="media/818.png"/><Relationship Id="rId176" Type="http://schemas.openxmlformats.org/officeDocument/2006/relationships/image" Target="media/820.png"/><Relationship Id="rId177" Type="http://schemas.openxmlformats.org/officeDocument/2006/relationships/image" Target="media/822.png"/><Relationship Id="rId178" Type="http://schemas.openxmlformats.org/officeDocument/2006/relationships/image" Target="media/824.png"/><Relationship Id="rId179" Type="http://schemas.openxmlformats.org/officeDocument/2006/relationships/image" Target="media/826.png"/><Relationship Id="rId180" Type="http://schemas.openxmlformats.org/officeDocument/2006/relationships/image" Target="media/828.png"/><Relationship Id="rId181" Type="http://schemas.openxmlformats.org/officeDocument/2006/relationships/image" Target="media/830.png"/><Relationship Id="rId182" Type="http://schemas.openxmlformats.org/officeDocument/2006/relationships/image" Target="media/832.png"/><Relationship Id="rId183" Type="http://schemas.openxmlformats.org/officeDocument/2006/relationships/image" Target="media/834.png"/><Relationship Id="rId184" Type="http://schemas.openxmlformats.org/officeDocument/2006/relationships/image" Target="media/836.png"/><Relationship Id="rId185" Type="http://schemas.openxmlformats.org/officeDocument/2006/relationships/image" Target="media/838.png"/><Relationship Id="rId186" Type="http://schemas.openxmlformats.org/officeDocument/2006/relationships/image" Target="media/840.png"/><Relationship Id="rId187" Type="http://schemas.openxmlformats.org/officeDocument/2006/relationships/image" Target="media/842.png"/><Relationship Id="rId188" Type="http://schemas.openxmlformats.org/officeDocument/2006/relationships/image" Target="media/844.png"/><Relationship Id="rId189" Type="http://schemas.openxmlformats.org/officeDocument/2006/relationships/image" Target="media/846.png"/><Relationship Id="rId190" Type="http://schemas.openxmlformats.org/officeDocument/2006/relationships/image" Target="media/848.png"/><Relationship Id="rId191" Type="http://schemas.openxmlformats.org/officeDocument/2006/relationships/image" Target="media/850.png"/><Relationship Id="rId192" Type="http://schemas.openxmlformats.org/officeDocument/2006/relationships/image" Target="media/852.png"/><Relationship Id="rId193" Type="http://schemas.openxmlformats.org/officeDocument/2006/relationships/image" Target="media/854.png"/><Relationship Id="rId194" Type="http://schemas.openxmlformats.org/officeDocument/2006/relationships/image" Target="media/856.png"/><Relationship Id="rId195" Type="http://schemas.openxmlformats.org/officeDocument/2006/relationships/styles" Target="styles.xml"/><Relationship Id="rId196" Type="http://schemas.openxmlformats.org/officeDocument/2006/relationships/numbering" Target="numbering.xml"/><Relationship Id="rId197" Type="http://schemas.openxmlformats.org/officeDocument/2006/relationships/fontTable" Target="fontTable.xml"/><Relationship Id="rId198" Type="http://schemas.openxmlformats.org/officeDocument/2006/relationships/customXml" Target="../customXml/item1.xml"/><Relationship Id="rId199"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D4AE93F9-2A50-4FB0-BDCB-005515CC9C9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35</TotalTime>
  <Application>WPS_Yozo_Office9.0.5847.101ZH.S1</Application>
  <Pages>277</Pages>
  <Words>0</Words>
  <Characters>83302</Characters>
  <Lines>0</Lines>
  <Paragraphs>5481</Paragraphs>
  <CharactersWithSpaces>111070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zghb0</dc:creator>
  <cp:lastModifiedBy>Administrator</cp:lastModifiedBy>
  <cp:revision>2</cp:revision>
  <cp:lastPrinted>2026-05-19T08:52:00Z</cp:lastPrinted>
  <dcterms:created xsi:type="dcterms:W3CDTF">2024-09-09T10:30:00Z</dcterms:created>
  <dcterms:modified xsi:type="dcterms:W3CDTF">2026-08-13T04:39:25Z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C2DE6EB2EB5141198BC351C101448C79_13</vt:lpwstr>
  </property>
  <property fmtid="{D5CDD505-2E9C-101B-9397-08002B2CF9AE}" pid="4" name="KSOTemplateDocerSaveRecord">
    <vt:lpwstr>eyJoZGlkIjoiZGM2ZDA0MmQ2NWYxN2NmZmVhYmIyMWE1NTRiYzQ4ODkiLCJ1c2VySWQiOiIxMTAxMTAwNTQ2In0=</vt:lpwstr>
  </property>
</Properties>
</file>